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14:paraId="395F7412" w14:textId="77777777">
        <w:trPr>
          <w:trHeight w:val="720"/>
        </w:trPr>
        <w:tc>
          <w:tcPr>
            <w:tcW w:w="6494" w:type="dxa"/>
            <w:gridSpan w:val="2"/>
            <w:tcBorders>
              <w:bottom w:val="single" w:sz="18" w:space="0" w:color="auto"/>
            </w:tcBorders>
          </w:tcPr>
          <w:p w14:paraId="28C6D8DB" w14:textId="77777777" w:rsidR="0087455A" w:rsidRDefault="0024162E">
            <w:pPr>
              <w:rPr>
                <w:rFonts w:ascii="Univers" w:hAnsi="Univers"/>
                <w:b/>
                <w:sz w:val="28"/>
                <w:szCs w:val="28"/>
                <w:lang w:val="es-MX"/>
              </w:rPr>
            </w:pPr>
            <w:r>
              <w:rPr>
                <w:rFonts w:ascii="Univers" w:hAnsi="Univers"/>
                <w:b/>
                <w:sz w:val="28"/>
                <w:szCs w:val="28"/>
                <w:lang w:val="es-MX"/>
              </w:rPr>
              <w:t>NACIONES</w:t>
            </w:r>
          </w:p>
          <w:p w14:paraId="6F7A0D71"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3862979F"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0463BB" w14:paraId="4DAD4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DF4B10E"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1D37DBD2" wp14:editId="035FD21E">
                  <wp:simplePos x="0" y="0"/>
                  <wp:positionH relativeFrom="column">
                    <wp:posOffset>33655</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1E82FBF3" wp14:editId="220865DC">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4F3929BF"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5F035F0C"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1F624752"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1856E73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2A26D31C" w14:textId="76EFDD08" w:rsidR="0087455A" w:rsidRDefault="0087455A" w:rsidP="00C02DE3">
            <w:pPr>
              <w:spacing w:before="720"/>
              <w:rPr>
                <w:lang w:val="es-ES"/>
              </w:rPr>
            </w:pPr>
          </w:p>
        </w:tc>
        <w:tc>
          <w:tcPr>
            <w:tcW w:w="4590" w:type="dxa"/>
            <w:tcBorders>
              <w:top w:val="nil"/>
              <w:left w:val="nil"/>
              <w:bottom w:val="single" w:sz="36" w:space="0" w:color="auto"/>
              <w:right w:val="nil"/>
            </w:tcBorders>
          </w:tcPr>
          <w:p w14:paraId="2E7DA8AC" w14:textId="77777777" w:rsidR="0087455A" w:rsidRDefault="0087455A">
            <w:pPr>
              <w:rPr>
                <w:lang w:val="es-ES"/>
              </w:rPr>
            </w:pPr>
          </w:p>
          <w:p w14:paraId="25BC9D9C" w14:textId="77777777" w:rsidR="0087455A" w:rsidRDefault="0024162E">
            <w:pPr>
              <w:rPr>
                <w:lang w:val="es-ES"/>
              </w:rPr>
            </w:pPr>
            <w:proofErr w:type="spellStart"/>
            <w:r>
              <w:rPr>
                <w:lang w:val="es-ES"/>
              </w:rPr>
              <w:t>Distr</w:t>
            </w:r>
            <w:proofErr w:type="spellEnd"/>
            <w:r>
              <w:rPr>
                <w:lang w:val="es-ES"/>
              </w:rPr>
              <w:t>.</w:t>
            </w:r>
          </w:p>
          <w:p w14:paraId="4FF73C51" w14:textId="77777777" w:rsidR="0087455A" w:rsidRDefault="0024162E">
            <w:pPr>
              <w:rPr>
                <w:lang w:val="es-ES"/>
              </w:rPr>
            </w:pPr>
            <w:r>
              <w:rPr>
                <w:lang w:val="es-ES"/>
              </w:rPr>
              <w:t>GENERAL</w:t>
            </w:r>
          </w:p>
          <w:p w14:paraId="5AD1D6AD" w14:textId="77777777" w:rsidR="0087455A" w:rsidRDefault="0087455A">
            <w:pPr>
              <w:rPr>
                <w:lang w:val="es-ES"/>
              </w:rPr>
            </w:pPr>
          </w:p>
          <w:p w14:paraId="3F25903A" w14:textId="0620872B" w:rsidR="0087455A" w:rsidRPr="00064429" w:rsidRDefault="0024162E">
            <w:pPr>
              <w:rPr>
                <w:lang w:val="es-AR"/>
              </w:rPr>
            </w:pPr>
            <w:r>
              <w:fldChar w:fldCharType="begin"/>
            </w:r>
            <w:r w:rsidRPr="00064429">
              <w:rPr>
                <w:lang w:val="es-AR"/>
              </w:rPr>
              <w:instrText xml:space="preserve"> DOCPROPERTY "Document number"  \* MERGEFORMAT </w:instrText>
            </w:r>
            <w:r>
              <w:fldChar w:fldCharType="separate"/>
            </w:r>
            <w:r w:rsidR="00014351">
              <w:rPr>
                <w:lang w:val="es-AR"/>
              </w:rPr>
              <w:t>UNEP/</w:t>
            </w:r>
            <w:proofErr w:type="spellStart"/>
            <w:r w:rsidR="00014351">
              <w:rPr>
                <w:lang w:val="es-AR"/>
              </w:rPr>
              <w:t>OzL.Pro</w:t>
            </w:r>
            <w:proofErr w:type="spellEnd"/>
            <w:r w:rsidR="00014351">
              <w:rPr>
                <w:lang w:val="es-AR"/>
              </w:rPr>
              <w:t>/</w:t>
            </w:r>
            <w:proofErr w:type="spellStart"/>
            <w:r w:rsidR="00014351">
              <w:rPr>
                <w:lang w:val="es-AR"/>
              </w:rPr>
              <w:t>ExCom</w:t>
            </w:r>
            <w:proofErr w:type="spellEnd"/>
            <w:r w:rsidR="00014351">
              <w:rPr>
                <w:lang w:val="es-AR"/>
              </w:rPr>
              <w:t>/87/9</w:t>
            </w:r>
            <w:r>
              <w:fldChar w:fldCharType="end"/>
            </w:r>
          </w:p>
          <w:p w14:paraId="1F1AD1B2" w14:textId="51B7075C" w:rsidR="002959B4" w:rsidRPr="00064429" w:rsidRDefault="002959B4" w:rsidP="002959B4">
            <w:pPr>
              <w:rPr>
                <w:lang w:val="es-AR"/>
              </w:rPr>
            </w:pPr>
            <w:r>
              <w:fldChar w:fldCharType="begin"/>
            </w:r>
            <w:r w:rsidRPr="00064429">
              <w:rPr>
                <w:lang w:val="es-AR"/>
              </w:rPr>
              <w:instrText xml:space="preserve"> DOCPROPERTY "Revision date" \@ "d MMMM YYYY"  \* MERGEFORMAT </w:instrText>
            </w:r>
            <w:r>
              <w:fldChar w:fldCharType="separate"/>
            </w:r>
            <w:r w:rsidR="00337C45">
              <w:rPr>
                <w:lang w:val="es-AR"/>
              </w:rPr>
              <w:t>1</w:t>
            </w:r>
            <w:r w:rsidR="000463BB">
              <w:rPr>
                <w:lang w:val="es-AR"/>
              </w:rPr>
              <w:t xml:space="preserve">9 de junio de </w:t>
            </w:r>
            <w:r w:rsidR="00337C45">
              <w:rPr>
                <w:lang w:val="es-AR"/>
              </w:rPr>
              <w:t>2021</w:t>
            </w:r>
            <w:r>
              <w:fldChar w:fldCharType="end"/>
            </w:r>
          </w:p>
          <w:p w14:paraId="62EB5E39" w14:textId="77777777" w:rsidR="00114CAA" w:rsidRPr="00064429" w:rsidRDefault="00114CAA">
            <w:pPr>
              <w:rPr>
                <w:caps/>
                <w:lang w:val="es-AR"/>
              </w:rPr>
            </w:pPr>
          </w:p>
          <w:p w14:paraId="7A8A9243" w14:textId="77777777" w:rsidR="0087455A" w:rsidRDefault="0024162E">
            <w:pPr>
              <w:rPr>
                <w:lang w:val="es-MX"/>
              </w:rPr>
            </w:pPr>
            <w:r>
              <w:rPr>
                <w:lang w:val="es-MX"/>
              </w:rPr>
              <w:t xml:space="preserve">ESPAÑOL </w:t>
            </w:r>
          </w:p>
          <w:p w14:paraId="311A0136" w14:textId="77777777" w:rsidR="0087455A" w:rsidRDefault="0024162E">
            <w:pPr>
              <w:rPr>
                <w:lang w:val="es-ES"/>
              </w:rPr>
            </w:pPr>
            <w:r>
              <w:rPr>
                <w:lang w:val="es-ES"/>
              </w:rPr>
              <w:t xml:space="preserve">ORIGINAL: </w:t>
            </w:r>
            <w:r>
              <w:rPr>
                <w:lang w:val="es-MX"/>
              </w:rPr>
              <w:t>INGLÉS</w:t>
            </w:r>
          </w:p>
        </w:tc>
      </w:tr>
    </w:tbl>
    <w:p w14:paraId="39AACFE5"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68F6442E" w14:textId="77777777" w:rsidR="00106F6E" w:rsidRDefault="00106F6E" w:rsidP="002959B4">
      <w:pPr>
        <w:jc w:val="left"/>
        <w:rPr>
          <w:lang w:val="es-ES"/>
        </w:rPr>
      </w:pPr>
      <w:r w:rsidRPr="000463BB">
        <w:rPr>
          <w:lang w:val="es-ES"/>
        </w:rPr>
        <w:t xml:space="preserve">Octogésima </w:t>
      </w:r>
      <w:r w:rsidR="002959B4" w:rsidRPr="000463BB">
        <w:rPr>
          <w:lang w:val="es-ES"/>
        </w:rPr>
        <w:t>séptima</w:t>
      </w:r>
      <w:r w:rsidR="003863A4" w:rsidRPr="000463BB">
        <w:rPr>
          <w:lang w:val="es-ES"/>
        </w:rPr>
        <w:t xml:space="preserve"> Reunión</w:t>
      </w:r>
      <w:r w:rsidR="003863A4">
        <w:rPr>
          <w:lang w:val="es-ES"/>
        </w:rPr>
        <w:br/>
        <w:t xml:space="preserve">Montreal, </w:t>
      </w:r>
      <w:r w:rsidR="002959B4">
        <w:rPr>
          <w:lang w:val="es-ES"/>
        </w:rPr>
        <w:t>28 de junio</w:t>
      </w:r>
      <w:r w:rsidR="003863A4">
        <w:rPr>
          <w:lang w:val="es-ES"/>
        </w:rPr>
        <w:t xml:space="preserve"> </w:t>
      </w:r>
      <w:r>
        <w:rPr>
          <w:lang w:val="es-ES"/>
        </w:rPr>
        <w:t xml:space="preserve">– </w:t>
      </w:r>
      <w:r w:rsidR="003863A4">
        <w:rPr>
          <w:lang w:val="es-ES"/>
        </w:rPr>
        <w:t>2</w:t>
      </w:r>
      <w:r>
        <w:rPr>
          <w:lang w:val="es-ES"/>
        </w:rPr>
        <w:t xml:space="preserve"> de </w:t>
      </w:r>
      <w:r w:rsidR="002959B4">
        <w:rPr>
          <w:lang w:val="es-ES"/>
        </w:rPr>
        <w:t>julio de 2021</w:t>
      </w:r>
      <w:r w:rsidR="002959B4">
        <w:rPr>
          <w:rStyle w:val="FootnoteReference"/>
          <w:lang w:val="es-ES"/>
        </w:rPr>
        <w:footnoteReference w:id="1"/>
      </w:r>
    </w:p>
    <w:p w14:paraId="4AA27732" w14:textId="77777777" w:rsidR="00106F6E" w:rsidRDefault="00106F6E" w:rsidP="00106F6E">
      <w:pPr>
        <w:jc w:val="left"/>
        <w:rPr>
          <w:lang w:val="es-ES"/>
        </w:rPr>
      </w:pPr>
    </w:p>
    <w:p w14:paraId="078A0CEE" w14:textId="77777777" w:rsidR="0087455A" w:rsidRDefault="0087455A">
      <w:pPr>
        <w:pStyle w:val="Title1"/>
        <w:rPr>
          <w:lang w:val="es-ES"/>
        </w:rPr>
      </w:pPr>
    </w:p>
    <w:p w14:paraId="294B50C8" w14:textId="683E5A35" w:rsidR="00EE6440" w:rsidRDefault="00014351" w:rsidP="00EE6440">
      <w:pPr>
        <w:pStyle w:val="Title1"/>
        <w:rPr>
          <w:caps w:val="0"/>
          <w:lang w:val="es-AR"/>
        </w:rPr>
      </w:pPr>
      <w:r w:rsidRPr="0043129D">
        <w:rPr>
          <w:caps w:val="0"/>
          <w:lang w:val="es-AR"/>
        </w:rPr>
        <w:t>INFORMES DE SITUACIÓN E INFORMES SOBRE LOS PROYECTOS CON REQUISITOS ESPECÍFICOS DE PRESENTACIÓN DE INFORMES</w:t>
      </w:r>
    </w:p>
    <w:p w14:paraId="3B17A375" w14:textId="77777777" w:rsidR="00305D02" w:rsidRPr="005C328B" w:rsidRDefault="00305D02" w:rsidP="00EE6440">
      <w:pPr>
        <w:pStyle w:val="Title1"/>
        <w:rPr>
          <w:lang w:val="es-AR"/>
        </w:rPr>
      </w:pPr>
    </w:p>
    <w:p w14:paraId="4966E20C" w14:textId="77777777" w:rsidR="00EE6440" w:rsidRPr="005C328B" w:rsidRDefault="00EE6440" w:rsidP="00EE6440">
      <w:pPr>
        <w:pStyle w:val="Title1"/>
        <w:rPr>
          <w:lang w:val="es-AR"/>
        </w:rPr>
      </w:pPr>
    </w:p>
    <w:p w14:paraId="0AFAB497" w14:textId="77777777" w:rsidR="00EE6440" w:rsidRPr="005C328B" w:rsidRDefault="00EE6440" w:rsidP="00EE6440">
      <w:pPr>
        <w:pStyle w:val="Heading1"/>
        <w:rPr>
          <w:lang w:val="es-AR"/>
        </w:rPr>
      </w:pPr>
      <w:r w:rsidRPr="005C328B">
        <w:rPr>
          <w:lang w:val="es-AR"/>
        </w:rPr>
        <w:t xml:space="preserve">El </w:t>
      </w:r>
      <w:r>
        <w:rPr>
          <w:lang w:val="es-AR"/>
        </w:rPr>
        <w:t>presente documento</w:t>
      </w:r>
      <w:r w:rsidRPr="005C328B">
        <w:rPr>
          <w:lang w:val="es-AR"/>
        </w:rPr>
        <w:t xml:space="preserve"> </w:t>
      </w:r>
      <w:r>
        <w:rPr>
          <w:lang w:val="es-AR"/>
        </w:rPr>
        <w:t>constituye un seguimiento de</w:t>
      </w:r>
      <w:r w:rsidRPr="005C328B">
        <w:rPr>
          <w:lang w:val="es-AR"/>
        </w:rPr>
        <w:t xml:space="preserve"> las cuestiones planteadas en </w:t>
      </w:r>
      <w:r>
        <w:rPr>
          <w:lang w:val="es-AR"/>
        </w:rPr>
        <w:t>los últimos informes anuales</w:t>
      </w:r>
      <w:r w:rsidRPr="005C328B">
        <w:rPr>
          <w:lang w:val="es-AR"/>
        </w:rPr>
        <w:t xml:space="preserve"> financieros</w:t>
      </w:r>
      <w:r>
        <w:rPr>
          <w:lang w:val="es-AR"/>
        </w:rPr>
        <w:t xml:space="preserve"> y sobre la marcha de las actividades</w:t>
      </w:r>
      <w:r w:rsidRPr="005C328B">
        <w:rPr>
          <w:lang w:val="es-AR"/>
        </w:rPr>
        <w:t xml:space="preserve"> </w:t>
      </w:r>
      <w:r>
        <w:rPr>
          <w:lang w:val="es-AR"/>
        </w:rPr>
        <w:t>presentados</w:t>
      </w:r>
      <w:r w:rsidRPr="005C328B">
        <w:rPr>
          <w:lang w:val="es-AR"/>
        </w:rPr>
        <w:t xml:space="preserve"> a la 86</w:t>
      </w:r>
      <w:r>
        <w:rPr>
          <w:lang w:val="es-AR"/>
        </w:rPr>
        <w:t xml:space="preserve">ª </w:t>
      </w:r>
      <w:r w:rsidRPr="005C328B">
        <w:rPr>
          <w:lang w:val="es-AR"/>
        </w:rPr>
        <w:t>reunión,</w:t>
      </w:r>
      <w:r w:rsidRPr="005C328B">
        <w:rPr>
          <w:rStyle w:val="FootnoteReference"/>
          <w:lang w:val="es-AR"/>
        </w:rPr>
        <w:footnoteReference w:id="2"/>
      </w:r>
      <w:r w:rsidRPr="005C328B">
        <w:rPr>
          <w:lang w:val="es-AR"/>
        </w:rPr>
        <w:t xml:space="preserve"> y en relación con los proyectos y las actividades para los cuales </w:t>
      </w:r>
      <w:r>
        <w:rPr>
          <w:lang w:val="es-AR"/>
        </w:rPr>
        <w:t>se pidieron</w:t>
      </w:r>
      <w:r w:rsidRPr="005C328B">
        <w:rPr>
          <w:lang w:val="es-AR"/>
        </w:rPr>
        <w:t xml:space="preserve"> informes específicos en reuniones anteriores. </w:t>
      </w:r>
    </w:p>
    <w:p w14:paraId="4EEEAA3E" w14:textId="77777777" w:rsidR="00EE6440" w:rsidRPr="005C328B" w:rsidRDefault="00EE6440" w:rsidP="00EE6440">
      <w:pPr>
        <w:pStyle w:val="Heading1"/>
        <w:rPr>
          <w:lang w:val="es-AR"/>
        </w:rPr>
      </w:pPr>
      <w:r w:rsidRPr="005C328B">
        <w:rPr>
          <w:lang w:val="es-AR"/>
        </w:rPr>
        <w:t>Debido a</w:t>
      </w:r>
      <w:r>
        <w:rPr>
          <w:lang w:val="es-AR"/>
        </w:rPr>
        <w:t xml:space="preserve">l </w:t>
      </w:r>
      <w:r w:rsidRPr="005C328B">
        <w:rPr>
          <w:lang w:val="es-AR"/>
        </w:rPr>
        <w:t>coronavirus (COVID-19), la</w:t>
      </w:r>
      <w:r>
        <w:rPr>
          <w:lang w:val="es-AR"/>
        </w:rPr>
        <w:t>s reuniones</w:t>
      </w:r>
      <w:r w:rsidRPr="005C328B">
        <w:rPr>
          <w:lang w:val="es-AR"/>
        </w:rPr>
        <w:t xml:space="preserve"> </w:t>
      </w:r>
      <w:r>
        <w:rPr>
          <w:lang w:val="es-AR"/>
        </w:rPr>
        <w:t xml:space="preserve">85ª </w:t>
      </w:r>
      <w:r w:rsidRPr="005C328B">
        <w:rPr>
          <w:lang w:val="es-AR"/>
        </w:rPr>
        <w:t>y 86</w:t>
      </w:r>
      <w:r>
        <w:rPr>
          <w:lang w:val="es-AR"/>
        </w:rPr>
        <w:t xml:space="preserve">ª se limitaron </w:t>
      </w:r>
      <w:r w:rsidRPr="005C328B">
        <w:rPr>
          <w:lang w:val="es-AR"/>
        </w:rPr>
        <w:t xml:space="preserve">a </w:t>
      </w:r>
      <w:r>
        <w:rPr>
          <w:lang w:val="es-AR"/>
        </w:rPr>
        <w:t>ser deliberaciones</w:t>
      </w:r>
      <w:r w:rsidRPr="005C328B">
        <w:rPr>
          <w:lang w:val="es-AR"/>
        </w:rPr>
        <w:t xml:space="preserve"> virtuales sobre un grupo seleccionado de </w:t>
      </w:r>
      <w:r>
        <w:rPr>
          <w:lang w:val="es-AR"/>
        </w:rPr>
        <w:t xml:space="preserve">cuestiones </w:t>
      </w:r>
      <w:r w:rsidRPr="005C328B">
        <w:rPr>
          <w:lang w:val="es-AR"/>
        </w:rPr>
        <w:t xml:space="preserve">del orden del día. </w:t>
      </w:r>
      <w:r>
        <w:rPr>
          <w:lang w:val="es-AR"/>
        </w:rPr>
        <w:t>Para ambas reuniones e</w:t>
      </w:r>
      <w:r w:rsidRPr="005C328B">
        <w:rPr>
          <w:lang w:val="es-AR"/>
        </w:rPr>
        <w:t xml:space="preserve">l Comité Ejecutivo acordó establecer procesos de </w:t>
      </w:r>
      <w:r>
        <w:rPr>
          <w:lang w:val="es-AR"/>
        </w:rPr>
        <w:t xml:space="preserve">aprobación </w:t>
      </w:r>
      <w:r w:rsidRPr="005C328B">
        <w:rPr>
          <w:lang w:val="es-AR"/>
        </w:rPr>
        <w:t>en el período entre sesiones (IAP</w:t>
      </w:r>
      <w:r>
        <w:rPr>
          <w:lang w:val="es-AR"/>
        </w:rPr>
        <w:t>, por su sigla en inglés</w:t>
      </w:r>
      <w:r w:rsidRPr="005C328B">
        <w:rPr>
          <w:lang w:val="es-AR"/>
        </w:rPr>
        <w:t xml:space="preserve">) para </w:t>
      </w:r>
      <w:r>
        <w:rPr>
          <w:lang w:val="es-AR"/>
        </w:rPr>
        <w:t xml:space="preserve">examinar </w:t>
      </w:r>
      <w:r w:rsidRPr="005C328B">
        <w:rPr>
          <w:lang w:val="es-AR"/>
        </w:rPr>
        <w:t xml:space="preserve">ciertos informes y proyectos </w:t>
      </w:r>
      <w:r>
        <w:rPr>
          <w:lang w:val="es-AR"/>
        </w:rPr>
        <w:t>presentados</w:t>
      </w:r>
      <w:r w:rsidRPr="005C328B">
        <w:rPr>
          <w:lang w:val="es-AR"/>
        </w:rPr>
        <w:t xml:space="preserve"> </w:t>
      </w:r>
      <w:r>
        <w:rPr>
          <w:lang w:val="es-AR"/>
        </w:rPr>
        <w:t>a las reuniones 85ª y 86ª</w:t>
      </w:r>
      <w:r w:rsidRPr="005C328B">
        <w:rPr>
          <w:lang w:val="es-AR"/>
        </w:rPr>
        <w:t xml:space="preserve">, </w:t>
      </w:r>
      <w:r>
        <w:rPr>
          <w:lang w:val="es-AR"/>
        </w:rPr>
        <w:t>inclusive</w:t>
      </w:r>
      <w:r w:rsidRPr="005C328B">
        <w:rPr>
          <w:lang w:val="es-AR"/>
        </w:rPr>
        <w:t xml:space="preserve"> informes sobre proyectos </w:t>
      </w:r>
      <w:r>
        <w:rPr>
          <w:lang w:val="es-AR"/>
        </w:rPr>
        <w:t>con requisitos de información específicos</w:t>
      </w:r>
      <w:r w:rsidRPr="005C328B">
        <w:rPr>
          <w:lang w:val="es-AR"/>
        </w:rPr>
        <w:t xml:space="preserve"> recomendados para </w:t>
      </w:r>
      <w:r>
        <w:rPr>
          <w:lang w:val="es-AR"/>
        </w:rPr>
        <w:t xml:space="preserve">aprobación </w:t>
      </w:r>
      <w:r w:rsidRPr="005C328B">
        <w:rPr>
          <w:lang w:val="es-AR"/>
        </w:rPr>
        <w:t xml:space="preserve">general, </w:t>
      </w:r>
      <w:r>
        <w:rPr>
          <w:lang w:val="es-AR"/>
        </w:rPr>
        <w:t xml:space="preserve">mientras que </w:t>
      </w:r>
      <w:r w:rsidRPr="005C328B">
        <w:rPr>
          <w:lang w:val="es-AR"/>
        </w:rPr>
        <w:t>otros informes que requ</w:t>
      </w:r>
      <w:r>
        <w:rPr>
          <w:lang w:val="es-AR"/>
        </w:rPr>
        <w:t xml:space="preserve">erían </w:t>
      </w:r>
      <w:r w:rsidRPr="005C328B">
        <w:rPr>
          <w:lang w:val="es-AR"/>
        </w:rPr>
        <w:t>consideración individual fueron diferidos a la 87</w:t>
      </w:r>
      <w:r>
        <w:rPr>
          <w:lang w:val="es-AR"/>
        </w:rPr>
        <w:t xml:space="preserve">ª </w:t>
      </w:r>
      <w:r w:rsidRPr="005C328B">
        <w:rPr>
          <w:lang w:val="es-AR"/>
        </w:rPr>
        <w:t xml:space="preserve">reunión. Por lo tanto, el </w:t>
      </w:r>
      <w:r>
        <w:rPr>
          <w:lang w:val="es-AR"/>
        </w:rPr>
        <w:t>presente documento</w:t>
      </w:r>
      <w:r w:rsidRPr="005C328B">
        <w:rPr>
          <w:lang w:val="es-AR"/>
        </w:rPr>
        <w:t xml:space="preserve"> también incluye informes sobre proyectos </w:t>
      </w:r>
      <w:r>
        <w:rPr>
          <w:lang w:val="es-AR"/>
        </w:rPr>
        <w:t>con requisitos de información específicos</w:t>
      </w:r>
      <w:r w:rsidRPr="005C328B">
        <w:rPr>
          <w:lang w:val="es-AR"/>
        </w:rPr>
        <w:t xml:space="preserve"> que fueron </w:t>
      </w:r>
      <w:r>
        <w:rPr>
          <w:lang w:val="es-AR"/>
        </w:rPr>
        <w:t>presentados</w:t>
      </w:r>
      <w:r w:rsidRPr="005C328B">
        <w:rPr>
          <w:lang w:val="es-AR"/>
        </w:rPr>
        <w:t xml:space="preserve"> a </w:t>
      </w:r>
      <w:r>
        <w:rPr>
          <w:lang w:val="es-AR"/>
        </w:rPr>
        <w:t xml:space="preserve">las reuniones 85ª y 86ª para consideración individual. </w:t>
      </w:r>
    </w:p>
    <w:p w14:paraId="3505FEDD" w14:textId="77777777" w:rsidR="00EE6440" w:rsidRPr="005C328B" w:rsidRDefault="00EE6440" w:rsidP="00EE6440">
      <w:pPr>
        <w:pStyle w:val="Heading1"/>
        <w:rPr>
          <w:lang w:val="es-AR"/>
        </w:rPr>
      </w:pPr>
      <w:r w:rsidRPr="005C328B">
        <w:rPr>
          <w:lang w:val="es-AR"/>
        </w:rPr>
        <w:t>El documento consiste en las cuatro secciones siguientes:</w:t>
      </w:r>
    </w:p>
    <w:p w14:paraId="420F452B" w14:textId="77777777" w:rsidR="00EE6440" w:rsidRPr="005C328B" w:rsidRDefault="00EE6440" w:rsidP="00EE6440">
      <w:pPr>
        <w:pStyle w:val="Heading2"/>
        <w:numPr>
          <w:ilvl w:val="0"/>
          <w:numId w:val="0"/>
        </w:numPr>
        <w:ind w:left="2160" w:hanging="1440"/>
        <w:rPr>
          <w:lang w:val="es-AR"/>
        </w:rPr>
      </w:pPr>
      <w:r w:rsidRPr="005C328B">
        <w:rPr>
          <w:lang w:val="es-AR"/>
        </w:rPr>
        <w:t>Sección I:</w:t>
      </w:r>
      <w:r w:rsidRPr="005C328B">
        <w:rPr>
          <w:lang w:val="es-AR"/>
        </w:rPr>
        <w:tab/>
        <w:t xml:space="preserve">Proyectos con demoras de ejecución y </w:t>
      </w:r>
      <w:r>
        <w:rPr>
          <w:lang w:val="es-AR"/>
        </w:rPr>
        <w:t>para los cuales se pidieron informes de situación especiales</w:t>
      </w:r>
    </w:p>
    <w:p w14:paraId="5EDD5723" w14:textId="77777777" w:rsidR="00EE6440" w:rsidRPr="005C328B" w:rsidRDefault="00EE6440" w:rsidP="00EE6440">
      <w:pPr>
        <w:pStyle w:val="Heading2"/>
        <w:numPr>
          <w:ilvl w:val="0"/>
          <w:numId w:val="0"/>
        </w:numPr>
        <w:ind w:left="2160" w:hanging="1440"/>
        <w:rPr>
          <w:lang w:val="es-AR"/>
        </w:rPr>
      </w:pPr>
      <w:r w:rsidRPr="005C328B">
        <w:rPr>
          <w:lang w:val="es-AR"/>
        </w:rPr>
        <w:t>Sección II:</w:t>
      </w:r>
      <w:r w:rsidRPr="005C328B">
        <w:rPr>
          <w:lang w:val="es-AR"/>
        </w:rPr>
        <w:tab/>
        <w:t xml:space="preserve">Informes sobre proyectos </w:t>
      </w:r>
      <w:r>
        <w:rPr>
          <w:lang w:val="es-AR"/>
        </w:rPr>
        <w:t>con requisitos de información específicos</w:t>
      </w:r>
      <w:r w:rsidRPr="005C328B">
        <w:rPr>
          <w:lang w:val="es-AR"/>
        </w:rPr>
        <w:t xml:space="preserve"> para los cuales no hay </w:t>
      </w:r>
      <w:r>
        <w:rPr>
          <w:lang w:val="es-AR"/>
        </w:rPr>
        <w:t xml:space="preserve">una </w:t>
      </w:r>
      <w:r w:rsidRPr="005C328B">
        <w:rPr>
          <w:lang w:val="es-AR"/>
        </w:rPr>
        <w:t xml:space="preserve">política </w:t>
      </w:r>
      <w:r w:rsidRPr="00E32C81">
        <w:rPr>
          <w:lang w:val="es-AR"/>
        </w:rPr>
        <w:t>pendiente</w:t>
      </w:r>
      <w:r w:rsidRPr="005C328B">
        <w:rPr>
          <w:lang w:val="es-AR"/>
        </w:rPr>
        <w:t xml:space="preserve">, </w:t>
      </w:r>
      <w:r>
        <w:rPr>
          <w:lang w:val="es-AR"/>
        </w:rPr>
        <w:t>costo</w:t>
      </w:r>
      <w:r w:rsidRPr="005C328B">
        <w:rPr>
          <w:lang w:val="es-AR"/>
        </w:rPr>
        <w:t xml:space="preserve"> u otras cuestiones, </w:t>
      </w:r>
      <w:r>
        <w:rPr>
          <w:lang w:val="es-AR"/>
        </w:rPr>
        <w:t xml:space="preserve">y </w:t>
      </w:r>
      <w:r w:rsidRPr="005C328B">
        <w:rPr>
          <w:lang w:val="es-AR"/>
        </w:rPr>
        <w:t xml:space="preserve">para los cuales el Comité Ejecutivo </w:t>
      </w:r>
      <w:r>
        <w:rPr>
          <w:lang w:val="es-AR"/>
        </w:rPr>
        <w:t xml:space="preserve">puede </w:t>
      </w:r>
      <w:r w:rsidRPr="005C328B">
        <w:rPr>
          <w:lang w:val="es-AR"/>
        </w:rPr>
        <w:t xml:space="preserve">tomar la decisión en base de las recomendaciones de la </w:t>
      </w:r>
      <w:r>
        <w:rPr>
          <w:lang w:val="es-AR"/>
        </w:rPr>
        <w:t>Secretaría</w:t>
      </w:r>
      <w:r w:rsidRPr="005C328B">
        <w:rPr>
          <w:lang w:val="es-AR"/>
        </w:rPr>
        <w:t xml:space="preserve"> sin </w:t>
      </w:r>
      <w:r>
        <w:rPr>
          <w:lang w:val="es-AR"/>
        </w:rPr>
        <w:t>deliberaciones</w:t>
      </w:r>
      <w:r w:rsidRPr="005C328B">
        <w:rPr>
          <w:lang w:val="es-AR"/>
        </w:rPr>
        <w:t xml:space="preserve"> adicional</w:t>
      </w:r>
      <w:r>
        <w:rPr>
          <w:lang w:val="es-AR"/>
        </w:rPr>
        <w:t>es</w:t>
      </w:r>
      <w:r w:rsidRPr="005C328B">
        <w:rPr>
          <w:lang w:val="es-AR"/>
        </w:rPr>
        <w:t xml:space="preserve"> ("</w:t>
      </w:r>
      <w:r>
        <w:rPr>
          <w:lang w:val="es-AR"/>
        </w:rPr>
        <w:t xml:space="preserve">aprobación </w:t>
      </w:r>
      <w:r w:rsidRPr="005C328B">
        <w:rPr>
          <w:lang w:val="es-AR"/>
        </w:rPr>
        <w:t>general"). El informe de la reunión del Comité Ejecutivo presentará individualmente</w:t>
      </w:r>
      <w:r>
        <w:rPr>
          <w:lang w:val="es-AR"/>
        </w:rPr>
        <w:t xml:space="preserve"> los informes incluidos </w:t>
      </w:r>
      <w:r w:rsidRPr="005C328B">
        <w:rPr>
          <w:lang w:val="es-AR"/>
        </w:rPr>
        <w:t xml:space="preserve">en esta sección, así como la decisión adoptada por el </w:t>
      </w:r>
      <w:r>
        <w:rPr>
          <w:lang w:val="es-AR"/>
        </w:rPr>
        <w:t xml:space="preserve">Comité </w:t>
      </w:r>
    </w:p>
    <w:p w14:paraId="6C64D5B8" w14:textId="77777777" w:rsidR="00EE6440" w:rsidRPr="005C328B" w:rsidRDefault="00EE6440" w:rsidP="00EE6440">
      <w:pPr>
        <w:pStyle w:val="Heading2"/>
        <w:numPr>
          <w:ilvl w:val="0"/>
          <w:numId w:val="0"/>
        </w:numPr>
        <w:tabs>
          <w:tab w:val="left" w:pos="720"/>
        </w:tabs>
        <w:ind w:left="2160" w:hanging="1440"/>
        <w:rPr>
          <w:lang w:val="es-AR"/>
        </w:rPr>
      </w:pPr>
      <w:r w:rsidRPr="005C328B">
        <w:rPr>
          <w:lang w:val="es-AR"/>
        </w:rPr>
        <w:lastRenderedPageBreak/>
        <w:t>Sección III</w:t>
      </w:r>
      <w:r w:rsidRPr="005C328B">
        <w:rPr>
          <w:lang w:val="es-AR"/>
        </w:rPr>
        <w:tab/>
        <w:t xml:space="preserve">Informes sobre proyectos </w:t>
      </w:r>
      <w:r>
        <w:rPr>
          <w:lang w:val="es-AR"/>
        </w:rPr>
        <w:t>con requisitos de información específicos</w:t>
      </w:r>
      <w:r w:rsidRPr="005C328B">
        <w:rPr>
          <w:lang w:val="es-AR"/>
        </w:rPr>
        <w:t xml:space="preserve"> </w:t>
      </w:r>
      <w:r>
        <w:rPr>
          <w:lang w:val="es-AR"/>
        </w:rPr>
        <w:t>para consideración individual</w:t>
      </w:r>
      <w:r w:rsidRPr="005C328B">
        <w:rPr>
          <w:lang w:val="es-AR"/>
        </w:rPr>
        <w:t xml:space="preserve"> </w:t>
      </w:r>
      <w:r>
        <w:rPr>
          <w:lang w:val="es-AR"/>
        </w:rPr>
        <w:t xml:space="preserve">por parte </w:t>
      </w:r>
      <w:r w:rsidRPr="005C328B">
        <w:rPr>
          <w:lang w:val="es-AR"/>
        </w:rPr>
        <w:t xml:space="preserve">del Comité Ejecutivo  </w:t>
      </w:r>
    </w:p>
    <w:p w14:paraId="7367E548" w14:textId="77777777" w:rsidR="00EE6440" w:rsidRPr="003D5CE8" w:rsidRDefault="00EE6440" w:rsidP="00EE6440">
      <w:pPr>
        <w:spacing w:after="240"/>
        <w:ind w:left="2160" w:hanging="1440"/>
        <w:rPr>
          <w:lang w:val="es-AR"/>
        </w:rPr>
      </w:pPr>
      <w:proofErr w:type="spellStart"/>
      <w:r w:rsidRPr="00014351">
        <w:rPr>
          <w:iCs/>
          <w:lang w:val="es-AR"/>
        </w:rPr>
        <w:t>Addendum</w:t>
      </w:r>
      <w:proofErr w:type="spellEnd"/>
      <w:r w:rsidRPr="003D5CE8">
        <w:rPr>
          <w:lang w:val="es-AR"/>
        </w:rPr>
        <w:t xml:space="preserve"> I:</w:t>
      </w:r>
      <w:r w:rsidRPr="003D5CE8">
        <w:rPr>
          <w:lang w:val="es-AR"/>
        </w:rPr>
        <w:tab/>
        <w:t>Consiste en tres informes relacionados con China,</w:t>
      </w:r>
      <w:r w:rsidRPr="003D5CE8">
        <w:rPr>
          <w:rStyle w:val="FootnoteReference"/>
          <w:lang w:val="es-AR"/>
        </w:rPr>
        <w:footnoteReference w:id="3"/>
      </w:r>
      <w:r w:rsidRPr="003D5CE8">
        <w:rPr>
          <w:rStyle w:val="FootnoteReference"/>
          <w:lang w:val="es-AR"/>
        </w:rPr>
        <w:t xml:space="preserve"> </w:t>
      </w:r>
      <w:r w:rsidRPr="003D5CE8">
        <w:rPr>
          <w:lang w:val="es-AR"/>
        </w:rPr>
        <w:t xml:space="preserve">uno de ellos que se incluirá en los informes que se </w:t>
      </w:r>
      <w:r>
        <w:rPr>
          <w:lang w:val="es-AR"/>
        </w:rPr>
        <w:t xml:space="preserve">examinarán </w:t>
      </w:r>
      <w:r w:rsidRPr="003D5CE8">
        <w:rPr>
          <w:lang w:val="es-AR"/>
        </w:rPr>
        <w:t>para "aprobación general" (informes de auditoría financier</w:t>
      </w:r>
      <w:r>
        <w:rPr>
          <w:lang w:val="es-AR"/>
        </w:rPr>
        <w:t>a</w:t>
      </w:r>
      <w:r w:rsidRPr="003D5CE8">
        <w:rPr>
          <w:lang w:val="es-AR"/>
        </w:rPr>
        <w:t xml:space="preserve"> para </w:t>
      </w:r>
      <w:r>
        <w:rPr>
          <w:lang w:val="es-AR"/>
        </w:rPr>
        <w:t xml:space="preserve">los sectores de </w:t>
      </w:r>
      <w:r w:rsidRPr="003D5CE8">
        <w:rPr>
          <w:lang w:val="es-AR"/>
        </w:rPr>
        <w:t xml:space="preserve">producción de CFC, </w:t>
      </w:r>
      <w:proofErr w:type="spellStart"/>
      <w:r w:rsidRPr="003D5CE8">
        <w:rPr>
          <w:lang w:val="es-AR"/>
        </w:rPr>
        <w:t>hal</w:t>
      </w:r>
      <w:r>
        <w:rPr>
          <w:lang w:val="es-AR"/>
        </w:rPr>
        <w:t>ones</w:t>
      </w:r>
      <w:proofErr w:type="spellEnd"/>
      <w:r w:rsidRPr="003D5CE8">
        <w:rPr>
          <w:lang w:val="es-AR"/>
        </w:rPr>
        <w:t xml:space="preserve">, </w:t>
      </w:r>
      <w:r>
        <w:rPr>
          <w:lang w:val="es-AR"/>
        </w:rPr>
        <w:t>espumas de poliuretano</w:t>
      </w:r>
      <w:r w:rsidRPr="003D5CE8">
        <w:rPr>
          <w:lang w:val="es-AR"/>
        </w:rPr>
        <w:t xml:space="preserve">, </w:t>
      </w:r>
      <w:r>
        <w:rPr>
          <w:lang w:val="es-AR"/>
        </w:rPr>
        <w:t>a</w:t>
      </w:r>
      <w:r w:rsidRPr="003D5CE8">
        <w:rPr>
          <w:lang w:val="es-AR"/>
        </w:rPr>
        <w:t>gente</w:t>
      </w:r>
      <w:r>
        <w:rPr>
          <w:lang w:val="es-AR"/>
        </w:rPr>
        <w:t>s</w:t>
      </w:r>
      <w:r w:rsidRPr="003D5CE8">
        <w:rPr>
          <w:lang w:val="es-AR"/>
        </w:rPr>
        <w:t xml:space="preserve"> de procesos II, </w:t>
      </w:r>
      <w:r>
        <w:rPr>
          <w:lang w:val="es-AR"/>
        </w:rPr>
        <w:t>servicios de equipos de refrigeración</w:t>
      </w:r>
      <w:r w:rsidRPr="003D5CE8">
        <w:rPr>
          <w:lang w:val="es-AR"/>
        </w:rPr>
        <w:t xml:space="preserve"> y </w:t>
      </w:r>
      <w:r>
        <w:rPr>
          <w:lang w:val="es-AR"/>
        </w:rPr>
        <w:t>solventes</w:t>
      </w:r>
      <w:r w:rsidRPr="003D5CE8">
        <w:rPr>
          <w:lang w:val="es-AR"/>
        </w:rPr>
        <w:t xml:space="preserve"> (decisión 86/41)). Los otros dos informes,</w:t>
      </w:r>
      <w:r>
        <w:rPr>
          <w:lang w:val="es-AR"/>
        </w:rPr>
        <w:t xml:space="preserve"> el</w:t>
      </w:r>
      <w:r w:rsidRPr="003D5CE8">
        <w:rPr>
          <w:lang w:val="es-AR"/>
        </w:rPr>
        <w:t xml:space="preserve"> </w:t>
      </w:r>
      <w:r>
        <w:rPr>
          <w:lang w:val="es-AR"/>
        </w:rPr>
        <w:t xml:space="preserve">Informe sobre la marcha de las actividades relativo a la ejecución de las mismas, indicadas </w:t>
      </w:r>
      <w:r w:rsidRPr="003D5CE8">
        <w:rPr>
          <w:lang w:val="es-AR"/>
        </w:rPr>
        <w:t xml:space="preserve">en la decisión 83/41 e) y el </w:t>
      </w:r>
      <w:r>
        <w:rPr>
          <w:lang w:val="es-AR"/>
        </w:rPr>
        <w:t>E</w:t>
      </w:r>
      <w:r w:rsidRPr="003D5CE8">
        <w:rPr>
          <w:lang w:val="es-AR"/>
        </w:rPr>
        <w:t xml:space="preserve">studio para determinar las circunstancias </w:t>
      </w:r>
      <w:r>
        <w:rPr>
          <w:lang w:val="es-AR"/>
        </w:rPr>
        <w:t>reglamentarias</w:t>
      </w:r>
      <w:r w:rsidRPr="003D5CE8">
        <w:rPr>
          <w:lang w:val="es-AR"/>
        </w:rPr>
        <w:t>, la aplicación</w:t>
      </w:r>
      <w:r>
        <w:rPr>
          <w:lang w:val="es-AR"/>
        </w:rPr>
        <w:t xml:space="preserve"> de las reglamentaciones</w:t>
      </w:r>
      <w:r w:rsidRPr="003D5CE8">
        <w:rPr>
          <w:lang w:val="es-AR"/>
        </w:rPr>
        <w:t xml:space="preserve">, </w:t>
      </w:r>
      <w:r>
        <w:rPr>
          <w:lang w:val="es-AR"/>
        </w:rPr>
        <w:t xml:space="preserve">circunstancias de </w:t>
      </w:r>
      <w:r w:rsidRPr="003D5CE8">
        <w:rPr>
          <w:lang w:val="es-AR"/>
        </w:rPr>
        <w:t>política</w:t>
      </w:r>
      <w:r>
        <w:rPr>
          <w:lang w:val="es-AR"/>
        </w:rPr>
        <w:t>s</w:t>
      </w:r>
      <w:r w:rsidRPr="003D5CE8">
        <w:rPr>
          <w:lang w:val="es-AR"/>
        </w:rPr>
        <w:t xml:space="preserve"> o de mercado que pudieron haber llevado a la producción y uso ilícito</w:t>
      </w:r>
      <w:r>
        <w:rPr>
          <w:lang w:val="es-AR"/>
        </w:rPr>
        <w:t>s</w:t>
      </w:r>
      <w:r w:rsidRPr="003D5CE8">
        <w:rPr>
          <w:lang w:val="es-AR"/>
        </w:rPr>
        <w:t xml:space="preserve"> de CFC-11 y CFC-12 (decisión 83/41 d)), </w:t>
      </w:r>
      <w:r>
        <w:rPr>
          <w:lang w:val="es-AR"/>
        </w:rPr>
        <w:t xml:space="preserve">se pondrán a la consideración </w:t>
      </w:r>
      <w:r w:rsidRPr="003D5CE8">
        <w:rPr>
          <w:lang w:val="es-AR"/>
        </w:rPr>
        <w:t>individual del Comité Ejecutivo.</w:t>
      </w:r>
    </w:p>
    <w:p w14:paraId="73D3FBA8" w14:textId="77777777" w:rsidR="00EE6440" w:rsidRPr="005C328B" w:rsidRDefault="00EE6440" w:rsidP="00EE6440">
      <w:pPr>
        <w:pStyle w:val="sub-title"/>
        <w:keepNext/>
        <w:keepLines/>
        <w:spacing w:after="240"/>
        <w:ind w:left="1440" w:hanging="1440"/>
        <w:rPr>
          <w:noProof w:val="0"/>
          <w:lang w:val="es-AR"/>
        </w:rPr>
      </w:pPr>
      <w:r w:rsidRPr="00014351">
        <w:rPr>
          <w:noProof w:val="0"/>
          <w:lang w:val="es-AR"/>
        </w:rPr>
        <w:t>SECCIÓN I:</w:t>
      </w:r>
      <w:r w:rsidRPr="00014351">
        <w:rPr>
          <w:lang w:val="es-AR"/>
        </w:rPr>
        <w:tab/>
      </w:r>
      <w:r w:rsidRPr="00014351">
        <w:rPr>
          <w:noProof w:val="0"/>
          <w:lang w:val="es-AR"/>
        </w:rPr>
        <w:t xml:space="preserve">PROYECTOS CON DEMORAS DE EJECUCIÓN Y PARA LOS CUALES SE PIDIERON INFORMES DE SITUACIÓN ESPECIALES </w:t>
      </w:r>
    </w:p>
    <w:p w14:paraId="266A49A7" w14:textId="77777777" w:rsidR="00EE6440" w:rsidRPr="005C328B" w:rsidRDefault="00EE6440" w:rsidP="00EE6440">
      <w:pPr>
        <w:pStyle w:val="Heading1"/>
        <w:rPr>
          <w:lang w:val="es-AR"/>
        </w:rPr>
      </w:pPr>
      <w:r w:rsidRPr="005C328B">
        <w:rPr>
          <w:lang w:val="es-AR"/>
        </w:rPr>
        <w:t>En el IAP estableci</w:t>
      </w:r>
      <w:r>
        <w:rPr>
          <w:lang w:val="es-AR"/>
        </w:rPr>
        <w:t>do</w:t>
      </w:r>
      <w:r w:rsidRPr="005C328B">
        <w:rPr>
          <w:lang w:val="es-AR"/>
        </w:rPr>
        <w:t xml:space="preserve"> para la 86</w:t>
      </w:r>
      <w:r>
        <w:rPr>
          <w:lang w:val="es-AR"/>
        </w:rPr>
        <w:t xml:space="preserve">ª </w:t>
      </w:r>
      <w:r w:rsidRPr="005C328B">
        <w:rPr>
          <w:lang w:val="es-AR"/>
        </w:rPr>
        <w:t xml:space="preserve">reunión, el Comité Ejecutivo observó que </w:t>
      </w:r>
      <w:r>
        <w:rPr>
          <w:lang w:val="es-AR"/>
        </w:rPr>
        <w:t>los organismos de ejecución y bilaterales inform</w:t>
      </w:r>
      <w:r w:rsidRPr="005C328B">
        <w:rPr>
          <w:lang w:val="es-AR"/>
        </w:rPr>
        <w:t>arían, en la 87</w:t>
      </w:r>
      <w:r>
        <w:rPr>
          <w:lang w:val="es-AR"/>
        </w:rPr>
        <w:t xml:space="preserve">ª </w:t>
      </w:r>
      <w:r w:rsidRPr="005C328B">
        <w:rPr>
          <w:lang w:val="es-AR"/>
        </w:rPr>
        <w:t xml:space="preserve">reunión, sobre los 94 proyectos con retrasos de </w:t>
      </w:r>
      <w:r>
        <w:rPr>
          <w:lang w:val="es-AR"/>
        </w:rPr>
        <w:t>ejecución</w:t>
      </w:r>
      <w:r w:rsidRPr="005C328B">
        <w:rPr>
          <w:lang w:val="es-AR"/>
        </w:rPr>
        <w:t xml:space="preserve"> y 55 proyectos en curso o tramos de acuerdos plurianuales recomendados para los </w:t>
      </w:r>
      <w:r>
        <w:rPr>
          <w:lang w:val="es-AR"/>
        </w:rPr>
        <w:t>i</w:t>
      </w:r>
      <w:r w:rsidRPr="005C328B">
        <w:rPr>
          <w:lang w:val="es-AR"/>
        </w:rPr>
        <w:t xml:space="preserve">nformes de situación adicionales (decisión 86/13 (c)). </w:t>
      </w:r>
      <w:r>
        <w:rPr>
          <w:lang w:val="es-AR"/>
        </w:rPr>
        <w:t>En consecuencia,</w:t>
      </w:r>
      <w:r w:rsidRPr="005C328B">
        <w:rPr>
          <w:lang w:val="es-AR"/>
        </w:rPr>
        <w:t xml:space="preserve"> </w:t>
      </w:r>
      <w:r>
        <w:rPr>
          <w:lang w:val="es-AR"/>
        </w:rPr>
        <w:t>los organismos de ejecución y bilaterales pertinentes</w:t>
      </w:r>
      <w:r w:rsidRPr="005C328B">
        <w:rPr>
          <w:lang w:val="es-AR"/>
        </w:rPr>
        <w:t xml:space="preserve"> </w:t>
      </w:r>
      <w:r>
        <w:rPr>
          <w:lang w:val="es-AR"/>
        </w:rPr>
        <w:t>presentaron</w:t>
      </w:r>
      <w:r w:rsidRPr="005C328B">
        <w:rPr>
          <w:lang w:val="es-AR"/>
        </w:rPr>
        <w:t xml:space="preserve"> a la 87</w:t>
      </w:r>
      <w:r>
        <w:rPr>
          <w:lang w:val="es-AR"/>
        </w:rPr>
        <w:t xml:space="preserve">ª </w:t>
      </w:r>
      <w:r w:rsidRPr="005C328B">
        <w:rPr>
          <w:lang w:val="es-AR"/>
        </w:rPr>
        <w:t>reunión los informes pedidos.</w:t>
      </w:r>
    </w:p>
    <w:p w14:paraId="56985B9E" w14:textId="77777777" w:rsidR="00EE6440" w:rsidRPr="005C328B" w:rsidRDefault="00EE6440" w:rsidP="00EE6440">
      <w:pPr>
        <w:pStyle w:val="sub-title"/>
        <w:keepNext/>
        <w:spacing w:after="240"/>
        <w:rPr>
          <w:noProof w:val="0"/>
          <w:lang w:val="es-AR"/>
        </w:rPr>
      </w:pPr>
      <w:r w:rsidRPr="005C328B">
        <w:rPr>
          <w:noProof w:val="0"/>
          <w:lang w:val="es-AR"/>
        </w:rPr>
        <w:t>Demoras en la ejecuci</w:t>
      </w:r>
      <w:r>
        <w:rPr>
          <w:noProof w:val="0"/>
          <w:lang w:val="es-AR"/>
        </w:rPr>
        <w:t>ó</w:t>
      </w:r>
      <w:r w:rsidRPr="005C328B">
        <w:rPr>
          <w:noProof w:val="0"/>
          <w:lang w:val="es-AR"/>
        </w:rPr>
        <w:t>n</w:t>
      </w:r>
    </w:p>
    <w:p w14:paraId="2DFF8EF9" w14:textId="77777777" w:rsidR="00EE6440" w:rsidRPr="005C328B" w:rsidRDefault="00EE6440" w:rsidP="00EE6440">
      <w:pPr>
        <w:pStyle w:val="Heading1"/>
        <w:rPr>
          <w:lang w:val="es-AR"/>
        </w:rPr>
      </w:pPr>
      <w:r>
        <w:rPr>
          <w:lang w:val="es-AR"/>
        </w:rPr>
        <w:t xml:space="preserve">Al revisar </w:t>
      </w:r>
      <w:r w:rsidRPr="005C328B">
        <w:rPr>
          <w:lang w:val="es-AR"/>
        </w:rPr>
        <w:t xml:space="preserve">los informes </w:t>
      </w:r>
      <w:r>
        <w:rPr>
          <w:lang w:val="es-AR"/>
        </w:rPr>
        <w:t>presentados</w:t>
      </w:r>
      <w:r w:rsidRPr="005C328B">
        <w:rPr>
          <w:lang w:val="es-AR"/>
        </w:rPr>
        <w:t xml:space="preserve"> por </w:t>
      </w:r>
      <w:r>
        <w:rPr>
          <w:lang w:val="es-AR"/>
        </w:rPr>
        <w:t>los organismos de ejecución y bilaterales</w:t>
      </w:r>
      <w:r w:rsidRPr="005C328B">
        <w:rPr>
          <w:lang w:val="es-AR"/>
        </w:rPr>
        <w:t xml:space="preserve">, la </w:t>
      </w:r>
      <w:r>
        <w:rPr>
          <w:lang w:val="es-AR"/>
        </w:rPr>
        <w:t>Secretaría</w:t>
      </w:r>
      <w:r w:rsidRPr="005C328B">
        <w:rPr>
          <w:lang w:val="es-AR"/>
        </w:rPr>
        <w:t xml:space="preserve"> observó</w:t>
      </w:r>
      <w:r>
        <w:rPr>
          <w:lang w:val="es-AR"/>
        </w:rPr>
        <w:t xml:space="preserve"> que</w:t>
      </w:r>
      <w:r w:rsidRPr="005C328B">
        <w:rPr>
          <w:lang w:val="es-AR"/>
        </w:rPr>
        <w:t>:</w:t>
      </w:r>
    </w:p>
    <w:p w14:paraId="401CA060" w14:textId="77777777" w:rsidR="00EE6440" w:rsidRPr="005C328B" w:rsidRDefault="00EE6440" w:rsidP="00EE6440">
      <w:pPr>
        <w:pStyle w:val="Heading2"/>
        <w:rPr>
          <w:lang w:val="es-AR"/>
        </w:rPr>
      </w:pPr>
      <w:r>
        <w:rPr>
          <w:lang w:val="es-AR"/>
        </w:rPr>
        <w:t>Se ha progresado en</w:t>
      </w:r>
      <w:r w:rsidRPr="005C328B">
        <w:rPr>
          <w:lang w:val="es-AR"/>
        </w:rPr>
        <w:t xml:space="preserve"> la superación de retrasos en 50 proyectos que se</w:t>
      </w:r>
      <w:r>
        <w:rPr>
          <w:lang w:val="es-AR"/>
        </w:rPr>
        <w:t xml:space="preserve"> quitarían </w:t>
      </w:r>
      <w:r w:rsidRPr="005C328B">
        <w:rPr>
          <w:lang w:val="es-AR"/>
        </w:rPr>
        <w:t>de</w:t>
      </w:r>
      <w:r>
        <w:rPr>
          <w:lang w:val="es-AR"/>
        </w:rPr>
        <w:t xml:space="preserve"> una futura </w:t>
      </w:r>
      <w:r w:rsidRPr="005C328B">
        <w:rPr>
          <w:lang w:val="es-AR"/>
        </w:rPr>
        <w:t xml:space="preserve">  presentación de informes;</w:t>
      </w:r>
    </w:p>
    <w:p w14:paraId="25416C60" w14:textId="77777777" w:rsidR="00EE6440" w:rsidRPr="005C328B" w:rsidRDefault="00EE6440" w:rsidP="00EE6440">
      <w:pPr>
        <w:pStyle w:val="Heading2"/>
        <w:rPr>
          <w:lang w:val="es-AR"/>
        </w:rPr>
      </w:pPr>
      <w:r>
        <w:rPr>
          <w:lang w:val="es-AR"/>
        </w:rPr>
        <w:t xml:space="preserve">Había habido un </w:t>
      </w:r>
      <w:r w:rsidRPr="005C328B">
        <w:rPr>
          <w:lang w:val="es-AR"/>
        </w:rPr>
        <w:t xml:space="preserve">"cierto progreso" en 30 proyectos </w:t>
      </w:r>
      <w:r>
        <w:rPr>
          <w:lang w:val="es-AR"/>
        </w:rPr>
        <w:t xml:space="preserve">que figuran </w:t>
      </w:r>
      <w:r w:rsidRPr="005C328B">
        <w:rPr>
          <w:lang w:val="es-AR"/>
        </w:rPr>
        <w:t xml:space="preserve">en el </w:t>
      </w:r>
      <w:r>
        <w:rPr>
          <w:lang w:val="es-AR"/>
        </w:rPr>
        <w:t>Anexo</w:t>
      </w:r>
      <w:r w:rsidRPr="005C328B">
        <w:rPr>
          <w:lang w:val="es-AR"/>
        </w:rPr>
        <w:t xml:space="preserve"> I </w:t>
      </w:r>
      <w:r>
        <w:rPr>
          <w:lang w:val="es-AR"/>
        </w:rPr>
        <w:t>del presente documento</w:t>
      </w:r>
      <w:r w:rsidRPr="005C328B">
        <w:rPr>
          <w:lang w:val="es-AR"/>
        </w:rPr>
        <w:t>, que requeriría</w:t>
      </w:r>
      <w:r>
        <w:rPr>
          <w:lang w:val="es-AR"/>
        </w:rPr>
        <w:t>n</w:t>
      </w:r>
      <w:r w:rsidRPr="005C328B">
        <w:rPr>
          <w:lang w:val="es-AR"/>
        </w:rPr>
        <w:t xml:space="preserve"> la supervisión continua hasta su realización final</w:t>
      </w:r>
      <w:r>
        <w:rPr>
          <w:lang w:val="es-AR"/>
        </w:rPr>
        <w:t>,</w:t>
      </w:r>
      <w:r w:rsidRPr="005C328B">
        <w:rPr>
          <w:lang w:val="es-AR"/>
        </w:rPr>
        <w:t xml:space="preserve"> conforme a la decisión 32/4; y</w:t>
      </w:r>
    </w:p>
    <w:p w14:paraId="59E76F1F" w14:textId="77777777" w:rsidR="00EE6440" w:rsidRPr="005C328B" w:rsidRDefault="00EE6440" w:rsidP="00EE6440">
      <w:pPr>
        <w:pStyle w:val="Heading2"/>
        <w:rPr>
          <w:lang w:val="es-AR"/>
        </w:rPr>
      </w:pPr>
      <w:r w:rsidRPr="005C328B">
        <w:rPr>
          <w:lang w:val="es-AR"/>
        </w:rPr>
        <w:t xml:space="preserve">No se </w:t>
      </w:r>
      <w:r>
        <w:rPr>
          <w:lang w:val="es-AR"/>
        </w:rPr>
        <w:t xml:space="preserve">logró </w:t>
      </w:r>
      <w:r w:rsidRPr="005C328B">
        <w:rPr>
          <w:lang w:val="es-AR"/>
        </w:rPr>
        <w:t xml:space="preserve">"ningún progreso" en 14 proyectos </w:t>
      </w:r>
      <w:r>
        <w:rPr>
          <w:lang w:val="es-AR"/>
        </w:rPr>
        <w:t xml:space="preserve">que figuran </w:t>
      </w:r>
      <w:r w:rsidRPr="005C328B">
        <w:rPr>
          <w:lang w:val="es-AR"/>
        </w:rPr>
        <w:t xml:space="preserve">en el </w:t>
      </w:r>
      <w:r>
        <w:rPr>
          <w:lang w:val="es-AR"/>
        </w:rPr>
        <w:t>Anexo</w:t>
      </w:r>
      <w:r w:rsidRPr="005C328B">
        <w:rPr>
          <w:lang w:val="es-AR"/>
        </w:rPr>
        <w:t xml:space="preserve"> II </w:t>
      </w:r>
      <w:r>
        <w:rPr>
          <w:lang w:val="es-AR"/>
        </w:rPr>
        <w:t>del presente documento</w:t>
      </w:r>
      <w:r w:rsidRPr="005C328B">
        <w:rPr>
          <w:lang w:val="es-AR"/>
        </w:rPr>
        <w:t xml:space="preserve">, </w:t>
      </w:r>
      <w:r>
        <w:rPr>
          <w:lang w:val="es-AR"/>
        </w:rPr>
        <w:t xml:space="preserve">por primera vez </w:t>
      </w:r>
      <w:r w:rsidRPr="005C328B">
        <w:rPr>
          <w:lang w:val="es-AR"/>
        </w:rPr>
        <w:t xml:space="preserve">después </w:t>
      </w:r>
      <w:r>
        <w:rPr>
          <w:lang w:val="es-AR"/>
        </w:rPr>
        <w:t xml:space="preserve">que </w:t>
      </w:r>
      <w:r w:rsidRPr="005C328B">
        <w:rPr>
          <w:lang w:val="es-AR"/>
        </w:rPr>
        <w:t>un componente de</w:t>
      </w:r>
      <w:r>
        <w:rPr>
          <w:lang w:val="es-AR"/>
        </w:rPr>
        <w:t>l acuerdo</w:t>
      </w:r>
      <w:r w:rsidRPr="005C328B">
        <w:rPr>
          <w:lang w:val="es-AR"/>
        </w:rPr>
        <w:t xml:space="preserve"> plurianual </w:t>
      </w:r>
      <w:r>
        <w:rPr>
          <w:lang w:val="es-AR"/>
        </w:rPr>
        <w:t xml:space="preserve">se </w:t>
      </w:r>
      <w:r w:rsidRPr="005C328B">
        <w:rPr>
          <w:lang w:val="es-AR"/>
        </w:rPr>
        <w:t xml:space="preserve">había clasificado como teniendo un retraso de </w:t>
      </w:r>
      <w:r>
        <w:rPr>
          <w:lang w:val="es-AR"/>
        </w:rPr>
        <w:t>ejecución</w:t>
      </w:r>
      <w:r w:rsidRPr="005C328B">
        <w:rPr>
          <w:lang w:val="es-AR"/>
        </w:rPr>
        <w:t>, que requeriría la supervisión continua</w:t>
      </w:r>
      <w:r>
        <w:rPr>
          <w:lang w:val="es-AR"/>
        </w:rPr>
        <w:t>,</w:t>
      </w:r>
      <w:r w:rsidRPr="005C328B">
        <w:rPr>
          <w:lang w:val="es-AR"/>
        </w:rPr>
        <w:t xml:space="preserve"> conforme a la decisión 84/45.</w:t>
      </w:r>
    </w:p>
    <w:p w14:paraId="1E9EE6B5" w14:textId="77777777" w:rsidR="00EE6440" w:rsidRPr="005C328B" w:rsidRDefault="00EE6440" w:rsidP="00EE6440">
      <w:pPr>
        <w:pStyle w:val="sub-title"/>
        <w:keepNext/>
        <w:spacing w:after="240"/>
        <w:rPr>
          <w:bCs/>
          <w:iCs/>
          <w:noProof w:val="0"/>
          <w:lang w:val="es-AR"/>
        </w:rPr>
      </w:pPr>
      <w:r w:rsidRPr="005C328B">
        <w:rPr>
          <w:iCs/>
          <w:noProof w:val="0"/>
          <w:lang w:val="es-AR"/>
        </w:rPr>
        <w:t xml:space="preserve">Proyectos para los cuales </w:t>
      </w:r>
      <w:r>
        <w:rPr>
          <w:iCs/>
          <w:noProof w:val="0"/>
          <w:lang w:val="es-AR"/>
        </w:rPr>
        <w:t>se pidieron</w:t>
      </w:r>
      <w:r w:rsidRPr="005C328B">
        <w:rPr>
          <w:iCs/>
          <w:noProof w:val="0"/>
          <w:lang w:val="es-AR"/>
        </w:rPr>
        <w:t xml:space="preserve"> </w:t>
      </w:r>
      <w:r>
        <w:rPr>
          <w:iCs/>
          <w:noProof w:val="0"/>
          <w:lang w:val="es-AR"/>
        </w:rPr>
        <w:t>i</w:t>
      </w:r>
      <w:r w:rsidRPr="005C328B">
        <w:rPr>
          <w:iCs/>
          <w:noProof w:val="0"/>
          <w:lang w:val="es-AR"/>
        </w:rPr>
        <w:t>nformes de situación adicionales</w:t>
      </w:r>
      <w:r w:rsidRPr="005C328B">
        <w:rPr>
          <w:rStyle w:val="FootnoteReference"/>
          <w:iCs/>
          <w:noProof w:val="0"/>
          <w:lang w:val="es-AR"/>
        </w:rPr>
        <w:footnoteReference w:id="4"/>
      </w:r>
    </w:p>
    <w:p w14:paraId="51057D8D" w14:textId="77777777" w:rsidR="00EE6440" w:rsidRPr="005C328B" w:rsidRDefault="00EE6440" w:rsidP="00EE6440">
      <w:pPr>
        <w:pStyle w:val="Heading1"/>
        <w:rPr>
          <w:lang w:val="es-AR"/>
        </w:rPr>
      </w:pPr>
      <w:r w:rsidRPr="005C328B">
        <w:rPr>
          <w:lang w:val="es-AR"/>
        </w:rPr>
        <w:t xml:space="preserve">La </w:t>
      </w:r>
      <w:r>
        <w:rPr>
          <w:lang w:val="es-AR"/>
        </w:rPr>
        <w:t>Secretaría</w:t>
      </w:r>
      <w:r w:rsidRPr="005C328B">
        <w:rPr>
          <w:lang w:val="es-AR"/>
        </w:rPr>
        <w:t xml:space="preserve"> </w:t>
      </w:r>
      <w:r>
        <w:rPr>
          <w:lang w:val="es-AR"/>
        </w:rPr>
        <w:t xml:space="preserve">deliberó </w:t>
      </w:r>
      <w:r w:rsidRPr="005C328B">
        <w:rPr>
          <w:lang w:val="es-AR"/>
        </w:rPr>
        <w:t xml:space="preserve">con </w:t>
      </w:r>
      <w:r>
        <w:rPr>
          <w:lang w:val="es-AR"/>
        </w:rPr>
        <w:t>los organismos de ejecución y bilaterales pertinentes</w:t>
      </w:r>
      <w:r w:rsidRPr="005C328B">
        <w:rPr>
          <w:lang w:val="es-AR"/>
        </w:rPr>
        <w:t xml:space="preserve"> </w:t>
      </w:r>
      <w:r>
        <w:rPr>
          <w:lang w:val="es-AR"/>
        </w:rPr>
        <w:t xml:space="preserve">sobre </w:t>
      </w:r>
      <w:r w:rsidRPr="005C328B">
        <w:rPr>
          <w:lang w:val="es-AR"/>
        </w:rPr>
        <w:t xml:space="preserve">los proyectos para los cuales </w:t>
      </w:r>
      <w:r>
        <w:rPr>
          <w:lang w:val="es-AR"/>
        </w:rPr>
        <w:t>se pidieron informes de situación adicionales</w:t>
      </w:r>
      <w:r w:rsidRPr="005C328B">
        <w:rPr>
          <w:lang w:val="es-AR"/>
        </w:rPr>
        <w:t xml:space="preserve">. </w:t>
      </w:r>
      <w:r>
        <w:rPr>
          <w:lang w:val="es-AR"/>
        </w:rPr>
        <w:t xml:space="preserve">Tras </w:t>
      </w:r>
      <w:r w:rsidRPr="005C328B">
        <w:rPr>
          <w:lang w:val="es-AR"/>
        </w:rPr>
        <w:t xml:space="preserve">las </w:t>
      </w:r>
      <w:r>
        <w:rPr>
          <w:lang w:val="es-AR"/>
        </w:rPr>
        <w:t>deliberaciones</w:t>
      </w:r>
      <w:r w:rsidRPr="005C328B">
        <w:rPr>
          <w:lang w:val="es-AR"/>
        </w:rPr>
        <w:t xml:space="preserve">, </w:t>
      </w:r>
      <w:r>
        <w:rPr>
          <w:lang w:val="es-AR"/>
        </w:rPr>
        <w:t xml:space="preserve">se resolvieron </w:t>
      </w:r>
      <w:r w:rsidRPr="005C328B">
        <w:rPr>
          <w:lang w:val="es-AR"/>
        </w:rPr>
        <w:t>varias cuestiones satisfactoriamente.</w:t>
      </w:r>
    </w:p>
    <w:p w14:paraId="5AAE7538" w14:textId="77777777" w:rsidR="00EE6440" w:rsidRPr="005C328B" w:rsidRDefault="00EE6440" w:rsidP="00EE6440">
      <w:pPr>
        <w:pStyle w:val="Heading1"/>
        <w:rPr>
          <w:lang w:val="es-AR"/>
        </w:rPr>
      </w:pPr>
      <w:r w:rsidRPr="005C328B">
        <w:rPr>
          <w:lang w:val="es-AR"/>
        </w:rPr>
        <w:t xml:space="preserve">Los proyectos con cuestiones </w:t>
      </w:r>
      <w:r w:rsidRPr="0076699F">
        <w:rPr>
          <w:lang w:val="es-AR"/>
        </w:rPr>
        <w:t xml:space="preserve">pendientes </w:t>
      </w:r>
      <w:r w:rsidRPr="005C328B">
        <w:rPr>
          <w:lang w:val="es-AR"/>
        </w:rPr>
        <w:t xml:space="preserve">se enumeran en el </w:t>
      </w:r>
      <w:r>
        <w:rPr>
          <w:lang w:val="es-AR"/>
        </w:rPr>
        <w:t>Anexo</w:t>
      </w:r>
      <w:r w:rsidRPr="005C328B">
        <w:rPr>
          <w:lang w:val="es-AR"/>
        </w:rPr>
        <w:t xml:space="preserve"> III </w:t>
      </w:r>
      <w:r>
        <w:rPr>
          <w:lang w:val="es-AR"/>
        </w:rPr>
        <w:t>del presente documento</w:t>
      </w:r>
      <w:r w:rsidRPr="005C328B">
        <w:rPr>
          <w:lang w:val="es-AR"/>
        </w:rPr>
        <w:t xml:space="preserve">. </w:t>
      </w:r>
    </w:p>
    <w:p w14:paraId="658DA665" w14:textId="30C43D15" w:rsidR="00EE6440" w:rsidRPr="00C02DE3" w:rsidRDefault="00EE6440" w:rsidP="00C02DE3">
      <w:pPr>
        <w:pStyle w:val="a--"/>
        <w:keepNext/>
        <w:keepLines/>
        <w:suppressAutoHyphens w:val="0"/>
        <w:spacing w:after="240"/>
        <w:jc w:val="left"/>
        <w:rPr>
          <w:sz w:val="22"/>
          <w:szCs w:val="22"/>
          <w:lang w:val="es-AR"/>
        </w:rPr>
      </w:pPr>
      <w:r w:rsidRPr="005C328B">
        <w:rPr>
          <w:sz w:val="22"/>
          <w:szCs w:val="22"/>
          <w:lang w:val="es-AR"/>
        </w:rPr>
        <w:lastRenderedPageBreak/>
        <w:t>Recomendación</w:t>
      </w:r>
    </w:p>
    <w:p w14:paraId="06356E80" w14:textId="77777777" w:rsidR="00EE6440" w:rsidRPr="005C328B" w:rsidRDefault="00EE6440" w:rsidP="00EE6440">
      <w:pPr>
        <w:pStyle w:val="Heading1"/>
        <w:rPr>
          <w:lang w:val="es-AR"/>
        </w:rPr>
      </w:pPr>
      <w:r w:rsidRPr="005C328B">
        <w:rPr>
          <w:lang w:val="es-AR"/>
        </w:rPr>
        <w:t xml:space="preserve">El Comité Ejecutivo </w:t>
      </w:r>
      <w:r>
        <w:rPr>
          <w:lang w:val="es-AR"/>
        </w:rPr>
        <w:t>podría</w:t>
      </w:r>
      <w:r w:rsidRPr="005C328B">
        <w:rPr>
          <w:lang w:val="es-AR"/>
        </w:rPr>
        <w:t>:</w:t>
      </w:r>
    </w:p>
    <w:p w14:paraId="4ADCD700" w14:textId="77777777" w:rsidR="00EE6440" w:rsidRPr="005C328B" w:rsidRDefault="00EE6440" w:rsidP="00EE6440">
      <w:pPr>
        <w:pStyle w:val="Heading2"/>
        <w:rPr>
          <w:lang w:val="es-AR"/>
        </w:rPr>
      </w:pPr>
      <w:r>
        <w:rPr>
          <w:lang w:val="es-AR"/>
        </w:rPr>
        <w:t>Tomar nota de</w:t>
      </w:r>
      <w:r w:rsidRPr="005C328B">
        <w:rPr>
          <w:lang w:val="es-AR"/>
        </w:rPr>
        <w:t>:</w:t>
      </w:r>
    </w:p>
    <w:p w14:paraId="1531052D" w14:textId="77777777" w:rsidR="00EE6440" w:rsidRPr="005C328B" w:rsidRDefault="00EE6440" w:rsidP="00EE6440">
      <w:pPr>
        <w:pStyle w:val="Heading3"/>
        <w:rPr>
          <w:lang w:val="es-AR"/>
        </w:rPr>
      </w:pPr>
      <w:r w:rsidRPr="005C328B">
        <w:rPr>
          <w:lang w:val="es-AR"/>
        </w:rPr>
        <w:t>Los informes</w:t>
      </w:r>
      <w:r>
        <w:rPr>
          <w:lang w:val="es-AR"/>
        </w:rPr>
        <w:t xml:space="preserve"> de </w:t>
      </w:r>
      <w:r w:rsidRPr="005C328B">
        <w:rPr>
          <w:lang w:val="es-AR"/>
        </w:rPr>
        <w:t xml:space="preserve">retraso </w:t>
      </w:r>
      <w:r>
        <w:rPr>
          <w:lang w:val="es-AR"/>
        </w:rPr>
        <w:t>en la ejecución</w:t>
      </w:r>
      <w:r w:rsidRPr="005C328B">
        <w:rPr>
          <w:lang w:val="es-AR"/>
        </w:rPr>
        <w:t xml:space="preserve"> </w:t>
      </w:r>
      <w:r>
        <w:rPr>
          <w:lang w:val="es-AR"/>
        </w:rPr>
        <w:t xml:space="preserve">y </w:t>
      </w:r>
      <w:r w:rsidRPr="005C328B">
        <w:rPr>
          <w:lang w:val="es-AR"/>
        </w:rPr>
        <w:t xml:space="preserve">los </w:t>
      </w:r>
      <w:r>
        <w:rPr>
          <w:lang w:val="es-AR"/>
        </w:rPr>
        <w:t>i</w:t>
      </w:r>
      <w:r w:rsidRPr="005C328B">
        <w:rPr>
          <w:lang w:val="es-AR"/>
        </w:rPr>
        <w:t>nformes de situación presentados</w:t>
      </w:r>
      <w:r>
        <w:rPr>
          <w:lang w:val="es-AR"/>
        </w:rPr>
        <w:t xml:space="preserve"> </w:t>
      </w:r>
      <w:r w:rsidRPr="005C328B">
        <w:rPr>
          <w:lang w:val="es-AR"/>
        </w:rPr>
        <w:t xml:space="preserve">por </w:t>
      </w:r>
      <w:r>
        <w:rPr>
          <w:lang w:val="es-AR"/>
        </w:rPr>
        <w:t>los organismos de ejecución y bilaterales</w:t>
      </w:r>
      <w:r w:rsidRPr="005C328B">
        <w:rPr>
          <w:lang w:val="es-AR"/>
        </w:rPr>
        <w:t xml:space="preserve">, </w:t>
      </w:r>
      <w:r>
        <w:rPr>
          <w:lang w:val="es-AR"/>
        </w:rPr>
        <w:t xml:space="preserve">que figuran </w:t>
      </w:r>
      <w:r w:rsidRPr="005C328B">
        <w:rPr>
          <w:lang w:val="es-AR"/>
        </w:rPr>
        <w:t>en el documento UNEP/OzL.Pro</w:t>
      </w:r>
      <w:r>
        <w:rPr>
          <w:lang w:val="es-AR"/>
        </w:rPr>
        <w:t>/ExCom/</w:t>
      </w:r>
      <w:r w:rsidRPr="005C328B">
        <w:rPr>
          <w:lang w:val="es-AR"/>
        </w:rPr>
        <w:t xml:space="preserve">87/9; </w:t>
      </w:r>
    </w:p>
    <w:p w14:paraId="14A05196" w14:textId="77777777" w:rsidR="00EE6440" w:rsidRPr="005C328B" w:rsidRDefault="00EE6440" w:rsidP="00EE6440">
      <w:pPr>
        <w:pStyle w:val="Heading3"/>
        <w:rPr>
          <w:lang w:val="es-AR"/>
        </w:rPr>
      </w:pPr>
      <w:r>
        <w:rPr>
          <w:lang w:val="es-AR"/>
        </w:rPr>
        <w:t>Que los organismos de ejecución y bilaterales</w:t>
      </w:r>
      <w:r w:rsidRPr="005C328B">
        <w:rPr>
          <w:lang w:val="es-AR"/>
        </w:rPr>
        <w:t xml:space="preserve"> </w:t>
      </w:r>
      <w:r>
        <w:rPr>
          <w:lang w:val="es-AR"/>
        </w:rPr>
        <w:t>inform</w:t>
      </w:r>
      <w:r w:rsidRPr="005C328B">
        <w:rPr>
          <w:lang w:val="es-AR"/>
        </w:rPr>
        <w:t>arían al Comité Ejecutivo en la 88</w:t>
      </w:r>
      <w:r>
        <w:rPr>
          <w:lang w:val="es-AR"/>
        </w:rPr>
        <w:t xml:space="preserve">ª </w:t>
      </w:r>
      <w:r w:rsidRPr="005C328B">
        <w:rPr>
          <w:lang w:val="es-AR"/>
        </w:rPr>
        <w:t xml:space="preserve">reunión </w:t>
      </w:r>
      <w:r>
        <w:rPr>
          <w:lang w:val="es-AR"/>
        </w:rPr>
        <w:t xml:space="preserve">sobre </w:t>
      </w:r>
      <w:r w:rsidRPr="005C328B">
        <w:rPr>
          <w:lang w:val="es-AR"/>
        </w:rPr>
        <w:t>44 proyectos con retrasos e</w:t>
      </w:r>
      <w:r>
        <w:rPr>
          <w:lang w:val="es-AR"/>
        </w:rPr>
        <w:t>n</w:t>
      </w:r>
      <w:r w:rsidRPr="005C328B">
        <w:rPr>
          <w:lang w:val="es-AR"/>
        </w:rPr>
        <w:t xml:space="preserve"> </w:t>
      </w:r>
      <w:r>
        <w:rPr>
          <w:lang w:val="es-AR"/>
        </w:rPr>
        <w:t>la ejecución</w:t>
      </w:r>
      <w:r w:rsidRPr="005C328B">
        <w:rPr>
          <w:lang w:val="es-AR"/>
        </w:rPr>
        <w:t xml:space="preserve">, como se indica en </w:t>
      </w:r>
      <w:r>
        <w:rPr>
          <w:lang w:val="es-AR"/>
        </w:rPr>
        <w:t>los Anexo</w:t>
      </w:r>
      <w:r w:rsidRPr="005C328B">
        <w:rPr>
          <w:lang w:val="es-AR"/>
        </w:rPr>
        <w:t xml:space="preserve">s I e II </w:t>
      </w:r>
      <w:r>
        <w:rPr>
          <w:lang w:val="es-AR"/>
        </w:rPr>
        <w:t>del presente documento</w:t>
      </w:r>
      <w:r w:rsidRPr="005C328B">
        <w:rPr>
          <w:lang w:val="es-AR"/>
        </w:rPr>
        <w:t xml:space="preserve">, y sobre 22 proyectos recomendados para </w:t>
      </w:r>
      <w:r>
        <w:rPr>
          <w:lang w:val="es-AR"/>
        </w:rPr>
        <w:t>informes de situación</w:t>
      </w:r>
      <w:r w:rsidRPr="005C328B">
        <w:rPr>
          <w:lang w:val="es-AR"/>
        </w:rPr>
        <w:t xml:space="preserve"> adicionales, como se indica en el </w:t>
      </w:r>
      <w:r>
        <w:rPr>
          <w:lang w:val="es-AR"/>
        </w:rPr>
        <w:t>Anexo</w:t>
      </w:r>
      <w:r w:rsidRPr="005C328B">
        <w:rPr>
          <w:lang w:val="es-AR"/>
        </w:rPr>
        <w:t xml:space="preserve"> III </w:t>
      </w:r>
      <w:r>
        <w:rPr>
          <w:lang w:val="es-AR"/>
        </w:rPr>
        <w:t>del presente documento</w:t>
      </w:r>
      <w:r w:rsidRPr="005C328B">
        <w:rPr>
          <w:lang w:val="es-AR"/>
        </w:rPr>
        <w:t>, como parte de</w:t>
      </w:r>
      <w:r>
        <w:rPr>
          <w:lang w:val="es-AR"/>
        </w:rPr>
        <w:t>l informe anual y del progreso financiero</w:t>
      </w:r>
      <w:r w:rsidRPr="005C328B">
        <w:rPr>
          <w:lang w:val="es-AR"/>
        </w:rPr>
        <w:t xml:space="preserve"> </w:t>
      </w:r>
      <w:r>
        <w:rPr>
          <w:lang w:val="es-AR"/>
        </w:rPr>
        <w:t xml:space="preserve">de </w:t>
      </w:r>
      <w:r w:rsidRPr="005C328B">
        <w:rPr>
          <w:lang w:val="es-AR"/>
        </w:rPr>
        <w:t xml:space="preserve">2020 </w:t>
      </w:r>
      <w:r>
        <w:rPr>
          <w:lang w:val="es-AR"/>
        </w:rPr>
        <w:t>de los organismos de ejecución y bilaterales</w:t>
      </w:r>
      <w:r w:rsidRPr="005C328B">
        <w:rPr>
          <w:lang w:val="es-AR"/>
        </w:rPr>
        <w:t>; y</w:t>
      </w:r>
    </w:p>
    <w:p w14:paraId="6566B0D8" w14:textId="77777777" w:rsidR="00EE6440" w:rsidRPr="005C328B" w:rsidRDefault="00EE6440" w:rsidP="00EE6440">
      <w:pPr>
        <w:pStyle w:val="Heading2"/>
        <w:rPr>
          <w:lang w:val="es-AR"/>
        </w:rPr>
      </w:pPr>
      <w:r>
        <w:rPr>
          <w:lang w:val="es-AR"/>
        </w:rPr>
        <w:t>A</w:t>
      </w:r>
      <w:r w:rsidRPr="005C328B">
        <w:rPr>
          <w:lang w:val="es-AR"/>
        </w:rPr>
        <w:t xml:space="preserve">probar las recomendaciones </w:t>
      </w:r>
      <w:r>
        <w:rPr>
          <w:lang w:val="es-AR"/>
        </w:rPr>
        <w:t xml:space="preserve">sobre </w:t>
      </w:r>
      <w:r w:rsidRPr="005C328B">
        <w:rPr>
          <w:lang w:val="es-AR"/>
        </w:rPr>
        <w:t xml:space="preserve">proyectos en curso con cuestiones específicas </w:t>
      </w:r>
      <w:r>
        <w:rPr>
          <w:lang w:val="es-AR"/>
        </w:rPr>
        <w:t xml:space="preserve">indicadas </w:t>
      </w:r>
      <w:r w:rsidRPr="005C328B">
        <w:rPr>
          <w:lang w:val="es-AR"/>
        </w:rPr>
        <w:t>en la</w:t>
      </w:r>
      <w:r>
        <w:rPr>
          <w:lang w:val="es-AR"/>
        </w:rPr>
        <w:t xml:space="preserve"> última</w:t>
      </w:r>
      <w:r w:rsidRPr="005C328B">
        <w:rPr>
          <w:lang w:val="es-AR"/>
        </w:rPr>
        <w:t xml:space="preserve"> columna de la tabla </w:t>
      </w:r>
      <w:r>
        <w:rPr>
          <w:lang w:val="es-AR"/>
        </w:rPr>
        <w:t>d</w:t>
      </w:r>
      <w:r w:rsidRPr="005C328B">
        <w:rPr>
          <w:lang w:val="es-AR"/>
        </w:rPr>
        <w:t xml:space="preserve">el </w:t>
      </w:r>
      <w:r>
        <w:rPr>
          <w:lang w:val="es-AR"/>
        </w:rPr>
        <w:t>Anexo</w:t>
      </w:r>
      <w:r w:rsidRPr="005C328B">
        <w:rPr>
          <w:lang w:val="es-AR"/>
        </w:rPr>
        <w:t xml:space="preserve"> III </w:t>
      </w:r>
      <w:r>
        <w:rPr>
          <w:lang w:val="es-AR"/>
        </w:rPr>
        <w:t>del presente documento</w:t>
      </w:r>
      <w:r w:rsidRPr="005C328B">
        <w:rPr>
          <w:lang w:val="es-AR"/>
        </w:rPr>
        <w:t>.</w:t>
      </w:r>
    </w:p>
    <w:p w14:paraId="2F9B4801" w14:textId="77777777" w:rsidR="00EE6440" w:rsidRPr="005C328B" w:rsidRDefault="00EE6440" w:rsidP="00EE6440">
      <w:pPr>
        <w:pStyle w:val="Heading1"/>
        <w:numPr>
          <w:ilvl w:val="0"/>
          <w:numId w:val="0"/>
        </w:numPr>
        <w:rPr>
          <w:b/>
          <w:lang w:val="es-AR"/>
        </w:rPr>
      </w:pPr>
      <w:r w:rsidRPr="005C328B">
        <w:rPr>
          <w:b/>
          <w:lang w:val="es-AR"/>
        </w:rPr>
        <w:t>INFORMES SOBRE PROYECTOS CON REQUISITOS DE INFORMACIÓN ESPECÍFICOS</w:t>
      </w:r>
    </w:p>
    <w:p w14:paraId="732619AA" w14:textId="77777777" w:rsidR="00EE6440" w:rsidRPr="005C328B" w:rsidRDefault="00EE6440" w:rsidP="00EE6440">
      <w:pPr>
        <w:pStyle w:val="Heading1"/>
        <w:rPr>
          <w:lang w:val="es-AR"/>
        </w:rPr>
      </w:pPr>
      <w:r w:rsidRPr="005C328B">
        <w:rPr>
          <w:lang w:val="es-AR"/>
        </w:rPr>
        <w:t xml:space="preserve">El </w:t>
      </w:r>
      <w:r>
        <w:rPr>
          <w:lang w:val="es-AR"/>
        </w:rPr>
        <w:t>Cuadro</w:t>
      </w:r>
      <w:r w:rsidRPr="005C328B">
        <w:rPr>
          <w:lang w:val="es-AR"/>
        </w:rPr>
        <w:t xml:space="preserve"> 1 enumera los informes sobre proyectos </w:t>
      </w:r>
      <w:r>
        <w:rPr>
          <w:lang w:val="es-AR"/>
        </w:rPr>
        <w:t>con requisitos de información específicos</w:t>
      </w:r>
      <w:r w:rsidRPr="005C328B">
        <w:rPr>
          <w:lang w:val="es-AR"/>
        </w:rPr>
        <w:t xml:space="preserve"> </w:t>
      </w:r>
      <w:r>
        <w:rPr>
          <w:lang w:val="es-AR"/>
        </w:rPr>
        <w:t>presentados</w:t>
      </w:r>
      <w:r w:rsidRPr="005C328B">
        <w:rPr>
          <w:lang w:val="es-AR"/>
        </w:rPr>
        <w:t xml:space="preserve"> a la 87</w:t>
      </w:r>
      <w:r>
        <w:rPr>
          <w:lang w:val="es-AR"/>
        </w:rPr>
        <w:t xml:space="preserve">ª </w:t>
      </w:r>
      <w:r w:rsidRPr="005C328B">
        <w:rPr>
          <w:lang w:val="es-AR"/>
        </w:rPr>
        <w:t>reunión</w:t>
      </w:r>
      <w:r>
        <w:rPr>
          <w:lang w:val="es-AR"/>
        </w:rPr>
        <w:t xml:space="preserve"> y</w:t>
      </w:r>
      <w:r w:rsidRPr="005C328B">
        <w:rPr>
          <w:lang w:val="es-AR"/>
        </w:rPr>
        <w:t xml:space="preserve"> recomendad</w:t>
      </w:r>
      <w:r>
        <w:rPr>
          <w:lang w:val="es-AR"/>
        </w:rPr>
        <w:t>os</w:t>
      </w:r>
      <w:r w:rsidRPr="005C328B">
        <w:rPr>
          <w:lang w:val="es-AR"/>
        </w:rPr>
        <w:t xml:space="preserve"> </w:t>
      </w:r>
      <w:r>
        <w:rPr>
          <w:lang w:val="es-AR"/>
        </w:rPr>
        <w:t>para aprobación general</w:t>
      </w:r>
      <w:r w:rsidRPr="005C328B">
        <w:rPr>
          <w:lang w:val="es-AR"/>
        </w:rPr>
        <w:t>.</w:t>
      </w:r>
    </w:p>
    <w:p w14:paraId="17B37DA8" w14:textId="77777777" w:rsidR="00EE6440" w:rsidRPr="004A4DFC" w:rsidRDefault="00EE6440" w:rsidP="00EE6440">
      <w:pPr>
        <w:keepNext/>
        <w:rPr>
          <w:b/>
          <w:sz w:val="21"/>
          <w:szCs w:val="21"/>
          <w:lang w:val="es-AR"/>
        </w:rPr>
      </w:pPr>
      <w:r w:rsidRPr="004A4DFC">
        <w:rPr>
          <w:b/>
          <w:sz w:val="21"/>
          <w:szCs w:val="21"/>
          <w:lang w:val="es-AR"/>
        </w:rPr>
        <w:t>Cuadro 1:</w:t>
      </w:r>
      <w:r w:rsidRPr="004A4DFC">
        <w:rPr>
          <w:lang w:val="es-AR"/>
        </w:rPr>
        <w:t xml:space="preserve"> </w:t>
      </w:r>
      <w:r w:rsidRPr="004A4DFC">
        <w:rPr>
          <w:b/>
          <w:sz w:val="21"/>
          <w:szCs w:val="21"/>
          <w:lang w:val="es-AR"/>
        </w:rPr>
        <w:t xml:space="preserve">Informes sobre proyectos con requisitos de información específicos </w:t>
      </w:r>
      <w:r>
        <w:rPr>
          <w:b/>
          <w:sz w:val="21"/>
          <w:szCs w:val="21"/>
          <w:lang w:val="es-AR"/>
        </w:rPr>
        <w:t xml:space="preserve">y </w:t>
      </w:r>
      <w:r w:rsidRPr="004A4DFC">
        <w:rPr>
          <w:b/>
          <w:sz w:val="21"/>
          <w:szCs w:val="21"/>
          <w:lang w:val="es-AR"/>
        </w:rPr>
        <w:t>recomendados para aprobación general</w:t>
      </w:r>
    </w:p>
    <w:tbl>
      <w:tblPr>
        <w:tblStyle w:val="TableGrid"/>
        <w:tblW w:w="5048" w:type="pct"/>
        <w:tblLook w:val="04A0" w:firstRow="1" w:lastRow="0" w:firstColumn="1" w:lastColumn="0" w:noHBand="0" w:noVBand="1"/>
      </w:tblPr>
      <w:tblGrid>
        <w:gridCol w:w="1435"/>
        <w:gridCol w:w="6661"/>
        <w:gridCol w:w="1344"/>
      </w:tblGrid>
      <w:tr w:rsidR="00EE6440" w:rsidRPr="005C328B" w14:paraId="270EA95F" w14:textId="77777777" w:rsidTr="00AF751E">
        <w:trPr>
          <w:tblHeader/>
        </w:trPr>
        <w:tc>
          <w:tcPr>
            <w:tcW w:w="760" w:type="pct"/>
          </w:tcPr>
          <w:p w14:paraId="5BE842E9" w14:textId="77777777" w:rsidR="00EE6440" w:rsidRPr="005C328B" w:rsidRDefault="00EE6440" w:rsidP="00AF751E">
            <w:pPr>
              <w:keepNext/>
              <w:rPr>
                <w:b/>
                <w:lang w:val="es-AR"/>
              </w:rPr>
            </w:pPr>
            <w:r w:rsidRPr="005C328B">
              <w:rPr>
                <w:b/>
                <w:lang w:val="es-AR"/>
              </w:rPr>
              <w:t>País</w:t>
            </w:r>
          </w:p>
        </w:tc>
        <w:tc>
          <w:tcPr>
            <w:tcW w:w="3528" w:type="pct"/>
          </w:tcPr>
          <w:p w14:paraId="785BDD47" w14:textId="77777777" w:rsidR="00EE6440" w:rsidRPr="005C328B" w:rsidRDefault="00EE6440" w:rsidP="00AF751E">
            <w:pPr>
              <w:keepNext/>
              <w:rPr>
                <w:b/>
                <w:lang w:val="es-AR"/>
              </w:rPr>
            </w:pPr>
            <w:r w:rsidRPr="005C328B">
              <w:rPr>
                <w:b/>
                <w:lang w:val="es-AR"/>
              </w:rPr>
              <w:t xml:space="preserve">Título </w:t>
            </w:r>
            <w:r>
              <w:rPr>
                <w:b/>
                <w:lang w:val="es-AR"/>
              </w:rPr>
              <w:t>del proyecto</w:t>
            </w:r>
          </w:p>
        </w:tc>
        <w:tc>
          <w:tcPr>
            <w:tcW w:w="712" w:type="pct"/>
          </w:tcPr>
          <w:p w14:paraId="7744D790" w14:textId="77777777" w:rsidR="00EE6440" w:rsidRPr="005C328B" w:rsidRDefault="00EE6440" w:rsidP="00AF751E">
            <w:pPr>
              <w:keepNext/>
              <w:rPr>
                <w:b/>
                <w:lang w:val="es-AR"/>
              </w:rPr>
            </w:pPr>
            <w:r w:rsidRPr="005C328B">
              <w:rPr>
                <w:b/>
                <w:lang w:val="es-AR"/>
              </w:rPr>
              <w:t>Apartados</w:t>
            </w:r>
          </w:p>
        </w:tc>
      </w:tr>
      <w:tr w:rsidR="00EE6440" w:rsidRPr="00305D02" w14:paraId="0CE1C45B" w14:textId="77777777" w:rsidTr="00AF751E">
        <w:tc>
          <w:tcPr>
            <w:tcW w:w="5000" w:type="pct"/>
            <w:gridSpan w:val="3"/>
          </w:tcPr>
          <w:p w14:paraId="7884774D" w14:textId="77777777" w:rsidR="00EE6440" w:rsidRPr="005C328B" w:rsidRDefault="00EE6440" w:rsidP="00AF751E">
            <w:pPr>
              <w:rPr>
                <w:b/>
                <w:lang w:val="es-AR"/>
              </w:rPr>
            </w:pPr>
            <w:r w:rsidRPr="005C328B">
              <w:rPr>
                <w:b/>
                <w:lang w:val="es-AR"/>
              </w:rPr>
              <w:t xml:space="preserve">Informes relacionados planes de gestión de eliminación de </w:t>
            </w:r>
            <w:r>
              <w:rPr>
                <w:b/>
                <w:lang w:val="es-AR"/>
              </w:rPr>
              <w:t xml:space="preserve">los HCFC </w:t>
            </w:r>
          </w:p>
        </w:tc>
      </w:tr>
      <w:tr w:rsidR="00EE6440" w:rsidRPr="005C328B" w14:paraId="26322261" w14:textId="77777777" w:rsidTr="00AF751E">
        <w:tc>
          <w:tcPr>
            <w:tcW w:w="760" w:type="pct"/>
            <w:shd w:val="clear" w:color="auto" w:fill="auto"/>
          </w:tcPr>
          <w:p w14:paraId="4C368271" w14:textId="77777777" w:rsidR="00EE6440" w:rsidRPr="005C328B" w:rsidRDefault="00EE6440" w:rsidP="00AF751E">
            <w:pPr>
              <w:rPr>
                <w:lang w:val="es-AR"/>
              </w:rPr>
            </w:pPr>
            <w:r w:rsidRPr="005C328B">
              <w:rPr>
                <w:lang w:val="es-AR"/>
              </w:rPr>
              <w:t>Afganistán</w:t>
            </w:r>
          </w:p>
        </w:tc>
        <w:tc>
          <w:tcPr>
            <w:tcW w:w="3528" w:type="pct"/>
          </w:tcPr>
          <w:p w14:paraId="62370968" w14:textId="77777777" w:rsidR="00EE6440" w:rsidRPr="005C328B" w:rsidRDefault="00EE6440" w:rsidP="00AF751E">
            <w:pPr>
              <w:rPr>
                <w:lang w:val="es-AR"/>
              </w:rPr>
            </w:pPr>
            <w:r>
              <w:rPr>
                <w:lang w:val="es-AR"/>
              </w:rPr>
              <w:t>P</w:t>
            </w:r>
            <w:r w:rsidRPr="005C328B">
              <w:rPr>
                <w:lang w:val="es-AR"/>
              </w:rPr>
              <w:t xml:space="preserve">lan de gestión de eliminación de </w:t>
            </w:r>
            <w:r>
              <w:rPr>
                <w:lang w:val="es-AR"/>
              </w:rPr>
              <w:t>los HCFC</w:t>
            </w:r>
            <w:r w:rsidRPr="005C328B">
              <w:rPr>
                <w:lang w:val="es-AR"/>
              </w:rPr>
              <w:t xml:space="preserve"> (etapa I): </w:t>
            </w:r>
            <w:r>
              <w:rPr>
                <w:lang w:val="es-AR"/>
              </w:rPr>
              <w:t>Petición de prórroga</w:t>
            </w:r>
            <w:r w:rsidRPr="005C328B">
              <w:rPr>
                <w:lang w:val="es-AR"/>
              </w:rPr>
              <w:t xml:space="preserve"> de la f</w:t>
            </w:r>
            <w:r>
              <w:rPr>
                <w:lang w:val="es-AR"/>
              </w:rPr>
              <w:t xml:space="preserve">echa de terminación </w:t>
            </w:r>
          </w:p>
        </w:tc>
        <w:tc>
          <w:tcPr>
            <w:tcW w:w="712" w:type="pct"/>
            <w:vAlign w:val="center"/>
          </w:tcPr>
          <w:p w14:paraId="7470CB3F" w14:textId="77777777" w:rsidR="00EE6440" w:rsidRPr="005C328B" w:rsidRDefault="00EE6440" w:rsidP="00AF751E">
            <w:pPr>
              <w:jc w:val="center"/>
              <w:rPr>
                <w:lang w:val="es-AR"/>
              </w:rPr>
            </w:pPr>
            <w:r w:rsidRPr="005C328B">
              <w:rPr>
                <w:lang w:val="es-AR"/>
              </w:rPr>
              <w:t>11-25</w:t>
            </w:r>
          </w:p>
        </w:tc>
      </w:tr>
      <w:tr w:rsidR="00EE6440" w:rsidRPr="005C328B" w14:paraId="7A129DB0" w14:textId="77777777" w:rsidTr="00AF751E">
        <w:tc>
          <w:tcPr>
            <w:tcW w:w="760" w:type="pct"/>
            <w:shd w:val="clear" w:color="auto" w:fill="auto"/>
          </w:tcPr>
          <w:p w14:paraId="6C5DABB1" w14:textId="77777777" w:rsidR="00EE6440" w:rsidRPr="005C328B" w:rsidRDefault="00EE6440" w:rsidP="00AF751E">
            <w:pPr>
              <w:rPr>
                <w:lang w:val="es-AR"/>
              </w:rPr>
            </w:pPr>
            <w:r w:rsidRPr="005C328B">
              <w:rPr>
                <w:lang w:val="es-AR"/>
              </w:rPr>
              <w:t>Argentina</w:t>
            </w:r>
          </w:p>
        </w:tc>
        <w:tc>
          <w:tcPr>
            <w:tcW w:w="3528" w:type="pct"/>
          </w:tcPr>
          <w:p w14:paraId="609097F0"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II): Actua</w:t>
            </w:r>
            <w:r>
              <w:rPr>
                <w:lang w:val="es-AR"/>
              </w:rPr>
              <w:t>lización sobre la viabilidad</w:t>
            </w:r>
            <w:r w:rsidRPr="005C328B">
              <w:rPr>
                <w:lang w:val="es-AR"/>
              </w:rPr>
              <w:t xml:space="preserve"> financiera de la empresa </w:t>
            </w:r>
            <w:proofErr w:type="spellStart"/>
            <w:r w:rsidRPr="005C328B">
              <w:rPr>
                <w:lang w:val="es-AR"/>
              </w:rPr>
              <w:t>Celpack</w:t>
            </w:r>
            <w:proofErr w:type="spellEnd"/>
          </w:p>
        </w:tc>
        <w:tc>
          <w:tcPr>
            <w:tcW w:w="712" w:type="pct"/>
            <w:vAlign w:val="center"/>
          </w:tcPr>
          <w:p w14:paraId="2621CF18" w14:textId="77777777" w:rsidR="00EE6440" w:rsidRPr="005C328B" w:rsidRDefault="00EE6440" w:rsidP="00AF751E">
            <w:pPr>
              <w:jc w:val="center"/>
              <w:rPr>
                <w:lang w:val="es-AR"/>
              </w:rPr>
            </w:pPr>
            <w:r w:rsidRPr="005C328B">
              <w:rPr>
                <w:lang w:val="es-AR"/>
              </w:rPr>
              <w:t>26-31</w:t>
            </w:r>
          </w:p>
        </w:tc>
      </w:tr>
      <w:tr w:rsidR="00EE6440" w:rsidRPr="005C328B" w14:paraId="61D81597" w14:textId="77777777" w:rsidTr="00AF751E">
        <w:tc>
          <w:tcPr>
            <w:tcW w:w="760" w:type="pct"/>
            <w:shd w:val="clear" w:color="auto" w:fill="auto"/>
            <w:vAlign w:val="center"/>
          </w:tcPr>
          <w:p w14:paraId="37385E33" w14:textId="77777777" w:rsidR="00EE6440" w:rsidRPr="005C328B" w:rsidRDefault="00EE6440" w:rsidP="00AF751E">
            <w:pPr>
              <w:rPr>
                <w:lang w:val="es-AR"/>
              </w:rPr>
            </w:pPr>
            <w:r w:rsidRPr="005C328B">
              <w:rPr>
                <w:lang w:val="es-AR"/>
              </w:rPr>
              <w:t>Brunei Darussalam</w:t>
            </w:r>
          </w:p>
        </w:tc>
        <w:tc>
          <w:tcPr>
            <w:tcW w:w="3528" w:type="pct"/>
          </w:tcPr>
          <w:p w14:paraId="0882AEB6"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Petición de prórroga</w:t>
            </w:r>
            <w:r w:rsidRPr="005C328B">
              <w:rPr>
                <w:lang w:val="es-AR"/>
              </w:rPr>
              <w:t xml:space="preserve"> de la f</w:t>
            </w:r>
            <w:r>
              <w:rPr>
                <w:lang w:val="es-AR"/>
              </w:rPr>
              <w:t xml:space="preserve">echa de terminación </w:t>
            </w:r>
          </w:p>
        </w:tc>
        <w:tc>
          <w:tcPr>
            <w:tcW w:w="712" w:type="pct"/>
            <w:vAlign w:val="center"/>
          </w:tcPr>
          <w:p w14:paraId="187529FA" w14:textId="77777777" w:rsidR="00EE6440" w:rsidRPr="005C328B" w:rsidRDefault="00EE6440" w:rsidP="00AF751E">
            <w:pPr>
              <w:jc w:val="center"/>
              <w:rPr>
                <w:lang w:val="es-AR"/>
              </w:rPr>
            </w:pPr>
            <w:r w:rsidRPr="005C328B">
              <w:rPr>
                <w:lang w:val="es-AR"/>
              </w:rPr>
              <w:t>32-41</w:t>
            </w:r>
          </w:p>
        </w:tc>
      </w:tr>
      <w:tr w:rsidR="00EE6440" w:rsidRPr="005C328B" w14:paraId="4C270ABD" w14:textId="77777777" w:rsidTr="00AF751E">
        <w:tc>
          <w:tcPr>
            <w:tcW w:w="760" w:type="pct"/>
            <w:shd w:val="clear" w:color="auto" w:fill="auto"/>
          </w:tcPr>
          <w:p w14:paraId="39C11D6B" w14:textId="77777777" w:rsidR="00EE6440" w:rsidRPr="005C328B" w:rsidRDefault="00EE6440" w:rsidP="00AF751E">
            <w:pPr>
              <w:rPr>
                <w:lang w:val="es-AR"/>
              </w:rPr>
            </w:pPr>
            <w:r w:rsidRPr="005C328B">
              <w:rPr>
                <w:lang w:val="es-AR"/>
              </w:rPr>
              <w:t>Chile</w:t>
            </w:r>
          </w:p>
        </w:tc>
        <w:tc>
          <w:tcPr>
            <w:tcW w:w="3528" w:type="pct"/>
          </w:tcPr>
          <w:p w14:paraId="40926A5D"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II): </w:t>
            </w:r>
            <w:r>
              <w:rPr>
                <w:lang w:val="es-AR"/>
              </w:rPr>
              <w:t xml:space="preserve">Informe sobre la marcha de </w:t>
            </w:r>
            <w:r w:rsidRPr="005C328B">
              <w:rPr>
                <w:lang w:val="es-AR"/>
              </w:rPr>
              <w:t xml:space="preserve">las actividades </w:t>
            </w:r>
            <w:r>
              <w:rPr>
                <w:lang w:val="es-AR"/>
              </w:rPr>
              <w:t>–</w:t>
            </w:r>
            <w:r w:rsidRPr="005C328B">
              <w:rPr>
                <w:lang w:val="es-AR"/>
              </w:rPr>
              <w:t xml:space="preserve"> </w:t>
            </w:r>
            <w:r>
              <w:rPr>
                <w:lang w:val="es-AR"/>
              </w:rPr>
              <w:t xml:space="preserve">último </w:t>
            </w:r>
            <w:r w:rsidRPr="005C328B">
              <w:rPr>
                <w:lang w:val="es-AR"/>
              </w:rPr>
              <w:t xml:space="preserve">tramo del programa de trabajo </w:t>
            </w:r>
            <w:r>
              <w:rPr>
                <w:lang w:val="es-AR"/>
              </w:rPr>
              <w:t>e</w:t>
            </w:r>
            <w:r w:rsidRPr="005C328B">
              <w:rPr>
                <w:lang w:val="es-AR"/>
              </w:rPr>
              <w:t xml:space="preserve"> informe de verificación </w:t>
            </w:r>
          </w:p>
        </w:tc>
        <w:tc>
          <w:tcPr>
            <w:tcW w:w="712" w:type="pct"/>
            <w:vAlign w:val="center"/>
          </w:tcPr>
          <w:p w14:paraId="4C07391E" w14:textId="77777777" w:rsidR="00EE6440" w:rsidRPr="005C328B" w:rsidRDefault="00EE6440" w:rsidP="00AF751E">
            <w:pPr>
              <w:jc w:val="center"/>
              <w:rPr>
                <w:lang w:val="es-AR"/>
              </w:rPr>
            </w:pPr>
            <w:r w:rsidRPr="005C328B">
              <w:rPr>
                <w:lang w:val="es-AR"/>
              </w:rPr>
              <w:t>42-55</w:t>
            </w:r>
          </w:p>
        </w:tc>
      </w:tr>
      <w:tr w:rsidR="00EE6440" w:rsidRPr="005C328B" w14:paraId="47BBEA3D" w14:textId="77777777" w:rsidTr="00AF751E">
        <w:tc>
          <w:tcPr>
            <w:tcW w:w="760" w:type="pct"/>
            <w:shd w:val="clear" w:color="auto" w:fill="auto"/>
            <w:vAlign w:val="center"/>
          </w:tcPr>
          <w:p w14:paraId="10D3E282" w14:textId="77777777" w:rsidR="00EE6440" w:rsidRPr="005C328B" w:rsidRDefault="00EE6440" w:rsidP="00AF751E">
            <w:pPr>
              <w:rPr>
                <w:lang w:val="es-AR"/>
              </w:rPr>
            </w:pPr>
            <w:proofErr w:type="spellStart"/>
            <w:r w:rsidRPr="005C328B">
              <w:rPr>
                <w:lang w:val="es-AR"/>
              </w:rPr>
              <w:t>Côte</w:t>
            </w:r>
            <w:proofErr w:type="spellEnd"/>
            <w:r w:rsidRPr="005C328B">
              <w:rPr>
                <w:lang w:val="es-AR"/>
              </w:rPr>
              <w:t xml:space="preserve"> </w:t>
            </w:r>
            <w:proofErr w:type="spellStart"/>
            <w:r w:rsidRPr="005C328B">
              <w:rPr>
                <w:lang w:val="es-AR"/>
              </w:rPr>
              <w:t>d'Ivoire</w:t>
            </w:r>
            <w:proofErr w:type="spellEnd"/>
          </w:p>
        </w:tc>
        <w:tc>
          <w:tcPr>
            <w:tcW w:w="3528" w:type="pct"/>
          </w:tcPr>
          <w:p w14:paraId="2BA553A5"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Actualización </w:t>
            </w:r>
            <w:r>
              <w:rPr>
                <w:lang w:val="es-AR"/>
              </w:rPr>
              <w:t xml:space="preserve">sobre </w:t>
            </w:r>
            <w:r w:rsidRPr="005C328B">
              <w:rPr>
                <w:lang w:val="es-AR"/>
              </w:rPr>
              <w:t xml:space="preserve">la adopción del decreto interministerial para </w:t>
            </w:r>
            <w:r>
              <w:rPr>
                <w:lang w:val="es-AR"/>
              </w:rPr>
              <w:t xml:space="preserve">reglamentar </w:t>
            </w:r>
            <w:r w:rsidRPr="005C328B">
              <w:rPr>
                <w:lang w:val="es-AR"/>
              </w:rPr>
              <w:t xml:space="preserve">la importación, exportación, tránsito, reexportación y comercio de </w:t>
            </w:r>
            <w:r>
              <w:rPr>
                <w:lang w:val="es-AR"/>
              </w:rPr>
              <w:t>las SAO</w:t>
            </w:r>
            <w:r w:rsidRPr="005C328B">
              <w:rPr>
                <w:lang w:val="es-AR"/>
              </w:rPr>
              <w:t xml:space="preserve"> (decisión 86/23 b))</w:t>
            </w:r>
          </w:p>
        </w:tc>
        <w:tc>
          <w:tcPr>
            <w:tcW w:w="712" w:type="pct"/>
            <w:vAlign w:val="center"/>
          </w:tcPr>
          <w:p w14:paraId="0086A02F" w14:textId="77777777" w:rsidR="00EE6440" w:rsidRPr="005C328B" w:rsidRDefault="00EE6440" w:rsidP="00AF751E">
            <w:pPr>
              <w:jc w:val="center"/>
              <w:rPr>
                <w:lang w:val="es-AR"/>
              </w:rPr>
            </w:pPr>
            <w:r w:rsidRPr="005C328B">
              <w:rPr>
                <w:lang w:val="es-AR"/>
              </w:rPr>
              <w:t>56-63</w:t>
            </w:r>
          </w:p>
        </w:tc>
      </w:tr>
      <w:tr w:rsidR="00EE6440" w:rsidRPr="005C328B" w14:paraId="097841A6" w14:textId="77777777" w:rsidTr="00AF751E">
        <w:tc>
          <w:tcPr>
            <w:tcW w:w="760" w:type="pct"/>
            <w:shd w:val="clear" w:color="auto" w:fill="auto"/>
            <w:vAlign w:val="center"/>
          </w:tcPr>
          <w:p w14:paraId="0F1604B9" w14:textId="77777777" w:rsidR="00EE6440" w:rsidRPr="005C328B" w:rsidRDefault="00EE6440" w:rsidP="00AF751E">
            <w:pPr>
              <w:rPr>
                <w:lang w:val="es-AR"/>
              </w:rPr>
            </w:pPr>
            <w:r w:rsidRPr="005C328B">
              <w:rPr>
                <w:lang w:val="es-AR"/>
              </w:rPr>
              <w:t>Ecuador</w:t>
            </w:r>
          </w:p>
        </w:tc>
        <w:tc>
          <w:tcPr>
            <w:tcW w:w="3528" w:type="pct"/>
          </w:tcPr>
          <w:p w14:paraId="5ABFF4FD"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 xml:space="preserve">Postergación </w:t>
            </w:r>
            <w:r w:rsidRPr="005C328B">
              <w:rPr>
                <w:lang w:val="es-AR"/>
              </w:rPr>
              <w:t xml:space="preserve">de la prohibición </w:t>
            </w:r>
            <w:r>
              <w:rPr>
                <w:lang w:val="es-AR"/>
              </w:rPr>
              <w:t xml:space="preserve">de </w:t>
            </w:r>
            <w:r w:rsidRPr="005C328B">
              <w:rPr>
                <w:lang w:val="es-AR"/>
              </w:rPr>
              <w:t xml:space="preserve">las importaciones </w:t>
            </w:r>
            <w:r>
              <w:rPr>
                <w:lang w:val="es-AR"/>
              </w:rPr>
              <w:t>de HCFC-1</w:t>
            </w:r>
            <w:r w:rsidRPr="005C328B">
              <w:rPr>
                <w:lang w:val="es-AR"/>
              </w:rPr>
              <w:t xml:space="preserve">41b en </w:t>
            </w:r>
            <w:proofErr w:type="spellStart"/>
            <w:r w:rsidRPr="005C328B">
              <w:rPr>
                <w:lang w:val="es-AR"/>
              </w:rPr>
              <w:t>polioles</w:t>
            </w:r>
            <w:proofErr w:type="spellEnd"/>
            <w:r w:rsidRPr="005C328B">
              <w:rPr>
                <w:lang w:val="es-AR"/>
              </w:rPr>
              <w:t xml:space="preserve"> premezclados</w:t>
            </w:r>
          </w:p>
        </w:tc>
        <w:tc>
          <w:tcPr>
            <w:tcW w:w="712" w:type="pct"/>
            <w:vAlign w:val="center"/>
          </w:tcPr>
          <w:p w14:paraId="11266834" w14:textId="77777777" w:rsidR="00EE6440" w:rsidRPr="005C328B" w:rsidRDefault="00EE6440" w:rsidP="00AF751E">
            <w:pPr>
              <w:jc w:val="center"/>
              <w:rPr>
                <w:lang w:val="es-AR"/>
              </w:rPr>
            </w:pPr>
            <w:r w:rsidRPr="005C328B">
              <w:rPr>
                <w:lang w:val="es-AR"/>
              </w:rPr>
              <w:t>64-70</w:t>
            </w:r>
          </w:p>
        </w:tc>
      </w:tr>
      <w:tr w:rsidR="00EE6440" w:rsidRPr="005C328B" w14:paraId="69009331" w14:textId="77777777" w:rsidTr="00AF751E">
        <w:tc>
          <w:tcPr>
            <w:tcW w:w="760" w:type="pct"/>
            <w:shd w:val="clear" w:color="auto" w:fill="auto"/>
            <w:vAlign w:val="center"/>
          </w:tcPr>
          <w:p w14:paraId="657B3DF7" w14:textId="77777777" w:rsidR="00EE6440" w:rsidRPr="005C328B" w:rsidRDefault="00EE6440" w:rsidP="00AF751E">
            <w:pPr>
              <w:rPr>
                <w:lang w:val="es-AR"/>
              </w:rPr>
            </w:pPr>
            <w:r w:rsidRPr="005C328B">
              <w:rPr>
                <w:lang w:val="es-AR"/>
              </w:rPr>
              <w:t>Eswatini</w:t>
            </w:r>
          </w:p>
        </w:tc>
        <w:tc>
          <w:tcPr>
            <w:tcW w:w="3528" w:type="pct"/>
          </w:tcPr>
          <w:p w14:paraId="44052391"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 xml:space="preserve">Informe sobre la marcha de </w:t>
            </w:r>
            <w:r w:rsidRPr="005C328B">
              <w:rPr>
                <w:lang w:val="es-AR"/>
              </w:rPr>
              <w:t xml:space="preserve">las actividades - </w:t>
            </w:r>
            <w:r>
              <w:rPr>
                <w:lang w:val="es-AR"/>
              </w:rPr>
              <w:t>último tramo</w:t>
            </w:r>
            <w:r w:rsidRPr="005C328B">
              <w:rPr>
                <w:lang w:val="es-AR"/>
              </w:rPr>
              <w:t xml:space="preserve"> del programa de trabajo</w:t>
            </w:r>
          </w:p>
        </w:tc>
        <w:tc>
          <w:tcPr>
            <w:tcW w:w="712" w:type="pct"/>
            <w:vAlign w:val="center"/>
          </w:tcPr>
          <w:p w14:paraId="14324EAA" w14:textId="77777777" w:rsidR="00EE6440" w:rsidRPr="005C328B" w:rsidRDefault="00EE6440" w:rsidP="00AF751E">
            <w:pPr>
              <w:jc w:val="center"/>
              <w:rPr>
                <w:lang w:val="es-AR"/>
              </w:rPr>
            </w:pPr>
            <w:r w:rsidRPr="005C328B">
              <w:rPr>
                <w:lang w:val="es-AR"/>
              </w:rPr>
              <w:t>71-80</w:t>
            </w:r>
          </w:p>
        </w:tc>
      </w:tr>
      <w:tr w:rsidR="00EE6440" w:rsidRPr="005C328B" w14:paraId="37DFC85B" w14:textId="77777777" w:rsidTr="00AF751E">
        <w:tc>
          <w:tcPr>
            <w:tcW w:w="760" w:type="pct"/>
            <w:shd w:val="clear" w:color="auto" w:fill="auto"/>
            <w:vAlign w:val="center"/>
          </w:tcPr>
          <w:p w14:paraId="561BAAEC" w14:textId="77777777" w:rsidR="00EE6440" w:rsidRPr="005C328B" w:rsidRDefault="00EE6440" w:rsidP="00AF751E">
            <w:pPr>
              <w:rPr>
                <w:lang w:val="es-AR"/>
              </w:rPr>
            </w:pPr>
            <w:r w:rsidRPr="005C328B">
              <w:rPr>
                <w:lang w:val="es-AR"/>
              </w:rPr>
              <w:t>Etiopía</w:t>
            </w:r>
          </w:p>
        </w:tc>
        <w:tc>
          <w:tcPr>
            <w:tcW w:w="3528" w:type="pct"/>
          </w:tcPr>
          <w:p w14:paraId="7E78FDB1"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 xml:space="preserve">Informe sobre la marcha de </w:t>
            </w:r>
            <w:r w:rsidRPr="005C328B">
              <w:rPr>
                <w:lang w:val="es-AR"/>
              </w:rPr>
              <w:t xml:space="preserve">las actividades - </w:t>
            </w:r>
            <w:r>
              <w:rPr>
                <w:lang w:val="es-AR"/>
              </w:rPr>
              <w:t>último tramo</w:t>
            </w:r>
            <w:r w:rsidRPr="005C328B">
              <w:rPr>
                <w:lang w:val="es-AR"/>
              </w:rPr>
              <w:t xml:space="preserve"> del programa de trabajo</w:t>
            </w:r>
          </w:p>
        </w:tc>
        <w:tc>
          <w:tcPr>
            <w:tcW w:w="712" w:type="pct"/>
            <w:vAlign w:val="center"/>
          </w:tcPr>
          <w:p w14:paraId="02A966F7" w14:textId="77777777" w:rsidR="00EE6440" w:rsidRPr="005C328B" w:rsidRDefault="00EE6440" w:rsidP="00AF751E">
            <w:pPr>
              <w:jc w:val="center"/>
              <w:rPr>
                <w:lang w:val="es-AR"/>
              </w:rPr>
            </w:pPr>
            <w:r w:rsidRPr="005C328B">
              <w:rPr>
                <w:lang w:val="es-AR"/>
              </w:rPr>
              <w:t>81-90</w:t>
            </w:r>
          </w:p>
        </w:tc>
      </w:tr>
      <w:tr w:rsidR="00EE6440" w:rsidRPr="005C328B" w14:paraId="5450F3E6" w14:textId="77777777" w:rsidTr="00AF751E">
        <w:tc>
          <w:tcPr>
            <w:tcW w:w="760" w:type="pct"/>
            <w:shd w:val="clear" w:color="auto" w:fill="auto"/>
          </w:tcPr>
          <w:p w14:paraId="1F160E80" w14:textId="77777777" w:rsidR="00EE6440" w:rsidRPr="005C328B" w:rsidRDefault="00EE6440" w:rsidP="00AF751E">
            <w:pPr>
              <w:rPr>
                <w:lang w:val="es-AR"/>
              </w:rPr>
            </w:pPr>
            <w:r w:rsidRPr="005C328B">
              <w:rPr>
                <w:lang w:val="es-AR"/>
              </w:rPr>
              <w:t>Jamaica</w:t>
            </w:r>
          </w:p>
        </w:tc>
        <w:tc>
          <w:tcPr>
            <w:tcW w:w="3528" w:type="pct"/>
          </w:tcPr>
          <w:p w14:paraId="2C36FAE6"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II): Actualización </w:t>
            </w:r>
            <w:r>
              <w:rPr>
                <w:lang w:val="es-AR"/>
              </w:rPr>
              <w:t xml:space="preserve">sobre </w:t>
            </w:r>
            <w:r w:rsidRPr="005C328B">
              <w:rPr>
                <w:lang w:val="es-AR"/>
              </w:rPr>
              <w:t xml:space="preserve">el </w:t>
            </w:r>
            <w:r>
              <w:rPr>
                <w:lang w:val="es-AR"/>
              </w:rPr>
              <w:t>e</w:t>
            </w:r>
            <w:r w:rsidRPr="005C328B">
              <w:rPr>
                <w:lang w:val="es-AR"/>
              </w:rPr>
              <w:t xml:space="preserve">stado de </w:t>
            </w:r>
            <w:r>
              <w:rPr>
                <w:lang w:val="es-AR"/>
              </w:rPr>
              <w:t>aplicación</w:t>
            </w:r>
            <w:r w:rsidRPr="005C328B">
              <w:rPr>
                <w:lang w:val="es-AR"/>
              </w:rPr>
              <w:t xml:space="preserve"> de medidas para </w:t>
            </w:r>
            <w:r>
              <w:rPr>
                <w:lang w:val="es-AR"/>
              </w:rPr>
              <w:t>fortalecer</w:t>
            </w:r>
            <w:r w:rsidRPr="005C328B">
              <w:rPr>
                <w:lang w:val="es-AR"/>
              </w:rPr>
              <w:t xml:space="preserve"> </w:t>
            </w:r>
            <w:r>
              <w:rPr>
                <w:lang w:val="es-AR"/>
              </w:rPr>
              <w:t xml:space="preserve">el sistema de otorgamiento de licencias y </w:t>
            </w:r>
            <w:r w:rsidRPr="005C328B">
              <w:rPr>
                <w:lang w:val="es-AR"/>
              </w:rPr>
              <w:t>cuotas</w:t>
            </w:r>
            <w:r>
              <w:rPr>
                <w:lang w:val="es-AR"/>
              </w:rPr>
              <w:t>,</w:t>
            </w:r>
            <w:r w:rsidRPr="005C328B">
              <w:rPr>
                <w:lang w:val="es-AR"/>
              </w:rPr>
              <w:t xml:space="preserve"> y supervisión y </w:t>
            </w:r>
            <w:r>
              <w:rPr>
                <w:lang w:val="es-AR"/>
              </w:rPr>
              <w:t xml:space="preserve">presentación de </w:t>
            </w:r>
            <w:r>
              <w:rPr>
                <w:lang w:val="es-AR"/>
              </w:rPr>
              <w:lastRenderedPageBreak/>
              <w:t xml:space="preserve">informes sobre </w:t>
            </w:r>
            <w:r w:rsidRPr="005C328B">
              <w:rPr>
                <w:lang w:val="es-AR"/>
              </w:rPr>
              <w:t xml:space="preserve">consumo </w:t>
            </w:r>
            <w:r>
              <w:rPr>
                <w:lang w:val="es-AR"/>
              </w:rPr>
              <w:t xml:space="preserve">de los HCFC, </w:t>
            </w:r>
            <w:r w:rsidRPr="005C328B">
              <w:rPr>
                <w:lang w:val="es-AR"/>
              </w:rPr>
              <w:t>recomendado en el informe de verificación (86/72 (e))</w:t>
            </w:r>
          </w:p>
        </w:tc>
        <w:tc>
          <w:tcPr>
            <w:tcW w:w="712" w:type="pct"/>
            <w:vAlign w:val="center"/>
          </w:tcPr>
          <w:p w14:paraId="54441E73" w14:textId="77777777" w:rsidR="00EE6440" w:rsidRPr="005C328B" w:rsidRDefault="00EE6440" w:rsidP="00AF751E">
            <w:pPr>
              <w:jc w:val="center"/>
              <w:rPr>
                <w:lang w:val="es-AR"/>
              </w:rPr>
            </w:pPr>
            <w:r w:rsidRPr="005C328B">
              <w:rPr>
                <w:lang w:val="es-AR"/>
              </w:rPr>
              <w:lastRenderedPageBreak/>
              <w:t>91-96</w:t>
            </w:r>
          </w:p>
        </w:tc>
      </w:tr>
      <w:tr w:rsidR="00EE6440" w:rsidRPr="005C328B" w14:paraId="73B7A5AE" w14:textId="77777777" w:rsidTr="00AF751E">
        <w:tc>
          <w:tcPr>
            <w:tcW w:w="760" w:type="pct"/>
            <w:shd w:val="clear" w:color="auto" w:fill="auto"/>
          </w:tcPr>
          <w:p w14:paraId="40A99B64" w14:textId="77777777" w:rsidR="00EE6440" w:rsidRPr="005C328B" w:rsidRDefault="00EE6440" w:rsidP="00AF751E">
            <w:pPr>
              <w:rPr>
                <w:lang w:val="es-AR"/>
              </w:rPr>
            </w:pPr>
            <w:r w:rsidRPr="005C328B">
              <w:rPr>
                <w:lang w:val="es-AR"/>
              </w:rPr>
              <w:lastRenderedPageBreak/>
              <w:t>Jordania</w:t>
            </w:r>
          </w:p>
        </w:tc>
        <w:tc>
          <w:tcPr>
            <w:tcW w:w="3528" w:type="pct"/>
          </w:tcPr>
          <w:p w14:paraId="45BB2731"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II): C</w:t>
            </w:r>
            <w:r>
              <w:rPr>
                <w:lang w:val="es-AR"/>
              </w:rPr>
              <w:t>ambio de tecnología</w:t>
            </w:r>
            <w:r w:rsidRPr="005C328B">
              <w:rPr>
                <w:lang w:val="es-AR"/>
              </w:rPr>
              <w:t xml:space="preserve"> en cinco empresas</w:t>
            </w:r>
          </w:p>
        </w:tc>
        <w:tc>
          <w:tcPr>
            <w:tcW w:w="712" w:type="pct"/>
            <w:vAlign w:val="center"/>
          </w:tcPr>
          <w:p w14:paraId="37DB50CD" w14:textId="77777777" w:rsidR="00EE6440" w:rsidRPr="005C328B" w:rsidRDefault="00EE6440" w:rsidP="00AF751E">
            <w:pPr>
              <w:jc w:val="center"/>
              <w:rPr>
                <w:lang w:val="es-AR"/>
              </w:rPr>
            </w:pPr>
            <w:r w:rsidRPr="005C328B">
              <w:rPr>
                <w:lang w:val="es-AR"/>
              </w:rPr>
              <w:t>97-107</w:t>
            </w:r>
          </w:p>
        </w:tc>
      </w:tr>
      <w:tr w:rsidR="00EE6440" w:rsidRPr="005C328B" w14:paraId="061A4782" w14:textId="77777777" w:rsidTr="00AF751E">
        <w:tc>
          <w:tcPr>
            <w:tcW w:w="760" w:type="pct"/>
            <w:shd w:val="clear" w:color="auto" w:fill="auto"/>
          </w:tcPr>
          <w:p w14:paraId="675C02EA" w14:textId="77777777" w:rsidR="00EE6440" w:rsidRPr="005C328B" w:rsidRDefault="00EE6440" w:rsidP="00AF751E">
            <w:pPr>
              <w:rPr>
                <w:lang w:val="es-AR"/>
              </w:rPr>
            </w:pPr>
            <w:r w:rsidRPr="005C328B">
              <w:rPr>
                <w:lang w:val="es-AR"/>
              </w:rPr>
              <w:t xml:space="preserve">Lao, </w:t>
            </w:r>
            <w:r>
              <w:rPr>
                <w:lang w:val="es-AR"/>
              </w:rPr>
              <w:t xml:space="preserve">Rep. </w:t>
            </w:r>
            <w:proofErr w:type="spellStart"/>
            <w:r>
              <w:rPr>
                <w:lang w:val="es-AR"/>
              </w:rPr>
              <w:t>Dem</w:t>
            </w:r>
            <w:proofErr w:type="spellEnd"/>
            <w:r>
              <w:rPr>
                <w:lang w:val="es-AR"/>
              </w:rPr>
              <w:t>. Popular</w:t>
            </w:r>
          </w:p>
        </w:tc>
        <w:tc>
          <w:tcPr>
            <w:tcW w:w="3528" w:type="pct"/>
          </w:tcPr>
          <w:p w14:paraId="4FE8AAD7"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Petición de prórroga</w:t>
            </w:r>
            <w:r w:rsidRPr="005C328B">
              <w:rPr>
                <w:lang w:val="es-AR"/>
              </w:rPr>
              <w:t xml:space="preserve"> de la f</w:t>
            </w:r>
            <w:r>
              <w:rPr>
                <w:lang w:val="es-AR"/>
              </w:rPr>
              <w:t xml:space="preserve">echa de terminación </w:t>
            </w:r>
          </w:p>
        </w:tc>
        <w:tc>
          <w:tcPr>
            <w:tcW w:w="712" w:type="pct"/>
            <w:vAlign w:val="center"/>
          </w:tcPr>
          <w:p w14:paraId="2BEEE029" w14:textId="77777777" w:rsidR="00EE6440" w:rsidRPr="005C328B" w:rsidRDefault="00EE6440" w:rsidP="00AF751E">
            <w:pPr>
              <w:jc w:val="center"/>
              <w:rPr>
                <w:lang w:val="es-AR"/>
              </w:rPr>
            </w:pPr>
            <w:r w:rsidRPr="005C328B">
              <w:rPr>
                <w:lang w:val="es-AR"/>
              </w:rPr>
              <w:t>108-119</w:t>
            </w:r>
          </w:p>
        </w:tc>
      </w:tr>
      <w:tr w:rsidR="00EE6440" w:rsidRPr="005C328B" w14:paraId="06B47DCC" w14:textId="77777777" w:rsidTr="00AF751E">
        <w:tc>
          <w:tcPr>
            <w:tcW w:w="760" w:type="pct"/>
            <w:shd w:val="clear" w:color="auto" w:fill="auto"/>
          </w:tcPr>
          <w:p w14:paraId="39360C0F" w14:textId="77777777" w:rsidR="00EE6440" w:rsidRPr="005C328B" w:rsidRDefault="00EE6440" w:rsidP="00AF751E">
            <w:pPr>
              <w:jc w:val="left"/>
              <w:rPr>
                <w:lang w:val="es-AR"/>
              </w:rPr>
            </w:pPr>
            <w:r w:rsidRPr="005C328B">
              <w:rPr>
                <w:lang w:val="es-AR"/>
              </w:rPr>
              <w:t>Malasia</w:t>
            </w:r>
          </w:p>
        </w:tc>
        <w:tc>
          <w:tcPr>
            <w:tcW w:w="3528" w:type="pct"/>
          </w:tcPr>
          <w:p w14:paraId="69798060"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II): C</w:t>
            </w:r>
            <w:r>
              <w:rPr>
                <w:lang w:val="es-AR"/>
              </w:rPr>
              <w:t>ambio de tecnología</w:t>
            </w:r>
            <w:r w:rsidRPr="005C328B">
              <w:rPr>
                <w:lang w:val="es-AR"/>
              </w:rPr>
              <w:t xml:space="preserve"> en nueve empresas y </w:t>
            </w:r>
            <w:r>
              <w:rPr>
                <w:lang w:val="es-AR"/>
              </w:rPr>
              <w:t>n</w:t>
            </w:r>
            <w:r w:rsidRPr="005C328B">
              <w:rPr>
                <w:lang w:val="es-AR"/>
              </w:rPr>
              <w:t>uevas asignaciones de fondos</w:t>
            </w:r>
          </w:p>
        </w:tc>
        <w:tc>
          <w:tcPr>
            <w:tcW w:w="712" w:type="pct"/>
            <w:vAlign w:val="center"/>
          </w:tcPr>
          <w:p w14:paraId="753ED669" w14:textId="77777777" w:rsidR="00EE6440" w:rsidRPr="005C328B" w:rsidRDefault="00EE6440" w:rsidP="00AF751E">
            <w:pPr>
              <w:jc w:val="center"/>
              <w:rPr>
                <w:lang w:val="es-AR"/>
              </w:rPr>
            </w:pPr>
            <w:r w:rsidRPr="005C328B">
              <w:rPr>
                <w:lang w:val="es-AR"/>
              </w:rPr>
              <w:t>120-131</w:t>
            </w:r>
          </w:p>
        </w:tc>
      </w:tr>
      <w:tr w:rsidR="00EE6440" w:rsidRPr="005C328B" w14:paraId="3AB90389" w14:textId="77777777" w:rsidTr="00AF751E">
        <w:tc>
          <w:tcPr>
            <w:tcW w:w="760" w:type="pct"/>
            <w:shd w:val="clear" w:color="auto" w:fill="auto"/>
          </w:tcPr>
          <w:p w14:paraId="554AB421" w14:textId="77777777" w:rsidR="00EE6440" w:rsidRPr="005C328B" w:rsidRDefault="00EE6440" w:rsidP="00AF751E">
            <w:pPr>
              <w:jc w:val="left"/>
              <w:rPr>
                <w:lang w:val="es-AR"/>
              </w:rPr>
            </w:pPr>
            <w:r w:rsidRPr="005C328B">
              <w:rPr>
                <w:lang w:val="es-AR"/>
              </w:rPr>
              <w:t>México</w:t>
            </w:r>
          </w:p>
        </w:tc>
        <w:tc>
          <w:tcPr>
            <w:tcW w:w="3528" w:type="pct"/>
          </w:tcPr>
          <w:p w14:paraId="2DED3898"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 xml:space="preserve">Informe sobre la marcha de </w:t>
            </w:r>
            <w:r w:rsidRPr="005C328B">
              <w:rPr>
                <w:lang w:val="es-AR"/>
              </w:rPr>
              <w:t xml:space="preserve">las actividades - </w:t>
            </w:r>
            <w:r>
              <w:rPr>
                <w:lang w:val="es-AR"/>
              </w:rPr>
              <w:t>último tramo</w:t>
            </w:r>
            <w:r w:rsidRPr="005C328B">
              <w:rPr>
                <w:lang w:val="es-AR"/>
              </w:rPr>
              <w:t xml:space="preserve"> del programa de trabajo</w:t>
            </w:r>
          </w:p>
        </w:tc>
        <w:tc>
          <w:tcPr>
            <w:tcW w:w="712" w:type="pct"/>
            <w:vAlign w:val="center"/>
          </w:tcPr>
          <w:p w14:paraId="00A0FA8F" w14:textId="77777777" w:rsidR="00EE6440" w:rsidRPr="005C328B" w:rsidRDefault="00EE6440" w:rsidP="00AF751E">
            <w:pPr>
              <w:jc w:val="center"/>
              <w:rPr>
                <w:lang w:val="es-AR"/>
              </w:rPr>
            </w:pPr>
            <w:r w:rsidRPr="005C328B">
              <w:rPr>
                <w:lang w:val="es-AR"/>
              </w:rPr>
              <w:t>132-137</w:t>
            </w:r>
          </w:p>
        </w:tc>
      </w:tr>
      <w:tr w:rsidR="00EE6440" w:rsidRPr="005C328B" w14:paraId="508E0F4A" w14:textId="77777777" w:rsidTr="00AF751E">
        <w:tc>
          <w:tcPr>
            <w:tcW w:w="760" w:type="pct"/>
            <w:shd w:val="clear" w:color="auto" w:fill="auto"/>
          </w:tcPr>
          <w:p w14:paraId="66C97277" w14:textId="77777777" w:rsidR="00EE6440" w:rsidRPr="005C328B" w:rsidRDefault="00EE6440" w:rsidP="00AF751E">
            <w:pPr>
              <w:jc w:val="left"/>
              <w:rPr>
                <w:lang w:val="es-AR"/>
              </w:rPr>
            </w:pPr>
            <w:r w:rsidRPr="005C328B">
              <w:rPr>
                <w:lang w:val="es-AR"/>
              </w:rPr>
              <w:t>Marruecos</w:t>
            </w:r>
          </w:p>
        </w:tc>
        <w:tc>
          <w:tcPr>
            <w:tcW w:w="3528" w:type="pct"/>
          </w:tcPr>
          <w:p w14:paraId="59392069"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 xml:space="preserve">Informe sobre la marcha de </w:t>
            </w:r>
            <w:r w:rsidRPr="005C328B">
              <w:rPr>
                <w:lang w:val="es-AR"/>
              </w:rPr>
              <w:t xml:space="preserve">las actividades - </w:t>
            </w:r>
            <w:r>
              <w:rPr>
                <w:lang w:val="es-AR"/>
              </w:rPr>
              <w:t>último tramo</w:t>
            </w:r>
            <w:r w:rsidRPr="005C328B">
              <w:rPr>
                <w:lang w:val="es-AR"/>
              </w:rPr>
              <w:t xml:space="preserve"> del programa de trabajo</w:t>
            </w:r>
          </w:p>
        </w:tc>
        <w:tc>
          <w:tcPr>
            <w:tcW w:w="712" w:type="pct"/>
            <w:vAlign w:val="center"/>
          </w:tcPr>
          <w:p w14:paraId="7F9D4C89" w14:textId="77777777" w:rsidR="00EE6440" w:rsidRPr="005C328B" w:rsidRDefault="00EE6440" w:rsidP="00AF751E">
            <w:pPr>
              <w:jc w:val="center"/>
              <w:rPr>
                <w:lang w:val="es-AR"/>
              </w:rPr>
            </w:pPr>
            <w:r w:rsidRPr="005C328B">
              <w:rPr>
                <w:lang w:val="es-AR"/>
              </w:rPr>
              <w:t>138-149</w:t>
            </w:r>
          </w:p>
        </w:tc>
      </w:tr>
      <w:tr w:rsidR="00EE6440" w:rsidRPr="005C328B" w14:paraId="4662BA16" w14:textId="77777777" w:rsidTr="00AF751E">
        <w:tc>
          <w:tcPr>
            <w:tcW w:w="760" w:type="pct"/>
            <w:shd w:val="clear" w:color="auto" w:fill="auto"/>
          </w:tcPr>
          <w:p w14:paraId="74ED7CE5" w14:textId="77777777" w:rsidR="00EE6440" w:rsidRPr="005C328B" w:rsidRDefault="00EE6440" w:rsidP="00AF751E">
            <w:pPr>
              <w:jc w:val="left"/>
              <w:rPr>
                <w:lang w:val="es-AR"/>
              </w:rPr>
            </w:pPr>
            <w:r w:rsidRPr="005C328B">
              <w:rPr>
                <w:lang w:val="es-AR"/>
              </w:rPr>
              <w:t>Nepal</w:t>
            </w:r>
          </w:p>
        </w:tc>
        <w:tc>
          <w:tcPr>
            <w:tcW w:w="3528" w:type="pct"/>
          </w:tcPr>
          <w:p w14:paraId="55DD566D"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Petición de prórroga</w:t>
            </w:r>
            <w:r w:rsidRPr="005C328B">
              <w:rPr>
                <w:lang w:val="es-AR"/>
              </w:rPr>
              <w:t xml:space="preserve"> de la f</w:t>
            </w:r>
            <w:r>
              <w:rPr>
                <w:lang w:val="es-AR"/>
              </w:rPr>
              <w:t xml:space="preserve">echa de terminación </w:t>
            </w:r>
          </w:p>
        </w:tc>
        <w:tc>
          <w:tcPr>
            <w:tcW w:w="712" w:type="pct"/>
            <w:vAlign w:val="center"/>
          </w:tcPr>
          <w:p w14:paraId="2749698B" w14:textId="77777777" w:rsidR="00EE6440" w:rsidRPr="005C328B" w:rsidRDefault="00EE6440" w:rsidP="00AF751E">
            <w:pPr>
              <w:jc w:val="center"/>
              <w:rPr>
                <w:lang w:val="es-AR"/>
              </w:rPr>
            </w:pPr>
            <w:r w:rsidRPr="005C328B">
              <w:rPr>
                <w:lang w:val="es-AR"/>
              </w:rPr>
              <w:t>150-158</w:t>
            </w:r>
          </w:p>
        </w:tc>
      </w:tr>
      <w:tr w:rsidR="00EE6440" w:rsidRPr="005C328B" w14:paraId="460EEE8F" w14:textId="77777777" w:rsidTr="00AF751E">
        <w:tc>
          <w:tcPr>
            <w:tcW w:w="760" w:type="pct"/>
            <w:shd w:val="clear" w:color="auto" w:fill="auto"/>
          </w:tcPr>
          <w:p w14:paraId="5489A77F" w14:textId="77777777" w:rsidR="00EE6440" w:rsidRPr="005C328B" w:rsidRDefault="00EE6440" w:rsidP="00AF751E">
            <w:pPr>
              <w:jc w:val="left"/>
              <w:rPr>
                <w:lang w:val="es-AR"/>
              </w:rPr>
            </w:pPr>
            <w:r w:rsidRPr="005C328B">
              <w:rPr>
                <w:lang w:val="es-AR"/>
              </w:rPr>
              <w:t xml:space="preserve">Países </w:t>
            </w:r>
            <w:r>
              <w:rPr>
                <w:lang w:val="es-AR"/>
              </w:rPr>
              <w:t>I</w:t>
            </w:r>
            <w:r w:rsidRPr="005C328B">
              <w:rPr>
                <w:lang w:val="es-AR"/>
              </w:rPr>
              <w:t>nsulares del Pacífico</w:t>
            </w:r>
          </w:p>
        </w:tc>
        <w:tc>
          <w:tcPr>
            <w:tcW w:w="3528" w:type="pct"/>
          </w:tcPr>
          <w:p w14:paraId="3FEB943E"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Petición de prórroga</w:t>
            </w:r>
            <w:r w:rsidRPr="005C328B">
              <w:rPr>
                <w:lang w:val="es-AR"/>
              </w:rPr>
              <w:t xml:space="preserve"> de la f</w:t>
            </w:r>
            <w:r>
              <w:rPr>
                <w:lang w:val="es-AR"/>
              </w:rPr>
              <w:t xml:space="preserve">echa de terminación </w:t>
            </w:r>
          </w:p>
        </w:tc>
        <w:tc>
          <w:tcPr>
            <w:tcW w:w="712" w:type="pct"/>
            <w:vAlign w:val="center"/>
          </w:tcPr>
          <w:p w14:paraId="4BA2F7F2" w14:textId="77777777" w:rsidR="00EE6440" w:rsidRPr="005C328B" w:rsidRDefault="00EE6440" w:rsidP="00AF751E">
            <w:pPr>
              <w:jc w:val="center"/>
              <w:rPr>
                <w:lang w:val="es-AR"/>
              </w:rPr>
            </w:pPr>
            <w:r w:rsidRPr="005C328B">
              <w:rPr>
                <w:lang w:val="es-AR"/>
              </w:rPr>
              <w:t>159-171</w:t>
            </w:r>
          </w:p>
        </w:tc>
      </w:tr>
      <w:tr w:rsidR="00EE6440" w:rsidRPr="005C328B" w14:paraId="651DBBA4" w14:textId="77777777" w:rsidTr="00AF751E">
        <w:tc>
          <w:tcPr>
            <w:tcW w:w="760" w:type="pct"/>
            <w:shd w:val="clear" w:color="auto" w:fill="auto"/>
          </w:tcPr>
          <w:p w14:paraId="45E2B027" w14:textId="77777777" w:rsidR="00EE6440" w:rsidRPr="005C328B" w:rsidRDefault="00EE6440" w:rsidP="00AF751E">
            <w:pPr>
              <w:jc w:val="left"/>
              <w:rPr>
                <w:lang w:val="es-AR"/>
              </w:rPr>
            </w:pPr>
            <w:r w:rsidRPr="005C328B">
              <w:rPr>
                <w:lang w:val="es-AR"/>
              </w:rPr>
              <w:t>Filipinas</w:t>
            </w:r>
          </w:p>
        </w:tc>
        <w:tc>
          <w:tcPr>
            <w:tcW w:w="3528" w:type="pct"/>
          </w:tcPr>
          <w:p w14:paraId="248C9798"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II)</w:t>
            </w:r>
            <w:r>
              <w:rPr>
                <w:lang w:val="es-AR"/>
              </w:rPr>
              <w:t xml:space="preserve">; Pedido de </w:t>
            </w:r>
            <w:r w:rsidRPr="005C328B">
              <w:rPr>
                <w:lang w:val="es-AR"/>
              </w:rPr>
              <w:t xml:space="preserve">cancelación del plan del sector </w:t>
            </w:r>
            <w:r>
              <w:rPr>
                <w:lang w:val="es-AR"/>
              </w:rPr>
              <w:t>de fabricación de equipos de climatización</w:t>
            </w:r>
            <w:r w:rsidRPr="005C328B">
              <w:rPr>
                <w:lang w:val="es-AR"/>
              </w:rPr>
              <w:t>, plan de ejecución revisado y puesta al día de</w:t>
            </w:r>
            <w:r>
              <w:rPr>
                <w:lang w:val="es-AR"/>
              </w:rPr>
              <w:t>l Acuerdo</w:t>
            </w:r>
          </w:p>
        </w:tc>
        <w:tc>
          <w:tcPr>
            <w:tcW w:w="712" w:type="pct"/>
            <w:vAlign w:val="center"/>
          </w:tcPr>
          <w:p w14:paraId="40A06A60" w14:textId="77777777" w:rsidR="00EE6440" w:rsidRPr="005C328B" w:rsidRDefault="00EE6440" w:rsidP="00AF751E">
            <w:pPr>
              <w:jc w:val="center"/>
              <w:rPr>
                <w:lang w:val="es-AR"/>
              </w:rPr>
            </w:pPr>
            <w:r w:rsidRPr="005C328B">
              <w:rPr>
                <w:lang w:val="es-AR"/>
              </w:rPr>
              <w:t>172-195</w:t>
            </w:r>
          </w:p>
        </w:tc>
      </w:tr>
      <w:tr w:rsidR="00EE6440" w:rsidRPr="005C328B" w14:paraId="6FF624F8" w14:textId="77777777" w:rsidTr="00AF751E">
        <w:tc>
          <w:tcPr>
            <w:tcW w:w="760" w:type="pct"/>
            <w:shd w:val="clear" w:color="auto" w:fill="auto"/>
          </w:tcPr>
          <w:p w14:paraId="40B46974" w14:textId="77777777" w:rsidR="00EE6440" w:rsidRPr="005C328B" w:rsidRDefault="00EE6440" w:rsidP="00AF751E">
            <w:pPr>
              <w:jc w:val="left"/>
              <w:rPr>
                <w:lang w:val="es-AR"/>
              </w:rPr>
            </w:pPr>
            <w:r w:rsidRPr="005C328B">
              <w:rPr>
                <w:lang w:val="es-AR"/>
              </w:rPr>
              <w:t>Uruguay</w:t>
            </w:r>
          </w:p>
        </w:tc>
        <w:tc>
          <w:tcPr>
            <w:tcW w:w="3528" w:type="pct"/>
            <w:shd w:val="clear" w:color="auto" w:fill="auto"/>
            <w:vAlign w:val="center"/>
          </w:tcPr>
          <w:p w14:paraId="643E700A" w14:textId="77777777" w:rsidR="00EE6440" w:rsidRPr="005C328B" w:rsidRDefault="00EE6440" w:rsidP="00AF751E">
            <w:pPr>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w:t>
            </w:r>
            <w:r>
              <w:rPr>
                <w:lang w:val="es-AR"/>
              </w:rPr>
              <w:t>Petición de prórroga</w:t>
            </w:r>
            <w:r w:rsidRPr="005C328B">
              <w:rPr>
                <w:lang w:val="es-AR"/>
              </w:rPr>
              <w:t xml:space="preserve"> de la fecha </w:t>
            </w:r>
            <w:r>
              <w:rPr>
                <w:lang w:val="es-AR"/>
              </w:rPr>
              <w:t>de terminación e</w:t>
            </w:r>
            <w:r w:rsidRPr="005C328B">
              <w:rPr>
                <w:lang w:val="es-AR"/>
              </w:rPr>
              <w:t xml:space="preserve"> </w:t>
            </w:r>
            <w:r>
              <w:rPr>
                <w:lang w:val="es-AR"/>
              </w:rPr>
              <w:t>i</w:t>
            </w:r>
            <w:r w:rsidRPr="005C328B">
              <w:rPr>
                <w:lang w:val="es-AR"/>
              </w:rPr>
              <w:t xml:space="preserve">nforme </w:t>
            </w:r>
            <w:r>
              <w:rPr>
                <w:lang w:val="es-AR"/>
              </w:rPr>
              <w:t xml:space="preserve">sobre la marcha de las actividades relativo a la ejecución </w:t>
            </w:r>
            <w:r w:rsidRPr="005C328B">
              <w:rPr>
                <w:lang w:val="es-AR"/>
              </w:rPr>
              <w:t xml:space="preserve">del </w:t>
            </w:r>
            <w:r>
              <w:rPr>
                <w:lang w:val="es-AR"/>
              </w:rPr>
              <w:t>sector de espumas</w:t>
            </w:r>
          </w:p>
        </w:tc>
        <w:tc>
          <w:tcPr>
            <w:tcW w:w="712" w:type="pct"/>
            <w:vAlign w:val="center"/>
          </w:tcPr>
          <w:p w14:paraId="4A5D14DC" w14:textId="77777777" w:rsidR="00EE6440" w:rsidRPr="005C328B" w:rsidRDefault="00EE6440" w:rsidP="00AF751E">
            <w:pPr>
              <w:jc w:val="center"/>
              <w:rPr>
                <w:lang w:val="es-AR"/>
              </w:rPr>
            </w:pPr>
            <w:r w:rsidRPr="005C328B">
              <w:rPr>
                <w:lang w:val="es-AR"/>
              </w:rPr>
              <w:t>196-209</w:t>
            </w:r>
          </w:p>
        </w:tc>
      </w:tr>
      <w:tr w:rsidR="00EE6440" w:rsidRPr="00305D02" w14:paraId="696F91DB" w14:textId="77777777" w:rsidTr="00AF751E">
        <w:tc>
          <w:tcPr>
            <w:tcW w:w="5000" w:type="pct"/>
            <w:gridSpan w:val="3"/>
            <w:shd w:val="clear" w:color="auto" w:fill="auto"/>
          </w:tcPr>
          <w:p w14:paraId="50F53142" w14:textId="77777777" w:rsidR="00EE6440" w:rsidRPr="005C328B" w:rsidRDefault="00EE6440" w:rsidP="00AF751E">
            <w:pPr>
              <w:jc w:val="left"/>
              <w:rPr>
                <w:b/>
                <w:lang w:val="es-AR"/>
              </w:rPr>
            </w:pPr>
            <w:r w:rsidRPr="005C328B">
              <w:rPr>
                <w:b/>
                <w:lang w:val="es-AR"/>
              </w:rPr>
              <w:t xml:space="preserve">Cambio del </w:t>
            </w:r>
            <w:r>
              <w:rPr>
                <w:b/>
                <w:lang w:val="es-AR"/>
              </w:rPr>
              <w:t>organismo de ejecución</w:t>
            </w:r>
            <w:r w:rsidRPr="005C328B">
              <w:rPr>
                <w:b/>
                <w:lang w:val="es-AR"/>
              </w:rPr>
              <w:t xml:space="preserve"> </w:t>
            </w:r>
          </w:p>
        </w:tc>
      </w:tr>
      <w:tr w:rsidR="00EE6440" w:rsidRPr="005C328B" w14:paraId="5EF0AEE2" w14:textId="77777777" w:rsidTr="00AF751E">
        <w:tc>
          <w:tcPr>
            <w:tcW w:w="760" w:type="pct"/>
            <w:shd w:val="clear" w:color="auto" w:fill="auto"/>
            <w:vAlign w:val="center"/>
          </w:tcPr>
          <w:p w14:paraId="783B7970" w14:textId="77777777" w:rsidR="00EE6440" w:rsidRPr="005C328B" w:rsidRDefault="00EE6440" w:rsidP="00AF751E">
            <w:pPr>
              <w:jc w:val="left"/>
              <w:rPr>
                <w:lang w:val="es-AR"/>
              </w:rPr>
            </w:pPr>
            <w:r w:rsidRPr="005C328B">
              <w:rPr>
                <w:lang w:val="es-AR"/>
              </w:rPr>
              <w:t>Ecuador</w:t>
            </w:r>
          </w:p>
        </w:tc>
        <w:tc>
          <w:tcPr>
            <w:tcW w:w="3528" w:type="pct"/>
          </w:tcPr>
          <w:p w14:paraId="1CAEB9B2" w14:textId="77777777" w:rsidR="00EE6440" w:rsidRPr="005C328B" w:rsidRDefault="00EE6440" w:rsidP="00AF751E">
            <w:pPr>
              <w:rPr>
                <w:lang w:val="es-AR"/>
              </w:rPr>
            </w:pPr>
            <w:r>
              <w:rPr>
                <w:lang w:val="es-AR"/>
              </w:rPr>
              <w:t xml:space="preserve">Fortalecimiento institucional </w:t>
            </w:r>
            <w:r w:rsidRPr="005C328B">
              <w:rPr>
                <w:lang w:val="es-AR"/>
              </w:rPr>
              <w:t xml:space="preserve">y plan de gestión de eliminación de </w:t>
            </w:r>
            <w:r>
              <w:rPr>
                <w:lang w:val="es-AR"/>
              </w:rPr>
              <w:t>los HCFC</w:t>
            </w:r>
            <w:r w:rsidRPr="005C328B">
              <w:rPr>
                <w:lang w:val="es-AR"/>
              </w:rPr>
              <w:t xml:space="preserve"> (etapas I </w:t>
            </w:r>
            <w:r>
              <w:rPr>
                <w:lang w:val="es-AR"/>
              </w:rPr>
              <w:t>y</w:t>
            </w:r>
            <w:r w:rsidRPr="005C328B">
              <w:rPr>
                <w:lang w:val="es-AR"/>
              </w:rPr>
              <w:t xml:space="preserve"> II): Cambio del </w:t>
            </w:r>
            <w:r>
              <w:rPr>
                <w:lang w:val="es-AR"/>
              </w:rPr>
              <w:t>organismo de ejecución,</w:t>
            </w:r>
            <w:r w:rsidRPr="005C328B">
              <w:rPr>
                <w:lang w:val="es-AR"/>
              </w:rPr>
              <w:t xml:space="preserve"> d</w:t>
            </w:r>
            <w:r>
              <w:rPr>
                <w:lang w:val="es-AR"/>
              </w:rPr>
              <w:t>el PNUMA</w:t>
            </w:r>
            <w:r w:rsidRPr="005C328B">
              <w:rPr>
                <w:lang w:val="es-AR"/>
              </w:rPr>
              <w:t xml:space="preserve"> a </w:t>
            </w:r>
            <w:r>
              <w:rPr>
                <w:lang w:val="es-AR"/>
              </w:rPr>
              <w:t>la ONUDI</w:t>
            </w:r>
          </w:p>
        </w:tc>
        <w:tc>
          <w:tcPr>
            <w:tcW w:w="712" w:type="pct"/>
            <w:vAlign w:val="center"/>
          </w:tcPr>
          <w:p w14:paraId="7616ACD0" w14:textId="77777777" w:rsidR="00EE6440" w:rsidRPr="005C328B" w:rsidRDefault="00EE6440" w:rsidP="00AF751E">
            <w:pPr>
              <w:jc w:val="center"/>
              <w:rPr>
                <w:lang w:val="es-AR"/>
              </w:rPr>
            </w:pPr>
            <w:r w:rsidRPr="005C328B">
              <w:rPr>
                <w:lang w:val="es-AR"/>
              </w:rPr>
              <w:t>210-214</w:t>
            </w:r>
          </w:p>
        </w:tc>
      </w:tr>
      <w:tr w:rsidR="00EE6440" w:rsidRPr="005C328B" w14:paraId="405C3979" w14:textId="77777777" w:rsidTr="00AF751E">
        <w:tc>
          <w:tcPr>
            <w:tcW w:w="4288" w:type="pct"/>
            <w:gridSpan w:val="2"/>
            <w:shd w:val="clear" w:color="auto" w:fill="auto"/>
          </w:tcPr>
          <w:p w14:paraId="5271EFBD" w14:textId="77777777" w:rsidR="00EE6440" w:rsidRPr="005C328B" w:rsidRDefault="00EE6440" w:rsidP="00AF751E">
            <w:pPr>
              <w:rPr>
                <w:b/>
                <w:lang w:val="es-AR"/>
              </w:rPr>
            </w:pPr>
            <w:r w:rsidRPr="005C328B">
              <w:rPr>
                <w:b/>
                <w:lang w:val="es-AR"/>
              </w:rPr>
              <w:t xml:space="preserve">Informe sobre las actividades </w:t>
            </w:r>
            <w:r>
              <w:rPr>
                <w:b/>
                <w:lang w:val="es-AR"/>
              </w:rPr>
              <w:t xml:space="preserve">relacionadas con los </w:t>
            </w:r>
            <w:r w:rsidRPr="005C328B">
              <w:rPr>
                <w:b/>
                <w:lang w:val="es-AR"/>
              </w:rPr>
              <w:t>HFC que requieren prórroga</w:t>
            </w:r>
          </w:p>
        </w:tc>
        <w:tc>
          <w:tcPr>
            <w:tcW w:w="712" w:type="pct"/>
            <w:vAlign w:val="center"/>
          </w:tcPr>
          <w:p w14:paraId="7807051E" w14:textId="77777777" w:rsidR="00EE6440" w:rsidRPr="005C328B" w:rsidRDefault="00EE6440" w:rsidP="00AF751E">
            <w:pPr>
              <w:jc w:val="center"/>
              <w:rPr>
                <w:lang w:val="es-AR"/>
              </w:rPr>
            </w:pPr>
            <w:r w:rsidRPr="005C328B">
              <w:rPr>
                <w:lang w:val="es-AR"/>
              </w:rPr>
              <w:t>215-220</w:t>
            </w:r>
          </w:p>
        </w:tc>
      </w:tr>
      <w:tr w:rsidR="00EE6440" w:rsidRPr="005C328B" w14:paraId="7E3CE8C2" w14:textId="77777777" w:rsidTr="00AF751E">
        <w:tc>
          <w:tcPr>
            <w:tcW w:w="4288" w:type="pct"/>
            <w:gridSpan w:val="2"/>
            <w:shd w:val="clear" w:color="auto" w:fill="auto"/>
          </w:tcPr>
          <w:p w14:paraId="2D15AE40" w14:textId="77777777" w:rsidR="00EE6440" w:rsidRPr="005C328B" w:rsidRDefault="00EE6440" w:rsidP="00AF751E">
            <w:pPr>
              <w:rPr>
                <w:b/>
                <w:lang w:val="es-AR"/>
              </w:rPr>
            </w:pPr>
            <w:r w:rsidRPr="005C328B">
              <w:rPr>
                <w:b/>
                <w:lang w:val="es-AR"/>
              </w:rPr>
              <w:t>Peticiones para prórroga de actividades de facilitación</w:t>
            </w:r>
            <w:r>
              <w:rPr>
                <w:b/>
                <w:lang w:val="es-AR"/>
              </w:rPr>
              <w:t>,</w:t>
            </w:r>
            <w:r w:rsidRPr="005C328B">
              <w:rPr>
                <w:b/>
                <w:lang w:val="es-AR"/>
              </w:rPr>
              <w:t xml:space="preserve"> conforme a la decisión 81/32 a)</w:t>
            </w:r>
          </w:p>
        </w:tc>
        <w:tc>
          <w:tcPr>
            <w:tcW w:w="712" w:type="pct"/>
            <w:vAlign w:val="center"/>
          </w:tcPr>
          <w:p w14:paraId="33CA982E" w14:textId="77777777" w:rsidR="00EE6440" w:rsidRPr="005C328B" w:rsidRDefault="00EE6440" w:rsidP="00AF751E">
            <w:pPr>
              <w:jc w:val="center"/>
              <w:rPr>
                <w:lang w:val="es-AR"/>
              </w:rPr>
            </w:pPr>
            <w:r w:rsidRPr="005C328B">
              <w:rPr>
                <w:lang w:val="es-AR"/>
              </w:rPr>
              <w:t>221-223</w:t>
            </w:r>
          </w:p>
        </w:tc>
      </w:tr>
    </w:tbl>
    <w:p w14:paraId="01BA68B2" w14:textId="77777777" w:rsidR="00EE6440" w:rsidRPr="005C328B" w:rsidRDefault="00EE6440" w:rsidP="00EE6440">
      <w:pPr>
        <w:rPr>
          <w:lang w:val="es-AR"/>
        </w:rPr>
      </w:pPr>
    </w:p>
    <w:p w14:paraId="674F1ED9" w14:textId="77777777" w:rsidR="00EE6440" w:rsidRPr="005C328B" w:rsidRDefault="00EE6440" w:rsidP="00EE6440">
      <w:pPr>
        <w:pStyle w:val="Heading1"/>
        <w:rPr>
          <w:lang w:val="es-AR"/>
        </w:rPr>
      </w:pPr>
      <w:r w:rsidRPr="00C56CB1">
        <w:rPr>
          <w:lang w:val="es-AR"/>
        </w:rPr>
        <w:t>El Cuadro 2 enumera los informes sobre proyectos con requisitos de información específicos presentados a la 87</w:t>
      </w:r>
      <w:r>
        <w:rPr>
          <w:vertAlign w:val="superscript"/>
          <w:lang w:val="es-AR"/>
        </w:rPr>
        <w:t>a</w:t>
      </w:r>
      <w:r w:rsidRPr="005C328B">
        <w:rPr>
          <w:vertAlign w:val="superscript"/>
          <w:lang w:val="es-AR"/>
        </w:rPr>
        <w:t> </w:t>
      </w:r>
      <w:r w:rsidRPr="005C328B">
        <w:rPr>
          <w:lang w:val="es-AR"/>
        </w:rPr>
        <w:t xml:space="preserve">reunión </w:t>
      </w:r>
      <w:r>
        <w:rPr>
          <w:lang w:val="es-AR"/>
        </w:rPr>
        <w:t>para consideración individual</w:t>
      </w:r>
      <w:r w:rsidRPr="005C328B">
        <w:rPr>
          <w:lang w:val="es-AR"/>
        </w:rPr>
        <w:t xml:space="preserve"> y </w:t>
      </w:r>
      <w:r>
        <w:rPr>
          <w:lang w:val="es-AR"/>
        </w:rPr>
        <w:t>d</w:t>
      </w:r>
      <w:r w:rsidRPr="005C328B">
        <w:rPr>
          <w:lang w:val="es-AR"/>
        </w:rPr>
        <w:t xml:space="preserve">a una breve explicación de </w:t>
      </w:r>
      <w:r>
        <w:rPr>
          <w:lang w:val="es-AR"/>
        </w:rPr>
        <w:t xml:space="preserve">los </w:t>
      </w:r>
      <w:r w:rsidRPr="005C328B">
        <w:rPr>
          <w:lang w:val="es-AR"/>
        </w:rPr>
        <w:t xml:space="preserve">temas </w:t>
      </w:r>
      <w:r>
        <w:rPr>
          <w:lang w:val="es-AR"/>
        </w:rPr>
        <w:t>conexos</w:t>
      </w:r>
      <w:r w:rsidRPr="005C328B">
        <w:rPr>
          <w:lang w:val="es-AR"/>
        </w:rPr>
        <w:t xml:space="preserve">. </w:t>
      </w:r>
    </w:p>
    <w:p w14:paraId="615F4EC9" w14:textId="77777777" w:rsidR="00EE6440" w:rsidRPr="005C328B" w:rsidRDefault="00EE6440" w:rsidP="00EE6440">
      <w:pPr>
        <w:pStyle w:val="Heading1"/>
        <w:keepNext/>
        <w:numPr>
          <w:ilvl w:val="0"/>
          <w:numId w:val="0"/>
        </w:numPr>
        <w:spacing w:after="0"/>
        <w:rPr>
          <w:b/>
          <w:sz w:val="21"/>
          <w:szCs w:val="21"/>
          <w:lang w:val="es-AR"/>
        </w:rPr>
      </w:pPr>
      <w:r w:rsidRPr="005C328B">
        <w:rPr>
          <w:b/>
          <w:sz w:val="21"/>
          <w:szCs w:val="21"/>
          <w:lang w:val="es-AR"/>
        </w:rPr>
        <w:t>Cuadro 2:</w:t>
      </w:r>
      <w:r w:rsidRPr="005C328B">
        <w:rPr>
          <w:lang w:val="es-AR"/>
        </w:rPr>
        <w:t xml:space="preserve"> </w:t>
      </w:r>
      <w:r w:rsidRPr="005C328B">
        <w:rPr>
          <w:b/>
          <w:sz w:val="21"/>
          <w:szCs w:val="21"/>
          <w:lang w:val="es-AR"/>
        </w:rPr>
        <w:t xml:space="preserve">Informes sobre proyectos </w:t>
      </w:r>
      <w:r>
        <w:rPr>
          <w:b/>
          <w:sz w:val="21"/>
          <w:szCs w:val="21"/>
          <w:lang w:val="es-AR"/>
        </w:rPr>
        <w:t>con requisitos de información específicos</w:t>
      </w:r>
      <w:r w:rsidRPr="005C328B">
        <w:rPr>
          <w:b/>
          <w:sz w:val="21"/>
          <w:szCs w:val="21"/>
          <w:lang w:val="es-AR"/>
        </w:rPr>
        <w:t xml:space="preserve"> </w:t>
      </w:r>
      <w:r>
        <w:rPr>
          <w:b/>
          <w:sz w:val="21"/>
          <w:szCs w:val="21"/>
          <w:lang w:val="es-AR"/>
        </w:rPr>
        <w:t>presentados para consideración individual</w:t>
      </w:r>
      <w:r w:rsidRPr="005C328B">
        <w:rPr>
          <w:lang w:val="es-AR"/>
        </w:rPr>
        <w:t xml:space="preserve"> </w:t>
      </w:r>
    </w:p>
    <w:tbl>
      <w:tblPr>
        <w:tblStyle w:val="TableGrid"/>
        <w:tblW w:w="5099" w:type="pct"/>
        <w:tblLook w:val="04A0" w:firstRow="1" w:lastRow="0" w:firstColumn="1" w:lastColumn="0" w:noHBand="0" w:noVBand="1"/>
      </w:tblPr>
      <w:tblGrid>
        <w:gridCol w:w="1340"/>
        <w:gridCol w:w="3347"/>
        <w:gridCol w:w="3347"/>
        <w:gridCol w:w="1501"/>
      </w:tblGrid>
      <w:tr w:rsidR="00EE6440" w:rsidRPr="005C328B" w14:paraId="72B466E3" w14:textId="77777777" w:rsidTr="00AF751E">
        <w:trPr>
          <w:tblHeader/>
        </w:trPr>
        <w:tc>
          <w:tcPr>
            <w:tcW w:w="658" w:type="pct"/>
          </w:tcPr>
          <w:p w14:paraId="205E71B4" w14:textId="77777777" w:rsidR="00EE6440" w:rsidRPr="005C328B" w:rsidRDefault="00EE6440" w:rsidP="00AF751E">
            <w:pPr>
              <w:keepNext/>
              <w:rPr>
                <w:b/>
                <w:lang w:val="es-AR"/>
              </w:rPr>
            </w:pPr>
            <w:r w:rsidRPr="005C328B">
              <w:rPr>
                <w:b/>
                <w:lang w:val="es-AR"/>
              </w:rPr>
              <w:t>País</w:t>
            </w:r>
          </w:p>
        </w:tc>
        <w:tc>
          <w:tcPr>
            <w:tcW w:w="1770" w:type="pct"/>
          </w:tcPr>
          <w:p w14:paraId="623CC375" w14:textId="77777777" w:rsidR="00EE6440" w:rsidRPr="005C328B" w:rsidRDefault="00EE6440" w:rsidP="00AF751E">
            <w:pPr>
              <w:keepNext/>
              <w:rPr>
                <w:b/>
                <w:lang w:val="es-AR"/>
              </w:rPr>
            </w:pPr>
            <w:r w:rsidRPr="005C328B">
              <w:rPr>
                <w:b/>
                <w:lang w:val="es-AR"/>
              </w:rPr>
              <w:t xml:space="preserve">Título </w:t>
            </w:r>
            <w:r>
              <w:rPr>
                <w:b/>
                <w:lang w:val="es-AR"/>
              </w:rPr>
              <w:t>del proyecto</w:t>
            </w:r>
          </w:p>
        </w:tc>
        <w:tc>
          <w:tcPr>
            <w:tcW w:w="1770" w:type="pct"/>
          </w:tcPr>
          <w:p w14:paraId="50233AC4" w14:textId="77777777" w:rsidR="00EE6440" w:rsidRPr="005C328B" w:rsidRDefault="00EE6440" w:rsidP="00AF751E">
            <w:pPr>
              <w:keepNext/>
              <w:rPr>
                <w:b/>
                <w:lang w:val="es-AR"/>
              </w:rPr>
            </w:pPr>
            <w:r w:rsidRPr="005C328B">
              <w:rPr>
                <w:b/>
                <w:lang w:val="es-AR"/>
              </w:rPr>
              <w:t>Problema</w:t>
            </w:r>
          </w:p>
        </w:tc>
        <w:tc>
          <w:tcPr>
            <w:tcW w:w="802" w:type="pct"/>
          </w:tcPr>
          <w:p w14:paraId="7292542E" w14:textId="77777777" w:rsidR="00EE6440" w:rsidRPr="005C328B" w:rsidRDefault="00EE6440" w:rsidP="00AF751E">
            <w:pPr>
              <w:keepNext/>
              <w:rPr>
                <w:b/>
                <w:lang w:val="es-AR"/>
              </w:rPr>
            </w:pPr>
            <w:r w:rsidRPr="005C328B">
              <w:rPr>
                <w:b/>
                <w:lang w:val="es-AR"/>
              </w:rPr>
              <w:t>Apartados</w:t>
            </w:r>
          </w:p>
        </w:tc>
      </w:tr>
      <w:tr w:rsidR="00EE6440" w:rsidRPr="00305D02" w14:paraId="4E1883A0" w14:textId="77777777" w:rsidTr="00AF751E">
        <w:tc>
          <w:tcPr>
            <w:tcW w:w="5000" w:type="pct"/>
            <w:gridSpan w:val="4"/>
          </w:tcPr>
          <w:p w14:paraId="0DDC0E2D" w14:textId="77777777" w:rsidR="00EE6440" w:rsidRPr="005C328B" w:rsidRDefault="00EE6440" w:rsidP="00AF751E">
            <w:pPr>
              <w:keepNext/>
              <w:rPr>
                <w:b/>
                <w:lang w:val="es-AR"/>
              </w:rPr>
            </w:pPr>
            <w:r w:rsidRPr="005C328B">
              <w:rPr>
                <w:b/>
                <w:lang w:val="es-AR"/>
              </w:rPr>
              <w:t xml:space="preserve">Informes relacionados </w:t>
            </w:r>
            <w:r>
              <w:rPr>
                <w:b/>
                <w:lang w:val="es-AR"/>
              </w:rPr>
              <w:t>los HCFC</w:t>
            </w:r>
            <w:r w:rsidRPr="005C328B">
              <w:rPr>
                <w:b/>
                <w:lang w:val="es-AR"/>
              </w:rPr>
              <w:t xml:space="preserve"> para eliminar los planes de gestión de eliminación de </w:t>
            </w:r>
            <w:r>
              <w:rPr>
                <w:b/>
                <w:lang w:val="es-AR"/>
              </w:rPr>
              <w:t>los HCFC</w:t>
            </w:r>
          </w:p>
        </w:tc>
      </w:tr>
      <w:tr w:rsidR="00EE6440" w:rsidRPr="005C328B" w14:paraId="3BDC0496" w14:textId="77777777" w:rsidTr="00AF751E">
        <w:tc>
          <w:tcPr>
            <w:tcW w:w="658" w:type="pct"/>
            <w:shd w:val="clear" w:color="auto" w:fill="auto"/>
          </w:tcPr>
          <w:p w14:paraId="1D7E8292" w14:textId="77777777" w:rsidR="00EE6440" w:rsidRPr="005C328B" w:rsidRDefault="00EE6440" w:rsidP="00AF751E">
            <w:pPr>
              <w:keepNext/>
              <w:jc w:val="left"/>
              <w:rPr>
                <w:lang w:val="es-AR"/>
              </w:rPr>
            </w:pPr>
            <w:r w:rsidRPr="005C328B">
              <w:rPr>
                <w:lang w:val="es-AR"/>
              </w:rPr>
              <w:t>República Democrática Popular de Corea</w:t>
            </w:r>
          </w:p>
        </w:tc>
        <w:tc>
          <w:tcPr>
            <w:tcW w:w="1770" w:type="pct"/>
            <w:shd w:val="clear" w:color="auto" w:fill="auto"/>
          </w:tcPr>
          <w:p w14:paraId="1963CEAB" w14:textId="77777777" w:rsidR="00EE6440" w:rsidRPr="005C328B" w:rsidRDefault="00EE6440" w:rsidP="00AF751E">
            <w:pPr>
              <w:keepNext/>
              <w:rPr>
                <w:lang w:val="es-AR"/>
              </w:rPr>
            </w:pPr>
            <w:r>
              <w:rPr>
                <w:lang w:val="es-AR"/>
              </w:rPr>
              <w:t>Plan de gestión</w:t>
            </w:r>
            <w:r w:rsidRPr="005C328B">
              <w:rPr>
                <w:lang w:val="es-AR"/>
              </w:rPr>
              <w:t xml:space="preserve"> de eliminación de </w:t>
            </w:r>
            <w:r>
              <w:rPr>
                <w:lang w:val="es-AR"/>
              </w:rPr>
              <w:t>los HCFC</w:t>
            </w:r>
            <w:r w:rsidRPr="005C328B">
              <w:rPr>
                <w:lang w:val="es-AR"/>
              </w:rPr>
              <w:t xml:space="preserve"> (etapa I): Informe sobre </w:t>
            </w:r>
            <w:r>
              <w:rPr>
                <w:lang w:val="es-AR"/>
              </w:rPr>
              <w:t>la marcha de las actividades relativo a la ejecución</w:t>
            </w:r>
            <w:r w:rsidRPr="005C328B">
              <w:rPr>
                <w:lang w:val="es-AR"/>
              </w:rPr>
              <w:t xml:space="preserve"> de </w:t>
            </w:r>
            <w:r>
              <w:rPr>
                <w:lang w:val="es-AR"/>
              </w:rPr>
              <w:t xml:space="preserve">las mismas </w:t>
            </w:r>
          </w:p>
        </w:tc>
        <w:tc>
          <w:tcPr>
            <w:tcW w:w="1770" w:type="pct"/>
            <w:shd w:val="clear" w:color="auto" w:fill="auto"/>
          </w:tcPr>
          <w:p w14:paraId="24FC2F5E" w14:textId="77777777" w:rsidR="00EE6440" w:rsidRPr="005C328B" w:rsidRDefault="00EE6440" w:rsidP="00AF751E">
            <w:pPr>
              <w:outlineLvl w:val="0"/>
              <w:rPr>
                <w:lang w:val="es-AR"/>
              </w:rPr>
            </w:pPr>
            <w:r w:rsidRPr="005C328B">
              <w:rPr>
                <w:lang w:val="es-AR"/>
              </w:rPr>
              <w:t>Petición</w:t>
            </w:r>
            <w:r>
              <w:rPr>
                <w:lang w:val="es-AR"/>
              </w:rPr>
              <w:t xml:space="preserve"> de </w:t>
            </w:r>
            <w:r w:rsidRPr="005C328B">
              <w:rPr>
                <w:lang w:val="es-AR"/>
              </w:rPr>
              <w:t>orientación</w:t>
            </w:r>
            <w:r>
              <w:rPr>
                <w:lang w:val="es-AR"/>
              </w:rPr>
              <w:t>,</w:t>
            </w:r>
            <w:r w:rsidRPr="005C328B">
              <w:rPr>
                <w:lang w:val="es-AR"/>
              </w:rPr>
              <w:t xml:space="preserve"> </w:t>
            </w:r>
            <w:r>
              <w:rPr>
                <w:lang w:val="es-AR"/>
              </w:rPr>
              <w:t xml:space="preserve">dado las dificultades de </w:t>
            </w:r>
            <w:r w:rsidRPr="005C328B">
              <w:rPr>
                <w:lang w:val="es-AR"/>
              </w:rPr>
              <w:t xml:space="preserve">ejecución de </w:t>
            </w:r>
            <w:r>
              <w:rPr>
                <w:lang w:val="es-AR"/>
              </w:rPr>
              <w:t xml:space="preserve">las </w:t>
            </w:r>
            <w:r w:rsidRPr="005C328B">
              <w:rPr>
                <w:lang w:val="es-AR"/>
              </w:rPr>
              <w:t>actividades a la luz de las resoluciones del Consejo de Seguridad de las Naciones Unidas</w:t>
            </w:r>
          </w:p>
        </w:tc>
        <w:tc>
          <w:tcPr>
            <w:tcW w:w="802" w:type="pct"/>
          </w:tcPr>
          <w:p w14:paraId="79B1FA4B" w14:textId="77777777" w:rsidR="00EE6440" w:rsidRPr="005C328B" w:rsidRDefault="00EE6440" w:rsidP="00AF751E">
            <w:pPr>
              <w:keepNext/>
              <w:jc w:val="center"/>
              <w:rPr>
                <w:lang w:val="es-AR"/>
              </w:rPr>
            </w:pPr>
            <w:r w:rsidRPr="005C328B">
              <w:rPr>
                <w:lang w:val="es-AR"/>
              </w:rPr>
              <w:t>224-237</w:t>
            </w:r>
          </w:p>
        </w:tc>
      </w:tr>
    </w:tbl>
    <w:p w14:paraId="02A8B35B" w14:textId="77777777" w:rsidR="00EE6440" w:rsidRPr="005C328B" w:rsidRDefault="00EE6440" w:rsidP="00EE6440">
      <w:pPr>
        <w:rPr>
          <w:lang w:val="es-AR"/>
        </w:rPr>
      </w:pPr>
    </w:p>
    <w:p w14:paraId="1CF55AC4" w14:textId="77777777" w:rsidR="00EE6440" w:rsidRPr="00014351" w:rsidRDefault="00EE6440" w:rsidP="00EE6440">
      <w:pPr>
        <w:keepNext/>
        <w:keepLines/>
        <w:spacing w:after="240"/>
        <w:ind w:left="1440" w:hanging="1440"/>
        <w:rPr>
          <w:b/>
          <w:lang w:val="es-AR"/>
        </w:rPr>
      </w:pPr>
      <w:r w:rsidRPr="00014351">
        <w:rPr>
          <w:b/>
          <w:lang w:val="es-AR"/>
        </w:rPr>
        <w:lastRenderedPageBreak/>
        <w:t>SECCIÓN II:</w:t>
      </w:r>
      <w:r w:rsidRPr="00014351">
        <w:rPr>
          <w:lang w:val="es-AR"/>
        </w:rPr>
        <w:t xml:space="preserve"> </w:t>
      </w:r>
      <w:r w:rsidRPr="00014351">
        <w:rPr>
          <w:lang w:val="es-AR"/>
        </w:rPr>
        <w:tab/>
      </w:r>
      <w:r w:rsidRPr="00014351">
        <w:rPr>
          <w:b/>
          <w:lang w:val="es-AR"/>
        </w:rPr>
        <w:t>INFORMES SOBRE PROYECTOS CON REQUISITOS DE INFORMACIÓN ESPECÍFICOS Y RECOMENDADOS PARA APROBACIÓN GENERAL</w:t>
      </w:r>
    </w:p>
    <w:p w14:paraId="0BA7C73B" w14:textId="77777777" w:rsidR="00EE6440" w:rsidRPr="00014351" w:rsidRDefault="00EE6440" w:rsidP="00EE6440">
      <w:pPr>
        <w:spacing w:after="240"/>
        <w:ind w:left="1440" w:hanging="1440"/>
        <w:rPr>
          <w:lang w:val="es-AR"/>
        </w:rPr>
      </w:pPr>
      <w:r w:rsidRPr="00014351">
        <w:rPr>
          <w:b/>
          <w:u w:val="single"/>
          <w:lang w:val="es-AR"/>
        </w:rPr>
        <w:t>Informes relacionados con planes de gestión de eliminación de los HCFC</w:t>
      </w:r>
      <w:r w:rsidRPr="00014351">
        <w:rPr>
          <w:rStyle w:val="FootnoteReference"/>
          <w:b/>
          <w:u w:val="single"/>
          <w:lang w:val="es-AR"/>
        </w:rPr>
        <w:footnoteReference w:id="5"/>
      </w:r>
    </w:p>
    <w:p w14:paraId="3E92EB7D" w14:textId="77777777" w:rsidR="00EE6440" w:rsidRPr="00C56CB1" w:rsidRDefault="00EE6440" w:rsidP="00EE6440">
      <w:pPr>
        <w:keepNext/>
        <w:spacing w:after="240"/>
        <w:rPr>
          <w:lang w:val="es-AR"/>
        </w:rPr>
      </w:pPr>
      <w:r w:rsidRPr="00014351">
        <w:rPr>
          <w:u w:val="single"/>
          <w:lang w:val="es-AR"/>
        </w:rPr>
        <w:t>Afganistán: plan de gestión de eliminación de los HCFC (etapa</w:t>
      </w:r>
      <w:r w:rsidRPr="00C56CB1">
        <w:rPr>
          <w:u w:val="single"/>
          <w:lang w:val="es-AR"/>
        </w:rPr>
        <w:t xml:space="preserve"> I - petición de prórroga)</w:t>
      </w:r>
      <w:r w:rsidRPr="00014351">
        <w:rPr>
          <w:lang w:val="es-AR"/>
        </w:rPr>
        <w:t xml:space="preserve"> </w:t>
      </w:r>
      <w:r w:rsidRPr="00C56CB1">
        <w:rPr>
          <w:lang w:val="es-AR"/>
        </w:rPr>
        <w:t>(PNUMA y ONUDI)</w:t>
      </w:r>
    </w:p>
    <w:p w14:paraId="2560F813" w14:textId="77777777" w:rsidR="00EE6440" w:rsidRPr="00C56CB1" w:rsidRDefault="00EE6440" w:rsidP="00EE6440">
      <w:pPr>
        <w:keepNext/>
        <w:spacing w:after="240"/>
        <w:rPr>
          <w:b/>
          <w:lang w:val="es-AR"/>
        </w:rPr>
      </w:pPr>
      <w:r>
        <w:rPr>
          <w:b/>
          <w:lang w:val="es-AR"/>
        </w:rPr>
        <w:t>Antecedentes</w:t>
      </w:r>
    </w:p>
    <w:p w14:paraId="1419A654" w14:textId="77777777" w:rsidR="00EE6440" w:rsidRPr="00C56CB1" w:rsidRDefault="00EE6440" w:rsidP="00EE6440">
      <w:pPr>
        <w:numPr>
          <w:ilvl w:val="0"/>
          <w:numId w:val="1"/>
        </w:numPr>
        <w:spacing w:after="240"/>
        <w:outlineLvl w:val="0"/>
        <w:rPr>
          <w:lang w:val="es-AR"/>
        </w:rPr>
      </w:pPr>
      <w:r w:rsidRPr="00C56CB1">
        <w:rPr>
          <w:lang w:val="es-AR"/>
        </w:rPr>
        <w:t>En nombre del gobierno de Afganistán, el PNUMA</w:t>
      </w:r>
      <w:r>
        <w:rPr>
          <w:lang w:val="es-AR"/>
        </w:rPr>
        <w:t xml:space="preserve">, en calidad de </w:t>
      </w:r>
      <w:r w:rsidRPr="00C56CB1">
        <w:rPr>
          <w:lang w:val="es-AR"/>
        </w:rPr>
        <w:t xml:space="preserve">organismo </w:t>
      </w:r>
      <w:r>
        <w:rPr>
          <w:lang w:val="es-AR"/>
        </w:rPr>
        <w:t>de ejecución principal,</w:t>
      </w:r>
      <w:r w:rsidRPr="00C56CB1">
        <w:rPr>
          <w:lang w:val="es-AR"/>
        </w:rPr>
        <w:t xml:space="preserve"> </w:t>
      </w:r>
      <w:r>
        <w:rPr>
          <w:lang w:val="es-AR"/>
        </w:rPr>
        <w:t xml:space="preserve">presentó </w:t>
      </w:r>
      <w:r w:rsidRPr="00C56CB1">
        <w:rPr>
          <w:lang w:val="es-AR"/>
        </w:rPr>
        <w:t>una petición de prórroga de ejecución de la etapa I del plan de gestión de eliminación de HCFC para Afganistán.</w:t>
      </w:r>
    </w:p>
    <w:p w14:paraId="370EAB8C" w14:textId="77777777" w:rsidR="00EE6440" w:rsidRPr="005C328B" w:rsidRDefault="00EE6440" w:rsidP="00EE6440">
      <w:pPr>
        <w:pStyle w:val="Heading1"/>
        <w:autoSpaceDE w:val="0"/>
        <w:autoSpaceDN w:val="0"/>
        <w:adjustRightInd w:val="0"/>
        <w:rPr>
          <w:lang w:val="es-AR"/>
        </w:rPr>
      </w:pPr>
      <w:r w:rsidRPr="005C328B">
        <w:rPr>
          <w:lang w:val="es-AR"/>
        </w:rPr>
        <w:t xml:space="preserve">La etapa I del plan de gestión de eliminación de </w:t>
      </w:r>
      <w:r>
        <w:rPr>
          <w:lang w:val="es-AR"/>
        </w:rPr>
        <w:t>los HCFC</w:t>
      </w:r>
      <w:r w:rsidRPr="005C328B">
        <w:rPr>
          <w:lang w:val="es-AR"/>
        </w:rPr>
        <w:t xml:space="preserve"> </w:t>
      </w:r>
      <w:r>
        <w:rPr>
          <w:lang w:val="es-AR"/>
        </w:rPr>
        <w:t xml:space="preserve">se aprobó </w:t>
      </w:r>
      <w:r w:rsidRPr="005C328B">
        <w:rPr>
          <w:lang w:val="es-AR"/>
        </w:rPr>
        <w:t>en la 63</w:t>
      </w:r>
      <w:r>
        <w:rPr>
          <w:lang w:val="es-AR"/>
        </w:rPr>
        <w:t xml:space="preserve">ª </w:t>
      </w:r>
      <w:r w:rsidRPr="005C328B">
        <w:rPr>
          <w:lang w:val="es-AR"/>
        </w:rPr>
        <w:t>reunión</w:t>
      </w:r>
      <w:r w:rsidRPr="005C328B">
        <w:rPr>
          <w:rStyle w:val="FootnoteReference"/>
          <w:lang w:val="es-AR"/>
        </w:rPr>
        <w:footnoteReference w:id="6"/>
      </w:r>
      <w:r w:rsidRPr="005C328B">
        <w:rPr>
          <w:lang w:val="es-AR"/>
        </w:rPr>
        <w:t xml:space="preserve"> para </w:t>
      </w:r>
      <w:r>
        <w:rPr>
          <w:lang w:val="es-AR"/>
        </w:rPr>
        <w:t xml:space="preserve">lograr </w:t>
      </w:r>
      <w:r w:rsidRPr="005C328B">
        <w:rPr>
          <w:lang w:val="es-AR"/>
        </w:rPr>
        <w:t xml:space="preserve">la reducción del 35 por ciento de la </w:t>
      </w:r>
      <w:r>
        <w:rPr>
          <w:lang w:val="es-AR"/>
        </w:rPr>
        <w:t>base</w:t>
      </w:r>
      <w:r w:rsidRPr="005C328B">
        <w:rPr>
          <w:lang w:val="es-AR"/>
        </w:rPr>
        <w:t xml:space="preserve"> en 2020</w:t>
      </w:r>
      <w:r>
        <w:rPr>
          <w:lang w:val="es-AR"/>
        </w:rPr>
        <w:t>,</w:t>
      </w:r>
      <w:r w:rsidRPr="005C328B">
        <w:rPr>
          <w:lang w:val="es-AR"/>
        </w:rPr>
        <w:t xml:space="preserve"> </w:t>
      </w:r>
      <w:r>
        <w:rPr>
          <w:lang w:val="es-AR"/>
        </w:rPr>
        <w:t xml:space="preserve">con </w:t>
      </w:r>
      <w:r w:rsidRPr="005C328B">
        <w:rPr>
          <w:lang w:val="es-AR"/>
        </w:rPr>
        <w:t xml:space="preserve">un nivel de financiamiento total de </w:t>
      </w:r>
      <w:r>
        <w:rPr>
          <w:lang w:val="es-AR"/>
        </w:rPr>
        <w:t xml:space="preserve">$EUA </w:t>
      </w:r>
      <w:r w:rsidRPr="005C328B">
        <w:rPr>
          <w:lang w:val="es-AR"/>
        </w:rPr>
        <w:t>679</w:t>
      </w:r>
      <w:r>
        <w:rPr>
          <w:lang w:val="es-AR"/>
        </w:rPr>
        <w:t xml:space="preserve"> </w:t>
      </w:r>
      <w:r w:rsidRPr="005C328B">
        <w:rPr>
          <w:lang w:val="es-AR"/>
        </w:rPr>
        <w:t xml:space="preserve">101, más </w:t>
      </w:r>
      <w:r>
        <w:rPr>
          <w:lang w:val="es-AR"/>
        </w:rPr>
        <w:t>gastos de apoyo del organismo</w:t>
      </w:r>
      <w:r w:rsidRPr="005C328B">
        <w:rPr>
          <w:lang w:val="es-AR"/>
        </w:rPr>
        <w:t xml:space="preserve"> de </w:t>
      </w:r>
      <w:r>
        <w:rPr>
          <w:lang w:val="es-AR"/>
        </w:rPr>
        <w:t xml:space="preserve">$EUA </w:t>
      </w:r>
      <w:r w:rsidRPr="005C328B">
        <w:rPr>
          <w:lang w:val="es-AR"/>
        </w:rPr>
        <w:t>78</w:t>
      </w:r>
      <w:r>
        <w:rPr>
          <w:lang w:val="es-AR"/>
        </w:rPr>
        <w:t xml:space="preserve"> </w:t>
      </w:r>
      <w:r w:rsidRPr="005C328B">
        <w:rPr>
          <w:lang w:val="es-AR"/>
        </w:rPr>
        <w:t xml:space="preserve">554, </w:t>
      </w:r>
      <w:r>
        <w:rPr>
          <w:lang w:val="es-AR"/>
        </w:rPr>
        <w:t xml:space="preserve">a fin de </w:t>
      </w:r>
      <w:r w:rsidRPr="005C328B">
        <w:rPr>
          <w:lang w:val="es-AR"/>
        </w:rPr>
        <w:t>eliminar 8</w:t>
      </w:r>
      <w:r>
        <w:rPr>
          <w:lang w:val="es-AR"/>
        </w:rPr>
        <w:t>,</w:t>
      </w:r>
      <w:r w:rsidRPr="005C328B">
        <w:rPr>
          <w:lang w:val="es-AR"/>
        </w:rPr>
        <w:t xml:space="preserve">26 </w:t>
      </w:r>
      <w:r>
        <w:rPr>
          <w:lang w:val="es-AR"/>
        </w:rPr>
        <w:t>toneladas PAO</w:t>
      </w:r>
      <w:r w:rsidRPr="005C328B">
        <w:rPr>
          <w:lang w:val="es-AR"/>
        </w:rPr>
        <w:t xml:space="preserve"> de </w:t>
      </w:r>
      <w:r>
        <w:rPr>
          <w:lang w:val="es-AR"/>
        </w:rPr>
        <w:t>HCFC</w:t>
      </w:r>
      <w:r w:rsidRPr="005C328B">
        <w:rPr>
          <w:lang w:val="es-AR"/>
        </w:rPr>
        <w:t xml:space="preserve">. </w:t>
      </w:r>
      <w:r>
        <w:rPr>
          <w:lang w:val="es-AR"/>
        </w:rPr>
        <w:t>Se aprobaron l</w:t>
      </w:r>
      <w:r w:rsidRPr="005C328B">
        <w:rPr>
          <w:lang w:val="es-AR"/>
        </w:rPr>
        <w:t xml:space="preserve">os cuatro tramos previstos </w:t>
      </w:r>
      <w:r>
        <w:rPr>
          <w:lang w:val="es-AR"/>
        </w:rPr>
        <w:t>de</w:t>
      </w:r>
      <w:r w:rsidRPr="005C328B">
        <w:rPr>
          <w:lang w:val="es-AR"/>
        </w:rPr>
        <w:t xml:space="preserve"> </w:t>
      </w:r>
      <w:r>
        <w:rPr>
          <w:lang w:val="es-AR"/>
        </w:rPr>
        <w:t xml:space="preserve">la </w:t>
      </w:r>
      <w:r w:rsidRPr="005C328B">
        <w:rPr>
          <w:lang w:val="es-AR"/>
        </w:rPr>
        <w:t>etapa </w:t>
      </w:r>
      <w:r>
        <w:rPr>
          <w:lang w:val="es-AR"/>
        </w:rPr>
        <w:t>I</w:t>
      </w:r>
      <w:r w:rsidRPr="005C328B">
        <w:rPr>
          <w:lang w:val="es-AR"/>
        </w:rPr>
        <w:t xml:space="preserve">, </w:t>
      </w:r>
      <w:r>
        <w:rPr>
          <w:lang w:val="es-AR"/>
        </w:rPr>
        <w:t xml:space="preserve">y </w:t>
      </w:r>
      <w:r w:rsidRPr="005C328B">
        <w:rPr>
          <w:lang w:val="es-AR"/>
        </w:rPr>
        <w:t>el</w:t>
      </w:r>
      <w:r>
        <w:rPr>
          <w:lang w:val="es-AR"/>
        </w:rPr>
        <w:t xml:space="preserve"> último</w:t>
      </w:r>
      <w:r w:rsidRPr="005C328B">
        <w:rPr>
          <w:lang w:val="es-AR"/>
        </w:rPr>
        <w:t xml:space="preserve"> tramo </w:t>
      </w:r>
      <w:r>
        <w:rPr>
          <w:lang w:val="es-AR"/>
        </w:rPr>
        <w:t xml:space="preserve">se aprobó </w:t>
      </w:r>
      <w:r w:rsidRPr="005C328B">
        <w:rPr>
          <w:lang w:val="es-AR"/>
        </w:rPr>
        <w:t xml:space="preserve">en la </w:t>
      </w:r>
      <w:r>
        <w:rPr>
          <w:lang w:val="es-AR"/>
        </w:rPr>
        <w:t xml:space="preserve">85ª </w:t>
      </w:r>
      <w:r w:rsidRPr="005C328B">
        <w:rPr>
          <w:lang w:val="es-AR"/>
        </w:rPr>
        <w:t>reunión. De acuerdo con el apartado 14 de</w:t>
      </w:r>
      <w:r>
        <w:rPr>
          <w:lang w:val="es-AR"/>
        </w:rPr>
        <w:t>l Acuerdo</w:t>
      </w:r>
      <w:r w:rsidRPr="005C328B">
        <w:rPr>
          <w:lang w:val="es-AR"/>
        </w:rPr>
        <w:t xml:space="preserve"> entre el gobierno y el Comité Ejecutivo, el proyecto debe</w:t>
      </w:r>
      <w:r>
        <w:rPr>
          <w:lang w:val="es-AR"/>
        </w:rPr>
        <w:t>rá</w:t>
      </w:r>
      <w:r w:rsidRPr="005C328B">
        <w:rPr>
          <w:lang w:val="es-AR"/>
        </w:rPr>
        <w:t xml:space="preserve"> </w:t>
      </w:r>
      <w:r>
        <w:rPr>
          <w:lang w:val="es-AR"/>
        </w:rPr>
        <w:t>terminarse a fines de</w:t>
      </w:r>
      <w:r w:rsidRPr="005C328B">
        <w:rPr>
          <w:lang w:val="es-AR"/>
        </w:rPr>
        <w:t xml:space="preserve"> 2021.</w:t>
      </w:r>
    </w:p>
    <w:p w14:paraId="48D7FB31" w14:textId="77777777" w:rsidR="00EE6440" w:rsidRPr="005C328B" w:rsidRDefault="00EE6440" w:rsidP="00EE6440">
      <w:pPr>
        <w:pStyle w:val="Heading1"/>
        <w:rPr>
          <w:lang w:val="es-AR"/>
        </w:rPr>
      </w:pPr>
      <w:r>
        <w:rPr>
          <w:lang w:val="es-AR"/>
        </w:rPr>
        <w:t>La ejecución</w:t>
      </w:r>
      <w:r w:rsidRPr="005C328B">
        <w:rPr>
          <w:lang w:val="es-AR"/>
        </w:rPr>
        <w:t xml:space="preserve"> de la etapa </w:t>
      </w:r>
      <w:r>
        <w:rPr>
          <w:lang w:val="es-AR"/>
        </w:rPr>
        <w:t>I avanza</w:t>
      </w:r>
      <w:r w:rsidRPr="005C328B">
        <w:rPr>
          <w:lang w:val="es-AR"/>
        </w:rPr>
        <w:t xml:space="preserve">. Se </w:t>
      </w:r>
      <w:r>
        <w:rPr>
          <w:lang w:val="es-AR"/>
        </w:rPr>
        <w:t xml:space="preserve">terminaron el primero y el segundo </w:t>
      </w:r>
      <w:r w:rsidRPr="005C328B">
        <w:rPr>
          <w:lang w:val="es-AR"/>
        </w:rPr>
        <w:t>tramo; la mayoría de las</w:t>
      </w:r>
      <w:r>
        <w:rPr>
          <w:lang w:val="es-AR"/>
        </w:rPr>
        <w:t xml:space="preserve"> </w:t>
      </w:r>
      <w:r w:rsidRPr="005C328B">
        <w:rPr>
          <w:lang w:val="es-AR"/>
        </w:rPr>
        <w:t xml:space="preserve"> </w:t>
      </w:r>
      <w:r>
        <w:rPr>
          <w:lang w:val="es-AR"/>
        </w:rPr>
        <w:t xml:space="preserve"> </w:t>
      </w:r>
      <w:r w:rsidRPr="005C328B">
        <w:rPr>
          <w:lang w:val="es-AR"/>
        </w:rPr>
        <w:t xml:space="preserve">actividades </w:t>
      </w:r>
      <w:r>
        <w:rPr>
          <w:lang w:val="es-AR"/>
        </w:rPr>
        <w:t>d</w:t>
      </w:r>
      <w:r w:rsidRPr="005C328B">
        <w:rPr>
          <w:lang w:val="es-AR"/>
        </w:rPr>
        <w:t>el tercer tramo ya se han ejecutado y se espera que se termin</w:t>
      </w:r>
      <w:r>
        <w:rPr>
          <w:lang w:val="es-AR"/>
        </w:rPr>
        <w:t>en en fecha</w:t>
      </w:r>
      <w:r w:rsidRPr="005C328B">
        <w:rPr>
          <w:lang w:val="es-AR"/>
        </w:rPr>
        <w:t>. Sin embargo, debido al impacto</w:t>
      </w:r>
      <w:r>
        <w:rPr>
          <w:lang w:val="es-AR"/>
        </w:rPr>
        <w:t xml:space="preserve"> de la pandemia del COVID-19</w:t>
      </w:r>
      <w:r w:rsidRPr="005C328B">
        <w:rPr>
          <w:lang w:val="es-AR"/>
        </w:rPr>
        <w:t>, e</w:t>
      </w:r>
      <w:r>
        <w:rPr>
          <w:lang w:val="es-AR"/>
        </w:rPr>
        <w:t>l acuerdo</w:t>
      </w:r>
      <w:r w:rsidRPr="005C328B">
        <w:rPr>
          <w:lang w:val="es-AR"/>
        </w:rPr>
        <w:t xml:space="preserve"> de financiamiento a </w:t>
      </w:r>
      <w:r>
        <w:rPr>
          <w:lang w:val="es-AR"/>
        </w:rPr>
        <w:t xml:space="preserve">pequeña </w:t>
      </w:r>
      <w:r w:rsidRPr="005C328B">
        <w:rPr>
          <w:lang w:val="es-AR"/>
        </w:rPr>
        <w:t>escala (</w:t>
      </w:r>
      <w:r>
        <w:rPr>
          <w:lang w:val="es-AR"/>
        </w:rPr>
        <w:t>SSFA, por su sigla en inglés</w:t>
      </w:r>
      <w:r w:rsidRPr="005C328B">
        <w:rPr>
          <w:lang w:val="es-AR"/>
        </w:rPr>
        <w:t xml:space="preserve">) entre el gobierno y </w:t>
      </w:r>
      <w:r>
        <w:rPr>
          <w:lang w:val="es-AR"/>
        </w:rPr>
        <w:t>el PNUMA</w:t>
      </w:r>
      <w:r w:rsidRPr="005C328B">
        <w:rPr>
          <w:lang w:val="es-AR"/>
        </w:rPr>
        <w:t xml:space="preserve"> para el </w:t>
      </w:r>
      <w:r>
        <w:rPr>
          <w:lang w:val="es-AR"/>
        </w:rPr>
        <w:t>último tramo</w:t>
      </w:r>
      <w:r w:rsidRPr="005C328B">
        <w:rPr>
          <w:lang w:val="es-AR"/>
        </w:rPr>
        <w:t xml:space="preserve"> </w:t>
      </w:r>
      <w:r>
        <w:rPr>
          <w:lang w:val="es-AR"/>
        </w:rPr>
        <w:t xml:space="preserve">se firmó con </w:t>
      </w:r>
      <w:r w:rsidRPr="005C328B">
        <w:rPr>
          <w:lang w:val="es-AR"/>
        </w:rPr>
        <w:t xml:space="preserve">nueve meses de atraso del </w:t>
      </w:r>
      <w:r>
        <w:rPr>
          <w:lang w:val="es-AR"/>
        </w:rPr>
        <w:t>plan original</w:t>
      </w:r>
      <w:r w:rsidRPr="005C328B">
        <w:rPr>
          <w:lang w:val="es-AR"/>
        </w:rPr>
        <w:t xml:space="preserve">. El gobierno de Afganistán </w:t>
      </w:r>
      <w:r>
        <w:rPr>
          <w:lang w:val="es-AR"/>
        </w:rPr>
        <w:t xml:space="preserve">pide una </w:t>
      </w:r>
      <w:r w:rsidRPr="005C328B">
        <w:rPr>
          <w:lang w:val="es-AR"/>
        </w:rPr>
        <w:t xml:space="preserve">prórroga de </w:t>
      </w:r>
      <w:r>
        <w:rPr>
          <w:lang w:val="es-AR"/>
        </w:rPr>
        <w:t>ejecución</w:t>
      </w:r>
      <w:r w:rsidRPr="005C328B">
        <w:rPr>
          <w:lang w:val="es-AR"/>
        </w:rPr>
        <w:t xml:space="preserve"> de la </w:t>
      </w:r>
      <w:r>
        <w:rPr>
          <w:lang w:val="es-AR"/>
        </w:rPr>
        <w:t>etapa I</w:t>
      </w:r>
      <w:r w:rsidRPr="005C328B">
        <w:rPr>
          <w:lang w:val="es-AR"/>
        </w:rPr>
        <w:t xml:space="preserve"> hasta el 31 de diciembre </w:t>
      </w:r>
      <w:r>
        <w:rPr>
          <w:lang w:val="es-AR"/>
        </w:rPr>
        <w:t xml:space="preserve">de </w:t>
      </w:r>
      <w:r w:rsidRPr="005C328B">
        <w:rPr>
          <w:lang w:val="es-AR"/>
        </w:rPr>
        <w:t>2022.</w:t>
      </w:r>
    </w:p>
    <w:p w14:paraId="20CC5EC5" w14:textId="77777777" w:rsidR="00EE6440" w:rsidRPr="006B3538" w:rsidRDefault="00EE6440" w:rsidP="00EE6440">
      <w:pPr>
        <w:spacing w:after="240"/>
        <w:rPr>
          <w:i/>
          <w:lang w:val="es-AR"/>
        </w:rPr>
      </w:pPr>
      <w:r>
        <w:rPr>
          <w:i/>
          <w:lang w:val="es-AR"/>
        </w:rPr>
        <w:t>Consumo de los HCFC</w:t>
      </w:r>
    </w:p>
    <w:p w14:paraId="5B5C687B" w14:textId="77777777" w:rsidR="00EE6440" w:rsidRPr="00CE4455" w:rsidRDefault="00EE6440" w:rsidP="00EE6440">
      <w:pPr>
        <w:pStyle w:val="Heading1"/>
        <w:rPr>
          <w:lang w:val="es-AR"/>
        </w:rPr>
      </w:pPr>
      <w:r w:rsidRPr="005C328B">
        <w:rPr>
          <w:lang w:val="es-AR"/>
        </w:rPr>
        <w:t xml:space="preserve">El gobierno de Afganistán </w:t>
      </w:r>
      <w:r>
        <w:rPr>
          <w:lang w:val="es-AR"/>
        </w:rPr>
        <w:t>inform</w:t>
      </w:r>
      <w:r w:rsidRPr="005C328B">
        <w:rPr>
          <w:lang w:val="es-AR"/>
        </w:rPr>
        <w:t>ó un consumo de 6</w:t>
      </w:r>
      <w:r>
        <w:rPr>
          <w:lang w:val="es-AR"/>
        </w:rPr>
        <w:t>,</w:t>
      </w:r>
      <w:r w:rsidRPr="005C328B">
        <w:rPr>
          <w:lang w:val="es-AR"/>
        </w:rPr>
        <w:t>05 </w:t>
      </w:r>
      <w:r>
        <w:rPr>
          <w:lang w:val="es-AR"/>
        </w:rPr>
        <w:t>toneladas PAO</w:t>
      </w:r>
      <w:r w:rsidRPr="005C328B">
        <w:rPr>
          <w:lang w:val="es-AR"/>
        </w:rPr>
        <w:t xml:space="preserve"> </w:t>
      </w:r>
      <w:r>
        <w:rPr>
          <w:lang w:val="es-AR"/>
        </w:rPr>
        <w:t>de HCFC</w:t>
      </w:r>
      <w:r w:rsidRPr="005C328B">
        <w:rPr>
          <w:lang w:val="es-AR"/>
        </w:rPr>
        <w:t xml:space="preserve"> en 2020, </w:t>
      </w:r>
      <w:r>
        <w:rPr>
          <w:lang w:val="es-AR"/>
        </w:rPr>
        <w:t xml:space="preserve">lo que está </w:t>
      </w:r>
      <w:r w:rsidRPr="005C328B">
        <w:rPr>
          <w:lang w:val="es-AR"/>
        </w:rPr>
        <w:t xml:space="preserve">61 </w:t>
      </w:r>
      <w:r>
        <w:rPr>
          <w:lang w:val="es-AR"/>
        </w:rPr>
        <w:t xml:space="preserve">por ciento por debajo </w:t>
      </w:r>
      <w:r w:rsidRPr="005C328B">
        <w:rPr>
          <w:lang w:val="es-AR"/>
        </w:rPr>
        <w:t xml:space="preserve">del objetivo del plan de gestión de eliminación de </w:t>
      </w:r>
      <w:r>
        <w:rPr>
          <w:lang w:val="es-AR"/>
        </w:rPr>
        <w:t>los HCFC</w:t>
      </w:r>
      <w:r w:rsidRPr="005C328B">
        <w:rPr>
          <w:lang w:val="es-AR"/>
        </w:rPr>
        <w:t> de 15</w:t>
      </w:r>
      <w:r>
        <w:rPr>
          <w:lang w:val="es-AR"/>
        </w:rPr>
        <w:t>,</w:t>
      </w:r>
      <w:r w:rsidRPr="005C328B">
        <w:rPr>
          <w:lang w:val="es-AR"/>
        </w:rPr>
        <w:t xml:space="preserve">34 </w:t>
      </w:r>
      <w:r>
        <w:rPr>
          <w:lang w:val="es-AR"/>
        </w:rPr>
        <w:t>toneladas PAO</w:t>
      </w:r>
      <w:r w:rsidRPr="005C328B">
        <w:rPr>
          <w:lang w:val="es-AR"/>
        </w:rPr>
        <w:t xml:space="preserve"> </w:t>
      </w:r>
      <w:r>
        <w:rPr>
          <w:lang w:val="es-AR"/>
        </w:rPr>
        <w:t xml:space="preserve">para </w:t>
      </w:r>
      <w:r w:rsidRPr="005C328B">
        <w:rPr>
          <w:lang w:val="es-AR"/>
        </w:rPr>
        <w:t xml:space="preserve">2020, y el 74 por ciento </w:t>
      </w:r>
      <w:r>
        <w:rPr>
          <w:lang w:val="es-AR"/>
        </w:rPr>
        <w:t xml:space="preserve">por debajo de </w:t>
      </w:r>
      <w:r w:rsidRPr="005C328B">
        <w:rPr>
          <w:lang w:val="es-AR"/>
        </w:rPr>
        <w:t xml:space="preserve">la </w:t>
      </w:r>
      <w:r>
        <w:rPr>
          <w:lang w:val="es-AR"/>
        </w:rPr>
        <w:t>base</w:t>
      </w:r>
      <w:r w:rsidRPr="005C328B">
        <w:rPr>
          <w:lang w:val="es-AR"/>
        </w:rPr>
        <w:t xml:space="preserve"> establecida de 23</w:t>
      </w:r>
      <w:r>
        <w:rPr>
          <w:lang w:val="es-AR"/>
        </w:rPr>
        <w:t>,</w:t>
      </w:r>
      <w:r w:rsidRPr="005C328B">
        <w:rPr>
          <w:lang w:val="es-AR"/>
        </w:rPr>
        <w:t>60 </w:t>
      </w:r>
      <w:r>
        <w:rPr>
          <w:lang w:val="es-AR"/>
        </w:rPr>
        <w:t>toneladas PAO</w:t>
      </w:r>
      <w:r w:rsidRPr="005C328B">
        <w:rPr>
          <w:lang w:val="es-AR"/>
        </w:rPr>
        <w:t xml:space="preserve">. La disminución significativa </w:t>
      </w:r>
      <w:r>
        <w:rPr>
          <w:lang w:val="es-AR"/>
        </w:rPr>
        <w:t xml:space="preserve">del consumo de HCFC </w:t>
      </w:r>
      <w:r w:rsidRPr="005C328B">
        <w:rPr>
          <w:lang w:val="es-AR"/>
        </w:rPr>
        <w:t xml:space="preserve">de 2019 a 2020 </w:t>
      </w:r>
      <w:r>
        <w:rPr>
          <w:lang w:val="es-AR"/>
        </w:rPr>
        <w:t xml:space="preserve">se debió </w:t>
      </w:r>
      <w:r w:rsidRPr="005C328B">
        <w:rPr>
          <w:lang w:val="es-AR"/>
        </w:rPr>
        <w:t>al impacto d</w:t>
      </w:r>
      <w:r>
        <w:rPr>
          <w:lang w:val="es-AR"/>
        </w:rPr>
        <w:t xml:space="preserve">e la pandemia del </w:t>
      </w:r>
      <w:r w:rsidRPr="005C328B">
        <w:rPr>
          <w:lang w:val="es-AR"/>
        </w:rPr>
        <w:t xml:space="preserve">COVID-19, que </w:t>
      </w:r>
      <w:r>
        <w:rPr>
          <w:lang w:val="es-AR"/>
        </w:rPr>
        <w:t xml:space="preserve">redujo </w:t>
      </w:r>
      <w:r w:rsidRPr="005C328B">
        <w:rPr>
          <w:lang w:val="es-AR"/>
        </w:rPr>
        <w:t>las actividades económicas y las importaciones de</w:t>
      </w:r>
      <w:r>
        <w:rPr>
          <w:lang w:val="es-AR"/>
        </w:rPr>
        <w:t>l</w:t>
      </w:r>
      <w:r w:rsidRPr="005C328B">
        <w:rPr>
          <w:lang w:val="es-AR"/>
        </w:rPr>
        <w:t xml:space="preserve"> </w:t>
      </w:r>
      <w:r>
        <w:rPr>
          <w:lang w:val="es-AR"/>
        </w:rPr>
        <w:t>HCFC-2</w:t>
      </w:r>
      <w:r w:rsidRPr="005C328B">
        <w:rPr>
          <w:lang w:val="es-AR"/>
        </w:rPr>
        <w:t xml:space="preserve">2 al país. El consumo </w:t>
      </w:r>
      <w:r>
        <w:rPr>
          <w:lang w:val="es-AR"/>
        </w:rPr>
        <w:t>informado</w:t>
      </w:r>
      <w:r w:rsidRPr="005C328B">
        <w:rPr>
          <w:lang w:val="es-AR"/>
        </w:rPr>
        <w:t xml:space="preserve"> para 2020 </w:t>
      </w:r>
      <w:r>
        <w:rPr>
          <w:lang w:val="es-AR"/>
        </w:rPr>
        <w:t xml:space="preserve">en el </w:t>
      </w:r>
      <w:r w:rsidRPr="005C328B">
        <w:rPr>
          <w:lang w:val="es-AR"/>
        </w:rPr>
        <w:t xml:space="preserve">informe de </w:t>
      </w:r>
      <w:r>
        <w:rPr>
          <w:lang w:val="es-AR"/>
        </w:rPr>
        <w:t>ejecución del programa</w:t>
      </w:r>
      <w:r w:rsidRPr="005C328B">
        <w:rPr>
          <w:lang w:val="es-AR"/>
        </w:rPr>
        <w:t xml:space="preserve"> de país (</w:t>
      </w:r>
      <w:r>
        <w:rPr>
          <w:lang w:val="es-AR"/>
        </w:rPr>
        <w:t xml:space="preserve">todavía no se informaron los </w:t>
      </w:r>
      <w:r w:rsidRPr="005C328B">
        <w:rPr>
          <w:lang w:val="es-AR"/>
        </w:rPr>
        <w:t>datos </w:t>
      </w:r>
      <w:r>
        <w:rPr>
          <w:lang w:val="es-AR"/>
        </w:rPr>
        <w:t>conforme al Artículo</w:t>
      </w:r>
      <w:r w:rsidRPr="005C328B">
        <w:rPr>
          <w:lang w:val="es-AR"/>
        </w:rPr>
        <w:t xml:space="preserve"> 7 para 2020) demuestra que el país ha alcanzado el objetivo de reducción del 35 por ciento </w:t>
      </w:r>
      <w:r>
        <w:rPr>
          <w:lang w:val="es-AR"/>
        </w:rPr>
        <w:t xml:space="preserve">en cumplimiento </w:t>
      </w:r>
      <w:r w:rsidRPr="005C328B">
        <w:rPr>
          <w:lang w:val="es-AR"/>
        </w:rPr>
        <w:t xml:space="preserve">con el </w:t>
      </w:r>
      <w:r>
        <w:rPr>
          <w:lang w:val="es-AR"/>
        </w:rPr>
        <w:t>Protocolo</w:t>
      </w:r>
      <w:r w:rsidRPr="005C328B">
        <w:rPr>
          <w:lang w:val="es-AR"/>
        </w:rPr>
        <w:t xml:space="preserve"> de Montreal. </w:t>
      </w:r>
    </w:p>
    <w:p w14:paraId="03212A60" w14:textId="77777777" w:rsidR="00EE6440" w:rsidRPr="00CE4455" w:rsidRDefault="00EE6440" w:rsidP="00EE6440">
      <w:pPr>
        <w:numPr>
          <w:ilvl w:val="0"/>
          <w:numId w:val="1"/>
        </w:numPr>
        <w:spacing w:after="240"/>
        <w:outlineLvl w:val="0"/>
        <w:rPr>
          <w:lang w:val="es-AR"/>
        </w:rPr>
      </w:pPr>
      <w:r w:rsidRPr="00CE4455">
        <w:rPr>
          <w:lang w:val="es-AR"/>
        </w:rPr>
        <w:t xml:space="preserve">El gobierno presentó datos de consumo del sector </w:t>
      </w:r>
      <w:r>
        <w:rPr>
          <w:lang w:val="es-AR"/>
        </w:rPr>
        <w:t xml:space="preserve">en el </w:t>
      </w:r>
      <w:r w:rsidRPr="00CE4455">
        <w:rPr>
          <w:lang w:val="es-AR"/>
        </w:rPr>
        <w:t>informe de ejecución del programa de país</w:t>
      </w:r>
      <w:r>
        <w:rPr>
          <w:lang w:val="es-AR"/>
        </w:rPr>
        <w:t xml:space="preserve"> de </w:t>
      </w:r>
      <w:r w:rsidRPr="00CE4455">
        <w:rPr>
          <w:lang w:val="es-AR"/>
        </w:rPr>
        <w:t>2019</w:t>
      </w:r>
      <w:r>
        <w:rPr>
          <w:lang w:val="es-AR"/>
        </w:rPr>
        <w:t>,</w:t>
      </w:r>
      <w:r w:rsidRPr="00CE4455">
        <w:rPr>
          <w:lang w:val="es-AR"/>
        </w:rPr>
        <w:t xml:space="preserve"> </w:t>
      </w:r>
      <w:r>
        <w:rPr>
          <w:lang w:val="es-AR"/>
        </w:rPr>
        <w:t xml:space="preserve">que coinciden </w:t>
      </w:r>
      <w:r w:rsidRPr="00CE4455">
        <w:rPr>
          <w:lang w:val="es-AR"/>
        </w:rPr>
        <w:t xml:space="preserve">con los </w:t>
      </w:r>
      <w:r>
        <w:rPr>
          <w:lang w:val="es-AR"/>
        </w:rPr>
        <w:t>datos informados</w:t>
      </w:r>
      <w:r w:rsidRPr="00CE4455">
        <w:rPr>
          <w:lang w:val="es-AR"/>
        </w:rPr>
        <w:t xml:space="preserve"> en virtud del Artículo 7 del Protocolo de Montreal. </w:t>
      </w:r>
      <w:r>
        <w:rPr>
          <w:lang w:val="es-AR"/>
        </w:rPr>
        <w:t xml:space="preserve"> </w:t>
      </w:r>
    </w:p>
    <w:p w14:paraId="2A6369BC" w14:textId="77777777" w:rsidR="00EE6440" w:rsidRPr="00CE4455" w:rsidRDefault="00EE6440" w:rsidP="00EE6440">
      <w:pPr>
        <w:keepNext/>
        <w:keepLines/>
        <w:spacing w:after="240"/>
        <w:rPr>
          <w:b/>
          <w:lang w:val="es-AR"/>
        </w:rPr>
      </w:pPr>
      <w:r w:rsidRPr="00CE4455">
        <w:rPr>
          <w:b/>
          <w:lang w:val="es-AR"/>
        </w:rPr>
        <w:t>Informe</w:t>
      </w:r>
      <w:r>
        <w:rPr>
          <w:b/>
          <w:lang w:val="es-AR"/>
        </w:rPr>
        <w:t xml:space="preserve"> sobre la marcha de las actividades relativo a la </w:t>
      </w:r>
      <w:r w:rsidRPr="00CE4455">
        <w:rPr>
          <w:b/>
          <w:lang w:val="es-AR"/>
        </w:rPr>
        <w:t>ejecución de la etapa I</w:t>
      </w:r>
      <w:r w:rsidRPr="00CE4455">
        <w:rPr>
          <w:lang w:val="es-AR"/>
        </w:rPr>
        <w:t xml:space="preserve"> </w:t>
      </w:r>
    </w:p>
    <w:p w14:paraId="42DC285E" w14:textId="77777777" w:rsidR="00EE6440" w:rsidRPr="005C328B" w:rsidRDefault="00EE6440" w:rsidP="00EE6440">
      <w:pPr>
        <w:pStyle w:val="Heading1"/>
        <w:rPr>
          <w:lang w:val="es-AR"/>
        </w:rPr>
      </w:pPr>
      <w:r w:rsidRPr="005C328B">
        <w:rPr>
          <w:lang w:val="es-AR"/>
        </w:rPr>
        <w:t xml:space="preserve">El país ha estado </w:t>
      </w:r>
      <w:r>
        <w:rPr>
          <w:lang w:val="es-AR"/>
        </w:rPr>
        <w:t>aplicando el sistema de otorgamiento de licencias y cuotas</w:t>
      </w:r>
      <w:r w:rsidRPr="005C328B">
        <w:rPr>
          <w:lang w:val="es-AR"/>
        </w:rPr>
        <w:t xml:space="preserve"> para controlar la importación de </w:t>
      </w:r>
      <w:r>
        <w:rPr>
          <w:lang w:val="es-AR"/>
        </w:rPr>
        <w:t>los HCFC</w:t>
      </w:r>
      <w:r w:rsidRPr="005C328B">
        <w:rPr>
          <w:lang w:val="es-AR"/>
        </w:rPr>
        <w:t xml:space="preserve">. </w:t>
      </w:r>
      <w:r>
        <w:rPr>
          <w:lang w:val="es-AR"/>
        </w:rPr>
        <w:t>E</w:t>
      </w:r>
      <w:r w:rsidRPr="005C328B">
        <w:rPr>
          <w:lang w:val="es-AR"/>
        </w:rPr>
        <w:t xml:space="preserve">n 2018 </w:t>
      </w:r>
      <w:r>
        <w:rPr>
          <w:lang w:val="es-AR"/>
        </w:rPr>
        <w:t xml:space="preserve">se prohibió </w:t>
      </w:r>
      <w:r w:rsidRPr="005C328B">
        <w:rPr>
          <w:lang w:val="es-AR"/>
        </w:rPr>
        <w:t xml:space="preserve">la importación </w:t>
      </w:r>
      <w:r>
        <w:rPr>
          <w:lang w:val="es-AR"/>
        </w:rPr>
        <w:t>de equipos que utilizan HCFC</w:t>
      </w:r>
      <w:r w:rsidRPr="005C328B">
        <w:rPr>
          <w:lang w:val="es-AR"/>
        </w:rPr>
        <w:t xml:space="preserve"> y la importación </w:t>
      </w:r>
      <w:r>
        <w:rPr>
          <w:lang w:val="es-AR"/>
        </w:rPr>
        <w:t>de HCFC-1</w:t>
      </w:r>
      <w:r w:rsidRPr="005C328B">
        <w:rPr>
          <w:lang w:val="es-AR"/>
        </w:rPr>
        <w:t xml:space="preserve">41b en </w:t>
      </w:r>
      <w:proofErr w:type="spellStart"/>
      <w:r w:rsidRPr="005C328B">
        <w:rPr>
          <w:lang w:val="es-AR"/>
        </w:rPr>
        <w:t>polioles</w:t>
      </w:r>
      <w:proofErr w:type="spellEnd"/>
      <w:r w:rsidRPr="005C328B">
        <w:rPr>
          <w:lang w:val="es-AR"/>
        </w:rPr>
        <w:t xml:space="preserve"> premezclados</w:t>
      </w:r>
      <w:r>
        <w:rPr>
          <w:lang w:val="es-AR"/>
        </w:rPr>
        <w:t>, prohibición</w:t>
      </w:r>
      <w:r w:rsidRPr="005C328B">
        <w:rPr>
          <w:lang w:val="es-AR"/>
        </w:rPr>
        <w:t xml:space="preserve"> </w:t>
      </w:r>
      <w:r>
        <w:rPr>
          <w:lang w:val="es-AR"/>
        </w:rPr>
        <w:t>que</w:t>
      </w:r>
      <w:r w:rsidRPr="005C328B">
        <w:rPr>
          <w:lang w:val="es-AR"/>
        </w:rPr>
        <w:t xml:space="preserve"> se está haciendo cumplir. </w:t>
      </w:r>
      <w:r>
        <w:rPr>
          <w:lang w:val="es-AR"/>
        </w:rPr>
        <w:t>Hasta el momento</w:t>
      </w:r>
      <w:r w:rsidRPr="005C328B">
        <w:rPr>
          <w:lang w:val="es-AR"/>
        </w:rPr>
        <w:t xml:space="preserve">, </w:t>
      </w:r>
      <w:r>
        <w:rPr>
          <w:lang w:val="es-AR"/>
        </w:rPr>
        <w:t xml:space="preserve">se capacitó </w:t>
      </w:r>
      <w:r w:rsidRPr="005C328B">
        <w:rPr>
          <w:lang w:val="es-AR"/>
        </w:rPr>
        <w:t>a un total de 1</w:t>
      </w:r>
      <w:r>
        <w:rPr>
          <w:lang w:val="es-AR"/>
        </w:rPr>
        <w:t xml:space="preserve"> </w:t>
      </w:r>
      <w:r w:rsidRPr="005C328B">
        <w:rPr>
          <w:lang w:val="es-AR"/>
        </w:rPr>
        <w:t xml:space="preserve">264 oficiales de aduanas y personal </w:t>
      </w:r>
      <w:r>
        <w:rPr>
          <w:lang w:val="es-AR"/>
        </w:rPr>
        <w:t xml:space="preserve">responsable de aplicar las </w:t>
      </w:r>
      <w:r>
        <w:rPr>
          <w:lang w:val="es-AR"/>
        </w:rPr>
        <w:lastRenderedPageBreak/>
        <w:t>reglamentaciones sobre</w:t>
      </w:r>
      <w:r w:rsidRPr="005C328B">
        <w:rPr>
          <w:lang w:val="es-AR"/>
        </w:rPr>
        <w:t xml:space="preserve"> </w:t>
      </w:r>
      <w:r>
        <w:rPr>
          <w:lang w:val="es-AR"/>
        </w:rPr>
        <w:t>el control de las importaciones de los HCFC</w:t>
      </w:r>
      <w:r w:rsidRPr="005C328B">
        <w:rPr>
          <w:lang w:val="es-AR"/>
        </w:rPr>
        <w:t>, la identificación de</w:t>
      </w:r>
      <w:r>
        <w:rPr>
          <w:lang w:val="es-AR"/>
        </w:rPr>
        <w:t xml:space="preserve"> SAO</w:t>
      </w:r>
      <w:r w:rsidRPr="005C328B">
        <w:rPr>
          <w:lang w:val="es-AR"/>
        </w:rPr>
        <w:t xml:space="preserve"> y la prevención del comercio </w:t>
      </w:r>
      <w:r>
        <w:rPr>
          <w:lang w:val="es-AR"/>
        </w:rPr>
        <w:t>ilícito</w:t>
      </w:r>
      <w:r w:rsidRPr="005C328B">
        <w:rPr>
          <w:lang w:val="es-AR"/>
        </w:rPr>
        <w:t xml:space="preserve"> </w:t>
      </w:r>
      <w:r>
        <w:rPr>
          <w:lang w:val="es-AR"/>
        </w:rPr>
        <w:t>bajo la etapa</w:t>
      </w:r>
      <w:r w:rsidRPr="005C328B">
        <w:rPr>
          <w:lang w:val="es-AR"/>
        </w:rPr>
        <w:t xml:space="preserve"> I del plan de gestión de eliminación de </w:t>
      </w:r>
      <w:r>
        <w:rPr>
          <w:lang w:val="es-AR"/>
        </w:rPr>
        <w:t>los HCFC</w:t>
      </w:r>
      <w:r w:rsidRPr="005C328B">
        <w:rPr>
          <w:lang w:val="es-AR"/>
        </w:rPr>
        <w:t>.</w:t>
      </w:r>
    </w:p>
    <w:p w14:paraId="13056B2E" w14:textId="77777777" w:rsidR="00EE6440" w:rsidRPr="005C328B" w:rsidRDefault="00EE6440" w:rsidP="00EE6440">
      <w:pPr>
        <w:pStyle w:val="Heading1"/>
        <w:rPr>
          <w:lang w:val="es-AR"/>
        </w:rPr>
      </w:pPr>
      <w:r w:rsidRPr="005C328B">
        <w:rPr>
          <w:lang w:val="es-AR"/>
        </w:rPr>
        <w:t xml:space="preserve">Se </w:t>
      </w:r>
      <w:r>
        <w:rPr>
          <w:lang w:val="es-AR"/>
        </w:rPr>
        <w:t xml:space="preserve">realizaron </w:t>
      </w:r>
      <w:r w:rsidRPr="005C328B">
        <w:rPr>
          <w:lang w:val="es-AR"/>
        </w:rPr>
        <w:t xml:space="preserve">talleres de </w:t>
      </w:r>
      <w:r>
        <w:rPr>
          <w:lang w:val="es-AR"/>
        </w:rPr>
        <w:t>capacitación</w:t>
      </w:r>
      <w:r w:rsidRPr="005C328B">
        <w:rPr>
          <w:lang w:val="es-AR"/>
        </w:rPr>
        <w:t xml:space="preserve"> y </w:t>
      </w:r>
      <w:r>
        <w:rPr>
          <w:lang w:val="es-AR"/>
        </w:rPr>
        <w:t>hasta el momento</w:t>
      </w:r>
      <w:r w:rsidRPr="005C328B">
        <w:rPr>
          <w:lang w:val="es-AR"/>
        </w:rPr>
        <w:t xml:space="preserve">, </w:t>
      </w:r>
      <w:r>
        <w:rPr>
          <w:lang w:val="es-AR"/>
        </w:rPr>
        <w:t xml:space="preserve">se formó a </w:t>
      </w:r>
      <w:r w:rsidRPr="005C328B">
        <w:rPr>
          <w:lang w:val="es-AR"/>
        </w:rPr>
        <w:t xml:space="preserve">24 instructores y </w:t>
      </w:r>
      <w:r>
        <w:rPr>
          <w:lang w:val="es-AR"/>
        </w:rPr>
        <w:t xml:space="preserve">a </w:t>
      </w:r>
      <w:r w:rsidRPr="005C328B">
        <w:rPr>
          <w:lang w:val="es-AR"/>
        </w:rPr>
        <w:t xml:space="preserve">un total de 360 </w:t>
      </w:r>
      <w:r>
        <w:rPr>
          <w:lang w:val="es-AR"/>
        </w:rPr>
        <w:t xml:space="preserve">técnicos en </w:t>
      </w:r>
      <w:r w:rsidRPr="005C328B">
        <w:rPr>
          <w:lang w:val="es-AR"/>
        </w:rPr>
        <w:t xml:space="preserve">refrigeración y </w:t>
      </w:r>
      <w:r>
        <w:rPr>
          <w:lang w:val="es-AR"/>
        </w:rPr>
        <w:t>climatización sobre prácticas idóneas</w:t>
      </w:r>
      <w:r w:rsidRPr="005C328B">
        <w:rPr>
          <w:lang w:val="es-AR"/>
        </w:rPr>
        <w:t xml:space="preserve"> de mantenimiento, </w:t>
      </w:r>
      <w:r>
        <w:rPr>
          <w:lang w:val="es-AR"/>
        </w:rPr>
        <w:t>manejo seguro</w:t>
      </w:r>
      <w:r w:rsidRPr="005C328B">
        <w:rPr>
          <w:lang w:val="es-AR"/>
        </w:rPr>
        <w:t xml:space="preserve"> de refrigerantes inflamables y </w:t>
      </w:r>
      <w:r>
        <w:rPr>
          <w:lang w:val="es-AR"/>
        </w:rPr>
        <w:t>mantenimiento de eficiencia energética</w:t>
      </w:r>
      <w:r w:rsidRPr="005C328B">
        <w:rPr>
          <w:lang w:val="es-AR"/>
        </w:rPr>
        <w:t xml:space="preserve"> </w:t>
      </w:r>
      <w:r>
        <w:rPr>
          <w:lang w:val="es-AR"/>
        </w:rPr>
        <w:t>de equipos de refrigeración y climatización</w:t>
      </w:r>
      <w:r w:rsidRPr="005C328B">
        <w:rPr>
          <w:lang w:val="es-AR"/>
        </w:rPr>
        <w:t>.</w:t>
      </w:r>
    </w:p>
    <w:p w14:paraId="51ED6CB2" w14:textId="77777777" w:rsidR="00EE6440" w:rsidRPr="005C328B" w:rsidRDefault="00EE6440" w:rsidP="00EE6440">
      <w:pPr>
        <w:pStyle w:val="Heading1"/>
        <w:rPr>
          <w:lang w:val="es-AR"/>
        </w:rPr>
      </w:pPr>
      <w:r>
        <w:rPr>
          <w:lang w:val="es-AR"/>
        </w:rPr>
        <w:t xml:space="preserve">Se apoyó </w:t>
      </w:r>
      <w:r w:rsidRPr="005C328B">
        <w:rPr>
          <w:lang w:val="es-AR"/>
        </w:rPr>
        <w:t xml:space="preserve">al </w:t>
      </w:r>
      <w:r>
        <w:rPr>
          <w:lang w:val="es-AR"/>
        </w:rPr>
        <w:t>I</w:t>
      </w:r>
      <w:r w:rsidRPr="005C328B">
        <w:rPr>
          <w:lang w:val="es-AR"/>
        </w:rPr>
        <w:t>nstituto de Afganistán-Corea (AKI</w:t>
      </w:r>
      <w:r>
        <w:rPr>
          <w:lang w:val="es-AR"/>
        </w:rPr>
        <w:t>, por su sigla en inglés</w:t>
      </w:r>
      <w:r w:rsidRPr="005C328B">
        <w:rPr>
          <w:lang w:val="es-AR"/>
        </w:rPr>
        <w:t xml:space="preserve">) como el centro </w:t>
      </w:r>
      <w:r>
        <w:rPr>
          <w:lang w:val="es-AR"/>
        </w:rPr>
        <w:t xml:space="preserve">de gestión y confinamiento de </w:t>
      </w:r>
      <w:r w:rsidRPr="005C328B">
        <w:rPr>
          <w:lang w:val="es-AR"/>
        </w:rPr>
        <w:t>refrigerante</w:t>
      </w:r>
      <w:r>
        <w:rPr>
          <w:lang w:val="es-AR"/>
        </w:rPr>
        <w:t>s</w:t>
      </w:r>
      <w:r w:rsidRPr="005C328B">
        <w:rPr>
          <w:lang w:val="es-AR"/>
        </w:rPr>
        <w:t xml:space="preserve"> (RMCC</w:t>
      </w:r>
      <w:r>
        <w:rPr>
          <w:lang w:val="es-AR"/>
        </w:rPr>
        <w:t>, por su sigla en inglés</w:t>
      </w:r>
      <w:r w:rsidRPr="005C328B">
        <w:rPr>
          <w:lang w:val="es-AR"/>
        </w:rPr>
        <w:t xml:space="preserve">). </w:t>
      </w:r>
      <w:r>
        <w:rPr>
          <w:lang w:val="es-AR"/>
        </w:rPr>
        <w:t>Se entregaron equipos</w:t>
      </w:r>
      <w:r w:rsidRPr="005C328B">
        <w:rPr>
          <w:lang w:val="es-AR"/>
        </w:rPr>
        <w:t xml:space="preserve"> y herramientas </w:t>
      </w:r>
      <w:r>
        <w:rPr>
          <w:lang w:val="es-AR"/>
        </w:rPr>
        <w:t xml:space="preserve">al Instituto </w:t>
      </w:r>
      <w:r w:rsidRPr="005C328B">
        <w:rPr>
          <w:lang w:val="es-AR"/>
        </w:rPr>
        <w:t>y se registra</w:t>
      </w:r>
      <w:r>
        <w:rPr>
          <w:lang w:val="es-AR"/>
        </w:rPr>
        <w:t>ron</w:t>
      </w:r>
      <w:r w:rsidRPr="005C328B">
        <w:rPr>
          <w:lang w:val="es-AR"/>
        </w:rPr>
        <w:t xml:space="preserve"> para uso oficial. </w:t>
      </w:r>
      <w:r>
        <w:rPr>
          <w:lang w:val="es-AR"/>
        </w:rPr>
        <w:t xml:space="preserve">El Instituto elabora los </w:t>
      </w:r>
      <w:r w:rsidRPr="005C328B">
        <w:rPr>
          <w:lang w:val="es-AR"/>
        </w:rPr>
        <w:t xml:space="preserve">materiales </w:t>
      </w:r>
      <w:r>
        <w:rPr>
          <w:lang w:val="es-AR"/>
        </w:rPr>
        <w:t xml:space="preserve">visuales </w:t>
      </w:r>
      <w:r w:rsidRPr="005C328B">
        <w:rPr>
          <w:lang w:val="es-AR"/>
        </w:rPr>
        <w:t xml:space="preserve">de </w:t>
      </w:r>
      <w:r>
        <w:rPr>
          <w:lang w:val="es-AR"/>
        </w:rPr>
        <w:t>capacitación</w:t>
      </w:r>
      <w:r w:rsidRPr="005C328B">
        <w:rPr>
          <w:lang w:val="es-AR"/>
        </w:rPr>
        <w:t xml:space="preserve"> para </w:t>
      </w:r>
      <w:r>
        <w:rPr>
          <w:lang w:val="es-AR"/>
        </w:rPr>
        <w:t xml:space="preserve">la formación </w:t>
      </w:r>
      <w:r w:rsidRPr="005C328B">
        <w:rPr>
          <w:lang w:val="es-AR"/>
        </w:rPr>
        <w:t xml:space="preserve">de técnicos y estudiantes que tienen acceso a los recursos en línea. </w:t>
      </w:r>
    </w:p>
    <w:p w14:paraId="1C6FD038" w14:textId="77777777" w:rsidR="00EE6440" w:rsidRPr="005C328B" w:rsidRDefault="00EE6440" w:rsidP="00EE6440">
      <w:pPr>
        <w:pStyle w:val="Heading1"/>
        <w:rPr>
          <w:lang w:val="es-AR"/>
        </w:rPr>
      </w:pPr>
      <w:r>
        <w:rPr>
          <w:lang w:val="es-AR"/>
        </w:rPr>
        <w:t>Se realizó u</w:t>
      </w:r>
      <w:r w:rsidRPr="005C328B">
        <w:rPr>
          <w:lang w:val="es-AR"/>
        </w:rPr>
        <w:t xml:space="preserve">na encuesta para seleccionar </w:t>
      </w:r>
      <w:r>
        <w:rPr>
          <w:lang w:val="es-AR"/>
        </w:rPr>
        <w:t xml:space="preserve">otros </w:t>
      </w:r>
      <w:r w:rsidRPr="005C328B">
        <w:rPr>
          <w:lang w:val="es-AR"/>
        </w:rPr>
        <w:t xml:space="preserve">centros de formación profesional para los técnicos de </w:t>
      </w:r>
      <w:r>
        <w:rPr>
          <w:lang w:val="es-AR"/>
        </w:rPr>
        <w:t>refrigeración y climatización</w:t>
      </w:r>
      <w:r w:rsidRPr="005C328B">
        <w:rPr>
          <w:lang w:val="es-AR"/>
        </w:rPr>
        <w:t xml:space="preserve">. </w:t>
      </w:r>
      <w:r>
        <w:rPr>
          <w:lang w:val="es-AR"/>
        </w:rPr>
        <w:t>Se redactó u</w:t>
      </w:r>
      <w:r w:rsidRPr="005C328B">
        <w:rPr>
          <w:lang w:val="es-AR"/>
        </w:rPr>
        <w:t xml:space="preserve">n </w:t>
      </w:r>
      <w:r>
        <w:rPr>
          <w:lang w:val="es-AR"/>
        </w:rPr>
        <w:t>m</w:t>
      </w:r>
      <w:r w:rsidRPr="005C328B">
        <w:rPr>
          <w:lang w:val="es-AR"/>
        </w:rPr>
        <w:t xml:space="preserve">emorando de entendimiento con el </w:t>
      </w:r>
      <w:r>
        <w:rPr>
          <w:lang w:val="es-AR"/>
        </w:rPr>
        <w:t>Ministerio de Trabajo y Asuntos S</w:t>
      </w:r>
      <w:r w:rsidRPr="005C328B">
        <w:rPr>
          <w:lang w:val="es-AR"/>
        </w:rPr>
        <w:t xml:space="preserve">ociales para establecer la </w:t>
      </w:r>
      <w:r>
        <w:rPr>
          <w:lang w:val="es-AR"/>
        </w:rPr>
        <w:t xml:space="preserve">especialización </w:t>
      </w:r>
      <w:r w:rsidRPr="005C328B">
        <w:rPr>
          <w:lang w:val="es-AR"/>
        </w:rPr>
        <w:t xml:space="preserve">de </w:t>
      </w:r>
      <w:r>
        <w:rPr>
          <w:lang w:val="es-AR"/>
        </w:rPr>
        <w:t>refrigeración y climatización</w:t>
      </w:r>
      <w:r w:rsidRPr="005C328B">
        <w:rPr>
          <w:lang w:val="es-AR"/>
        </w:rPr>
        <w:t xml:space="preserve"> en dos centros de </w:t>
      </w:r>
      <w:r>
        <w:rPr>
          <w:lang w:val="es-AR"/>
        </w:rPr>
        <w:t>capacitación</w:t>
      </w:r>
      <w:r w:rsidRPr="005C328B">
        <w:rPr>
          <w:lang w:val="es-AR"/>
        </w:rPr>
        <w:t xml:space="preserve"> provinciales</w:t>
      </w:r>
      <w:r>
        <w:rPr>
          <w:lang w:val="es-AR"/>
        </w:rPr>
        <w:t>,</w:t>
      </w:r>
      <w:r w:rsidRPr="005C328B">
        <w:rPr>
          <w:lang w:val="es-AR"/>
        </w:rPr>
        <w:t xml:space="preserve"> en </w:t>
      </w:r>
      <w:proofErr w:type="spellStart"/>
      <w:r w:rsidRPr="005C328B">
        <w:rPr>
          <w:lang w:val="es-AR"/>
        </w:rPr>
        <w:t>Herat</w:t>
      </w:r>
      <w:proofErr w:type="spellEnd"/>
      <w:r w:rsidRPr="005C328B">
        <w:rPr>
          <w:lang w:val="es-AR"/>
        </w:rPr>
        <w:t xml:space="preserve"> y </w:t>
      </w:r>
      <w:proofErr w:type="spellStart"/>
      <w:r w:rsidRPr="005C328B">
        <w:rPr>
          <w:lang w:val="es-AR"/>
        </w:rPr>
        <w:t>Balkh</w:t>
      </w:r>
      <w:proofErr w:type="spellEnd"/>
      <w:r>
        <w:rPr>
          <w:lang w:val="es-AR"/>
        </w:rPr>
        <w:t>,</w:t>
      </w:r>
      <w:r w:rsidRPr="005C328B">
        <w:rPr>
          <w:lang w:val="es-AR"/>
        </w:rPr>
        <w:t xml:space="preserve"> apoyad</w:t>
      </w:r>
      <w:r>
        <w:rPr>
          <w:lang w:val="es-AR"/>
        </w:rPr>
        <w:t>a</w:t>
      </w:r>
      <w:r w:rsidRPr="005C328B">
        <w:rPr>
          <w:lang w:val="es-AR"/>
        </w:rPr>
        <w:t xml:space="preserve"> por el presupuesto público. </w:t>
      </w:r>
    </w:p>
    <w:p w14:paraId="0893A8DF" w14:textId="77777777" w:rsidR="00EE6440" w:rsidRPr="005C328B" w:rsidRDefault="00EE6440" w:rsidP="00EE6440">
      <w:pPr>
        <w:pStyle w:val="Heading1"/>
        <w:rPr>
          <w:lang w:val="es-AR"/>
        </w:rPr>
      </w:pPr>
      <w:r>
        <w:rPr>
          <w:lang w:val="es-AR"/>
        </w:rPr>
        <w:t xml:space="preserve">Desde </w:t>
      </w:r>
      <w:r w:rsidRPr="005C328B">
        <w:rPr>
          <w:lang w:val="es-AR"/>
        </w:rPr>
        <w:t xml:space="preserve">la aprobación del cuarto tramo, </w:t>
      </w:r>
      <w:r>
        <w:rPr>
          <w:lang w:val="es-AR"/>
        </w:rPr>
        <w:t xml:space="preserve">se firmó </w:t>
      </w:r>
      <w:r w:rsidRPr="005C328B">
        <w:rPr>
          <w:lang w:val="es-AR"/>
        </w:rPr>
        <w:t xml:space="preserve">un acuerdo de financiación a pequeña escala entre el gobierno de Afganistán y </w:t>
      </w:r>
      <w:r>
        <w:rPr>
          <w:lang w:val="es-AR"/>
        </w:rPr>
        <w:t>el PNUMA,</w:t>
      </w:r>
      <w:r w:rsidRPr="005C328B">
        <w:rPr>
          <w:lang w:val="es-AR"/>
        </w:rPr>
        <w:t xml:space="preserve"> </w:t>
      </w:r>
      <w:r>
        <w:rPr>
          <w:lang w:val="es-AR"/>
        </w:rPr>
        <w:t xml:space="preserve">a fin de </w:t>
      </w:r>
      <w:r w:rsidRPr="005C328B">
        <w:rPr>
          <w:lang w:val="es-AR"/>
        </w:rPr>
        <w:t xml:space="preserve">especificar las responsabilidades legales de </w:t>
      </w:r>
      <w:r>
        <w:rPr>
          <w:lang w:val="es-AR"/>
        </w:rPr>
        <w:t>ejecución</w:t>
      </w:r>
      <w:r w:rsidRPr="005C328B">
        <w:rPr>
          <w:lang w:val="es-AR"/>
        </w:rPr>
        <w:t xml:space="preserve"> </w:t>
      </w:r>
      <w:r>
        <w:rPr>
          <w:lang w:val="es-AR"/>
        </w:rPr>
        <w:t xml:space="preserve">de las actividades </w:t>
      </w:r>
      <w:r w:rsidRPr="005C328B">
        <w:rPr>
          <w:lang w:val="es-AR"/>
        </w:rPr>
        <w:t>y</w:t>
      </w:r>
      <w:r>
        <w:rPr>
          <w:lang w:val="es-AR"/>
        </w:rPr>
        <w:t xml:space="preserve"> presentación de informes</w:t>
      </w:r>
      <w:r w:rsidRPr="005C328B">
        <w:rPr>
          <w:lang w:val="es-AR"/>
        </w:rPr>
        <w:t>. E</w:t>
      </w:r>
      <w:r>
        <w:rPr>
          <w:lang w:val="es-AR"/>
        </w:rPr>
        <w:t>l Acuerdo</w:t>
      </w:r>
      <w:r w:rsidRPr="005C328B">
        <w:rPr>
          <w:lang w:val="es-AR"/>
        </w:rPr>
        <w:t xml:space="preserve"> de financiación a pequeña escala se está incorporando </w:t>
      </w:r>
      <w:r>
        <w:rPr>
          <w:lang w:val="es-AR"/>
        </w:rPr>
        <w:t>al Acuerdo</w:t>
      </w:r>
      <w:r w:rsidRPr="005C328B">
        <w:rPr>
          <w:lang w:val="es-AR"/>
        </w:rPr>
        <w:t xml:space="preserve"> </w:t>
      </w:r>
      <w:r>
        <w:rPr>
          <w:lang w:val="es-AR"/>
        </w:rPr>
        <w:t>firmado entre el PNUMA</w:t>
      </w:r>
      <w:r w:rsidRPr="005C328B">
        <w:rPr>
          <w:lang w:val="es-AR"/>
        </w:rPr>
        <w:t xml:space="preserve"> y la oficina del país </w:t>
      </w:r>
      <w:r>
        <w:rPr>
          <w:lang w:val="es-AR"/>
        </w:rPr>
        <w:t>del PNUD</w:t>
      </w:r>
      <w:r w:rsidRPr="005C328B">
        <w:rPr>
          <w:lang w:val="es-AR"/>
        </w:rPr>
        <w:t xml:space="preserve"> para las transferencias de</w:t>
      </w:r>
      <w:r>
        <w:rPr>
          <w:lang w:val="es-AR"/>
        </w:rPr>
        <w:t xml:space="preserve"> los</w:t>
      </w:r>
      <w:r w:rsidRPr="005C328B">
        <w:rPr>
          <w:lang w:val="es-AR"/>
        </w:rPr>
        <w:t xml:space="preserve"> fondo</w:t>
      </w:r>
      <w:r>
        <w:rPr>
          <w:lang w:val="es-AR"/>
        </w:rPr>
        <w:t>s</w:t>
      </w:r>
      <w:r w:rsidRPr="005C328B">
        <w:rPr>
          <w:lang w:val="es-AR"/>
        </w:rPr>
        <w:t xml:space="preserve">. </w:t>
      </w:r>
    </w:p>
    <w:p w14:paraId="23C23327" w14:textId="77777777" w:rsidR="00EE6440" w:rsidRPr="00265899" w:rsidRDefault="00EE6440" w:rsidP="00EE6440">
      <w:pPr>
        <w:spacing w:after="240"/>
        <w:rPr>
          <w:i/>
          <w:lang w:val="es-AR"/>
        </w:rPr>
      </w:pPr>
      <w:r w:rsidRPr="00265899">
        <w:rPr>
          <w:i/>
          <w:lang w:val="es-AR"/>
        </w:rPr>
        <w:t xml:space="preserve">Actividades de facilitación en </w:t>
      </w:r>
      <w:r>
        <w:rPr>
          <w:i/>
          <w:lang w:val="es-AR"/>
        </w:rPr>
        <w:t>el sector de refrigeración y climatización</w:t>
      </w:r>
      <w:r w:rsidRPr="00265899">
        <w:rPr>
          <w:i/>
          <w:lang w:val="es-AR"/>
        </w:rPr>
        <w:t xml:space="preserve"> </w:t>
      </w:r>
    </w:p>
    <w:p w14:paraId="6C312539" w14:textId="77777777" w:rsidR="00EE6440" w:rsidRPr="005C328B" w:rsidRDefault="00EE6440" w:rsidP="00EE6440">
      <w:pPr>
        <w:pStyle w:val="Heading1"/>
        <w:rPr>
          <w:lang w:val="es-AR"/>
        </w:rPr>
      </w:pPr>
      <w:r w:rsidRPr="005C328B">
        <w:rPr>
          <w:lang w:val="es-AR"/>
        </w:rPr>
        <w:t xml:space="preserve">El gobierno de Afganistán ha estado ejecutando actividades de facilitación y la </w:t>
      </w:r>
      <w:r>
        <w:rPr>
          <w:lang w:val="es-AR"/>
        </w:rPr>
        <w:t>propuesta</w:t>
      </w:r>
      <w:r w:rsidRPr="005C328B">
        <w:rPr>
          <w:lang w:val="es-AR"/>
        </w:rPr>
        <w:t xml:space="preserve"> para ratificar la </w:t>
      </w:r>
      <w:r>
        <w:rPr>
          <w:lang w:val="es-AR"/>
        </w:rPr>
        <w:t>Enmienda</w:t>
      </w:r>
      <w:r w:rsidRPr="005C328B">
        <w:rPr>
          <w:lang w:val="es-AR"/>
        </w:rPr>
        <w:t xml:space="preserve"> de Kigali </w:t>
      </w:r>
      <w:r>
        <w:rPr>
          <w:lang w:val="es-AR"/>
        </w:rPr>
        <w:t xml:space="preserve">fue endosada </w:t>
      </w:r>
      <w:r w:rsidRPr="005C328B">
        <w:rPr>
          <w:lang w:val="es-AR"/>
        </w:rPr>
        <w:t xml:space="preserve">por todos los ministerios pertinentes y aguarda la aprobación del gabinete. Un consultor trabaja en la elaboración del texto legal de la </w:t>
      </w:r>
      <w:r>
        <w:rPr>
          <w:lang w:val="es-AR"/>
        </w:rPr>
        <w:t>Enmienda</w:t>
      </w:r>
      <w:r w:rsidRPr="005C328B">
        <w:rPr>
          <w:lang w:val="es-AR"/>
        </w:rPr>
        <w:t xml:space="preserve"> de</w:t>
      </w:r>
      <w:r>
        <w:rPr>
          <w:lang w:val="es-AR"/>
        </w:rPr>
        <w:t xml:space="preserve"> la</w:t>
      </w:r>
      <w:r w:rsidRPr="005C328B">
        <w:rPr>
          <w:lang w:val="es-AR"/>
        </w:rPr>
        <w:t xml:space="preserve"> </w:t>
      </w:r>
      <w:r>
        <w:rPr>
          <w:lang w:val="es-AR"/>
        </w:rPr>
        <w:t>Reglamentación de las SAO</w:t>
      </w:r>
      <w:r w:rsidRPr="005C328B">
        <w:rPr>
          <w:lang w:val="es-AR"/>
        </w:rPr>
        <w:t xml:space="preserve"> para integrar </w:t>
      </w:r>
      <w:r>
        <w:rPr>
          <w:lang w:val="es-AR"/>
        </w:rPr>
        <w:t>los HFC</w:t>
      </w:r>
      <w:r w:rsidRPr="005C328B">
        <w:rPr>
          <w:lang w:val="es-AR"/>
        </w:rPr>
        <w:t xml:space="preserve"> y mezclas de HFC en el </w:t>
      </w:r>
      <w:r>
        <w:rPr>
          <w:lang w:val="es-AR"/>
        </w:rPr>
        <w:t>sistema de otorgamiento</w:t>
      </w:r>
      <w:r w:rsidRPr="005C328B">
        <w:rPr>
          <w:lang w:val="es-AR"/>
        </w:rPr>
        <w:t xml:space="preserve"> de licencias. </w:t>
      </w:r>
      <w:r>
        <w:rPr>
          <w:lang w:val="es-AR"/>
        </w:rPr>
        <w:t>Se introdujeron l</w:t>
      </w:r>
      <w:r w:rsidRPr="005C328B">
        <w:rPr>
          <w:lang w:val="es-AR"/>
        </w:rPr>
        <w:t xml:space="preserve">os códigos </w:t>
      </w:r>
      <w:r>
        <w:rPr>
          <w:lang w:val="es-AR"/>
        </w:rPr>
        <w:t xml:space="preserve">del sistema </w:t>
      </w:r>
      <w:r w:rsidRPr="005C328B">
        <w:rPr>
          <w:lang w:val="es-AR"/>
        </w:rPr>
        <w:t xml:space="preserve">armonizado para </w:t>
      </w:r>
      <w:r>
        <w:rPr>
          <w:lang w:val="es-AR"/>
        </w:rPr>
        <w:t>los HFC</w:t>
      </w:r>
      <w:r w:rsidRPr="005C328B">
        <w:rPr>
          <w:lang w:val="es-AR"/>
        </w:rPr>
        <w:t xml:space="preserve"> y las mezclas</w:t>
      </w:r>
      <w:r>
        <w:rPr>
          <w:lang w:val="es-AR"/>
        </w:rPr>
        <w:t>,</w:t>
      </w:r>
      <w:r w:rsidRPr="005C328B">
        <w:rPr>
          <w:lang w:val="es-AR"/>
        </w:rPr>
        <w:t xml:space="preserve"> y se </w:t>
      </w:r>
      <w:r>
        <w:rPr>
          <w:lang w:val="es-AR"/>
        </w:rPr>
        <w:t xml:space="preserve">enviaron </w:t>
      </w:r>
      <w:r w:rsidRPr="005C328B">
        <w:rPr>
          <w:lang w:val="es-AR"/>
        </w:rPr>
        <w:t>a tod</w:t>
      </w:r>
      <w:r>
        <w:rPr>
          <w:lang w:val="es-AR"/>
        </w:rPr>
        <w:t xml:space="preserve">os los puertos aduaneros </w:t>
      </w:r>
      <w:r w:rsidRPr="005C328B">
        <w:rPr>
          <w:lang w:val="es-AR"/>
        </w:rPr>
        <w:t xml:space="preserve">y se </w:t>
      </w:r>
      <w:r>
        <w:rPr>
          <w:lang w:val="es-AR"/>
        </w:rPr>
        <w:t xml:space="preserve">incluyeron </w:t>
      </w:r>
      <w:r w:rsidRPr="005C328B">
        <w:rPr>
          <w:lang w:val="es-AR"/>
        </w:rPr>
        <w:t xml:space="preserve">en el sistema </w:t>
      </w:r>
      <w:r>
        <w:rPr>
          <w:lang w:val="es-AR"/>
        </w:rPr>
        <w:t>SIDUNEA</w:t>
      </w:r>
      <w:r w:rsidRPr="005C328B">
        <w:rPr>
          <w:rStyle w:val="FootnoteReference"/>
          <w:lang w:val="es-AR"/>
        </w:rPr>
        <w:footnoteReference w:id="7"/>
      </w:r>
      <w:r w:rsidRPr="005C328B">
        <w:rPr>
          <w:lang w:val="es-AR"/>
        </w:rPr>
        <w:t xml:space="preserve">. La </w:t>
      </w:r>
      <w:r>
        <w:rPr>
          <w:lang w:val="es-AR"/>
        </w:rPr>
        <w:t>Dependencia Nacional del Ozono</w:t>
      </w:r>
      <w:r w:rsidRPr="005C328B">
        <w:rPr>
          <w:lang w:val="es-AR"/>
        </w:rPr>
        <w:t xml:space="preserve"> </w:t>
      </w:r>
      <w:r>
        <w:rPr>
          <w:lang w:val="es-AR"/>
        </w:rPr>
        <w:t xml:space="preserve">elaboró </w:t>
      </w:r>
      <w:r w:rsidRPr="005C328B">
        <w:rPr>
          <w:lang w:val="es-AR"/>
        </w:rPr>
        <w:t xml:space="preserve">materiales </w:t>
      </w:r>
      <w:r>
        <w:rPr>
          <w:lang w:val="es-AR"/>
        </w:rPr>
        <w:t>de comunicación</w:t>
      </w:r>
      <w:r w:rsidRPr="005C328B">
        <w:rPr>
          <w:lang w:val="es-AR"/>
        </w:rPr>
        <w:t xml:space="preserve"> </w:t>
      </w:r>
      <w:r>
        <w:rPr>
          <w:lang w:val="es-AR"/>
        </w:rPr>
        <w:t xml:space="preserve">sobre </w:t>
      </w:r>
      <w:r w:rsidRPr="005C328B">
        <w:rPr>
          <w:lang w:val="es-AR"/>
        </w:rPr>
        <w:t xml:space="preserve">la </w:t>
      </w:r>
      <w:r>
        <w:rPr>
          <w:lang w:val="es-AR"/>
        </w:rPr>
        <w:t>Enmienda</w:t>
      </w:r>
      <w:r w:rsidRPr="005C328B">
        <w:rPr>
          <w:lang w:val="es-AR"/>
        </w:rPr>
        <w:t xml:space="preserve"> de Kigali (folletos, </w:t>
      </w:r>
      <w:r>
        <w:rPr>
          <w:lang w:val="es-AR"/>
        </w:rPr>
        <w:t xml:space="preserve">carteles </w:t>
      </w:r>
      <w:r w:rsidRPr="005C328B">
        <w:rPr>
          <w:lang w:val="es-AR"/>
        </w:rPr>
        <w:t xml:space="preserve">y vídeos de información en </w:t>
      </w:r>
      <w:proofErr w:type="spellStart"/>
      <w:r w:rsidRPr="005C328B">
        <w:rPr>
          <w:lang w:val="es-AR"/>
        </w:rPr>
        <w:t>Dari</w:t>
      </w:r>
      <w:proofErr w:type="spellEnd"/>
      <w:r w:rsidRPr="005C328B">
        <w:rPr>
          <w:lang w:val="es-AR"/>
        </w:rPr>
        <w:t xml:space="preserve"> y Pashto) y </w:t>
      </w:r>
      <w:r>
        <w:rPr>
          <w:lang w:val="es-AR"/>
        </w:rPr>
        <w:t xml:space="preserve">realiza </w:t>
      </w:r>
      <w:r w:rsidRPr="005C328B">
        <w:rPr>
          <w:lang w:val="es-AR"/>
        </w:rPr>
        <w:t xml:space="preserve">una campaña </w:t>
      </w:r>
      <w:r>
        <w:rPr>
          <w:lang w:val="es-AR"/>
        </w:rPr>
        <w:t xml:space="preserve">mediática y </w:t>
      </w:r>
      <w:r w:rsidRPr="005C328B">
        <w:rPr>
          <w:lang w:val="es-AR"/>
        </w:rPr>
        <w:t>de distribución.</w:t>
      </w:r>
    </w:p>
    <w:p w14:paraId="346DF58B" w14:textId="77777777" w:rsidR="00EE6440" w:rsidRPr="00770287" w:rsidRDefault="00EE6440" w:rsidP="00EE6440">
      <w:pPr>
        <w:spacing w:after="240"/>
        <w:outlineLvl w:val="0"/>
        <w:rPr>
          <w:lang w:val="es-AR"/>
        </w:rPr>
      </w:pPr>
      <w:r>
        <w:rPr>
          <w:u w:val="single"/>
          <w:lang w:val="es-AR"/>
        </w:rPr>
        <w:t>D</w:t>
      </w:r>
      <w:r w:rsidRPr="00770287">
        <w:rPr>
          <w:u w:val="single"/>
          <w:lang w:val="es-AR"/>
        </w:rPr>
        <w:t>esembolso</w:t>
      </w:r>
      <w:r>
        <w:rPr>
          <w:u w:val="single"/>
          <w:lang w:val="es-AR"/>
        </w:rPr>
        <w:t>s</w:t>
      </w:r>
      <w:r w:rsidRPr="00770287">
        <w:rPr>
          <w:u w:val="single"/>
          <w:lang w:val="es-AR"/>
        </w:rPr>
        <w:t xml:space="preserve"> de fondo</w:t>
      </w:r>
      <w:r>
        <w:rPr>
          <w:u w:val="single"/>
          <w:lang w:val="es-AR"/>
        </w:rPr>
        <w:t>s</w:t>
      </w:r>
    </w:p>
    <w:p w14:paraId="79719675" w14:textId="773D6080" w:rsidR="00EE6440" w:rsidRPr="005C328B" w:rsidRDefault="00EE6440" w:rsidP="00EE6440">
      <w:pPr>
        <w:pStyle w:val="Heading1"/>
        <w:rPr>
          <w:lang w:val="es-AR"/>
        </w:rPr>
      </w:pPr>
      <w:r w:rsidRPr="005C328B">
        <w:rPr>
          <w:lang w:val="es-AR"/>
        </w:rPr>
        <w:t>En abril de 2021, de</w:t>
      </w:r>
      <w:r>
        <w:rPr>
          <w:lang w:val="es-AR"/>
        </w:rPr>
        <w:t xml:space="preserve"> los</w:t>
      </w:r>
      <w:r w:rsidRPr="005C328B">
        <w:rPr>
          <w:lang w:val="es-AR"/>
        </w:rPr>
        <w:t xml:space="preserve"> </w:t>
      </w:r>
      <w:r>
        <w:rPr>
          <w:lang w:val="es-AR"/>
        </w:rPr>
        <w:t xml:space="preserve">$EUA </w:t>
      </w:r>
      <w:r w:rsidRPr="005C328B">
        <w:rPr>
          <w:color w:val="000000"/>
          <w:lang w:val="es-AR"/>
        </w:rPr>
        <w:t>679</w:t>
      </w:r>
      <w:r>
        <w:rPr>
          <w:color w:val="000000"/>
          <w:lang w:val="es-AR"/>
        </w:rPr>
        <w:t xml:space="preserve"> </w:t>
      </w:r>
      <w:r w:rsidRPr="005C328B">
        <w:rPr>
          <w:color w:val="000000"/>
          <w:lang w:val="es-AR"/>
        </w:rPr>
        <w:t xml:space="preserve">101 </w:t>
      </w:r>
      <w:r w:rsidRPr="005C328B">
        <w:rPr>
          <w:lang w:val="es-AR"/>
        </w:rPr>
        <w:t xml:space="preserve">aprobados </w:t>
      </w:r>
      <w:r>
        <w:rPr>
          <w:lang w:val="es-AR"/>
        </w:rPr>
        <w:t>hasta el momento</w:t>
      </w:r>
      <w:r w:rsidRPr="005C328B">
        <w:rPr>
          <w:lang w:val="es-AR"/>
        </w:rPr>
        <w:t xml:space="preserve">, </w:t>
      </w:r>
      <w:r>
        <w:rPr>
          <w:lang w:val="es-AR"/>
        </w:rPr>
        <w:t xml:space="preserve">se habían desembolsado $EUA </w:t>
      </w:r>
      <w:r w:rsidRPr="005C328B">
        <w:rPr>
          <w:lang w:val="es-AR"/>
        </w:rPr>
        <w:t>518</w:t>
      </w:r>
      <w:r>
        <w:rPr>
          <w:lang w:val="es-AR"/>
        </w:rPr>
        <w:t xml:space="preserve"> </w:t>
      </w:r>
      <w:r w:rsidRPr="005C328B">
        <w:rPr>
          <w:lang w:val="es-AR"/>
        </w:rPr>
        <w:t>445 (</w:t>
      </w:r>
      <w:r>
        <w:rPr>
          <w:lang w:val="es-AR"/>
        </w:rPr>
        <w:t xml:space="preserve">$EUA </w:t>
      </w:r>
      <w:r w:rsidRPr="005C328B">
        <w:rPr>
          <w:lang w:val="es-AR"/>
        </w:rPr>
        <w:t>344</w:t>
      </w:r>
      <w:r>
        <w:rPr>
          <w:lang w:val="es-AR"/>
        </w:rPr>
        <w:t xml:space="preserve"> </w:t>
      </w:r>
      <w:r w:rsidRPr="005C328B">
        <w:rPr>
          <w:lang w:val="es-AR"/>
        </w:rPr>
        <w:t>828</w:t>
      </w:r>
      <w:r>
        <w:rPr>
          <w:lang w:val="es-AR"/>
        </w:rPr>
        <w:t>,</w:t>
      </w:r>
      <w:r w:rsidRPr="005C328B">
        <w:rPr>
          <w:lang w:val="es-AR"/>
        </w:rPr>
        <w:t xml:space="preserve"> para </w:t>
      </w:r>
      <w:r>
        <w:rPr>
          <w:lang w:val="es-AR"/>
        </w:rPr>
        <w:t>el PNUMA</w:t>
      </w:r>
      <w:r w:rsidRPr="005C328B">
        <w:rPr>
          <w:lang w:val="es-AR"/>
        </w:rPr>
        <w:t xml:space="preserve">, </w:t>
      </w:r>
      <w:r>
        <w:rPr>
          <w:lang w:val="es-AR"/>
        </w:rPr>
        <w:t xml:space="preserve">$EUA </w:t>
      </w:r>
      <w:r w:rsidRPr="005C328B">
        <w:rPr>
          <w:lang w:val="es-AR"/>
        </w:rPr>
        <w:t>37</w:t>
      </w:r>
      <w:r>
        <w:rPr>
          <w:lang w:val="es-AR"/>
        </w:rPr>
        <w:t xml:space="preserve"> </w:t>
      </w:r>
      <w:r w:rsidRPr="005C328B">
        <w:rPr>
          <w:lang w:val="es-AR"/>
        </w:rPr>
        <w:t>062</w:t>
      </w:r>
      <w:r>
        <w:rPr>
          <w:lang w:val="es-AR"/>
        </w:rPr>
        <w:t>,</w:t>
      </w:r>
      <w:r w:rsidRPr="005C328B">
        <w:rPr>
          <w:lang w:val="es-AR"/>
        </w:rPr>
        <w:t xml:space="preserve"> para el gobierno de Alemania y </w:t>
      </w:r>
      <w:r w:rsidR="00014351">
        <w:rPr>
          <w:lang w:val="es-AR"/>
        </w:rPr>
        <w:t>$EUA </w:t>
      </w:r>
      <w:r w:rsidRPr="005C328B">
        <w:rPr>
          <w:lang w:val="es-AR"/>
        </w:rPr>
        <w:t>136</w:t>
      </w:r>
      <w:r w:rsidR="00014351">
        <w:rPr>
          <w:lang w:val="es-AR"/>
        </w:rPr>
        <w:t> </w:t>
      </w:r>
      <w:r w:rsidRPr="005C328B">
        <w:rPr>
          <w:lang w:val="es-AR"/>
        </w:rPr>
        <w:t>555</w:t>
      </w:r>
      <w:r>
        <w:rPr>
          <w:lang w:val="es-AR"/>
        </w:rPr>
        <w:t>,</w:t>
      </w:r>
      <w:r w:rsidRPr="005C328B">
        <w:rPr>
          <w:lang w:val="es-AR"/>
        </w:rPr>
        <w:t xml:space="preserve"> para </w:t>
      </w:r>
      <w:r>
        <w:rPr>
          <w:lang w:val="es-AR"/>
        </w:rPr>
        <w:t>la ONUDI</w:t>
      </w:r>
      <w:r w:rsidRPr="005C328B">
        <w:rPr>
          <w:lang w:val="es-AR"/>
        </w:rPr>
        <w:t>).</w:t>
      </w:r>
    </w:p>
    <w:p w14:paraId="15A5F2DA" w14:textId="77777777" w:rsidR="00EE6440" w:rsidRPr="00770287" w:rsidRDefault="00EE6440" w:rsidP="00EE6440">
      <w:pPr>
        <w:keepNext/>
        <w:spacing w:after="240"/>
        <w:rPr>
          <w:b/>
          <w:lang w:val="es-AR"/>
        </w:rPr>
      </w:pPr>
      <w:r>
        <w:rPr>
          <w:b/>
          <w:lang w:val="es-AR"/>
        </w:rPr>
        <w:t>O</w:t>
      </w:r>
      <w:r w:rsidRPr="00770287">
        <w:rPr>
          <w:b/>
          <w:lang w:val="es-AR"/>
        </w:rPr>
        <w:t>bservaciones de la Secretaría</w:t>
      </w:r>
    </w:p>
    <w:p w14:paraId="1A6261D9" w14:textId="77777777" w:rsidR="00EE6440" w:rsidRPr="00770287" w:rsidRDefault="00EE6440" w:rsidP="00EE6440">
      <w:pPr>
        <w:keepNext/>
        <w:numPr>
          <w:ilvl w:val="0"/>
          <w:numId w:val="1"/>
        </w:numPr>
        <w:spacing w:after="240"/>
        <w:outlineLvl w:val="0"/>
        <w:rPr>
          <w:lang w:val="es-AR"/>
        </w:rPr>
      </w:pPr>
      <w:r w:rsidRPr="00770287">
        <w:rPr>
          <w:lang w:val="es-AR"/>
        </w:rPr>
        <w:t>La Secretaría observa que la ejecución de la etapa I del plan de gestión de eliminación de los HCFC para Afganistán</w:t>
      </w:r>
      <w:r>
        <w:rPr>
          <w:lang w:val="es-AR"/>
        </w:rPr>
        <w:t xml:space="preserve"> progresa</w:t>
      </w:r>
      <w:r w:rsidRPr="00770287">
        <w:rPr>
          <w:lang w:val="es-AR"/>
        </w:rPr>
        <w:t xml:space="preserve"> bien. Se </w:t>
      </w:r>
      <w:r>
        <w:rPr>
          <w:lang w:val="es-AR"/>
        </w:rPr>
        <w:t xml:space="preserve">terminaron el primero </w:t>
      </w:r>
      <w:r w:rsidRPr="00770287">
        <w:rPr>
          <w:lang w:val="es-AR"/>
        </w:rPr>
        <w:t xml:space="preserve">y </w:t>
      </w:r>
      <w:r>
        <w:rPr>
          <w:lang w:val="es-AR"/>
        </w:rPr>
        <w:t xml:space="preserve">el </w:t>
      </w:r>
      <w:r w:rsidRPr="00770287">
        <w:rPr>
          <w:lang w:val="es-AR"/>
        </w:rPr>
        <w:t xml:space="preserve">segundo tramo; </w:t>
      </w:r>
      <w:r>
        <w:rPr>
          <w:lang w:val="es-AR"/>
        </w:rPr>
        <w:t xml:space="preserve">asimismo se ha terminado o planificado </w:t>
      </w:r>
      <w:r w:rsidRPr="00770287">
        <w:rPr>
          <w:lang w:val="es-AR"/>
        </w:rPr>
        <w:t xml:space="preserve">la mayor parte de las actividades </w:t>
      </w:r>
      <w:r>
        <w:rPr>
          <w:lang w:val="es-AR"/>
        </w:rPr>
        <w:t>d</w:t>
      </w:r>
      <w:r w:rsidRPr="00770287">
        <w:rPr>
          <w:lang w:val="es-AR"/>
        </w:rPr>
        <w:t>el tercer tramo, y se</w:t>
      </w:r>
      <w:r>
        <w:rPr>
          <w:lang w:val="es-AR"/>
        </w:rPr>
        <w:t xml:space="preserve"> han asignado</w:t>
      </w:r>
      <w:r w:rsidRPr="00770287">
        <w:rPr>
          <w:lang w:val="es-AR"/>
        </w:rPr>
        <w:t xml:space="preserve"> todos los fondos. </w:t>
      </w:r>
      <w:r>
        <w:rPr>
          <w:lang w:val="es-AR"/>
        </w:rPr>
        <w:t xml:space="preserve">Se está creando las bases </w:t>
      </w:r>
      <w:r w:rsidRPr="00770287">
        <w:rPr>
          <w:lang w:val="es-AR"/>
        </w:rPr>
        <w:t xml:space="preserve">para la ejecución del cuarto tramo. </w:t>
      </w:r>
    </w:p>
    <w:p w14:paraId="4B5094B4" w14:textId="77777777" w:rsidR="00EE6440" w:rsidRPr="00770287" w:rsidRDefault="00EE6440" w:rsidP="00EE6440">
      <w:pPr>
        <w:numPr>
          <w:ilvl w:val="0"/>
          <w:numId w:val="1"/>
        </w:numPr>
        <w:spacing w:after="240"/>
        <w:outlineLvl w:val="0"/>
        <w:rPr>
          <w:lang w:val="es-AR"/>
        </w:rPr>
      </w:pPr>
      <w:r w:rsidRPr="00770287">
        <w:rPr>
          <w:lang w:val="es-AR"/>
        </w:rPr>
        <w:t xml:space="preserve">La Secretaría </w:t>
      </w:r>
      <w:r>
        <w:rPr>
          <w:lang w:val="es-AR"/>
        </w:rPr>
        <w:t xml:space="preserve">toma nota de </w:t>
      </w:r>
      <w:r w:rsidRPr="00770287">
        <w:rPr>
          <w:lang w:val="es-AR"/>
        </w:rPr>
        <w:t>los esfuerzos emprendidos por el gobierno de Afganistán, el PNUMA y la ONUDI</w:t>
      </w:r>
      <w:r>
        <w:rPr>
          <w:lang w:val="es-AR"/>
        </w:rPr>
        <w:t xml:space="preserve"> para</w:t>
      </w:r>
      <w:r w:rsidRPr="00770287">
        <w:rPr>
          <w:lang w:val="es-AR"/>
        </w:rPr>
        <w:t xml:space="preserve"> terminar las actividades previstas en </w:t>
      </w:r>
      <w:r>
        <w:rPr>
          <w:lang w:val="es-AR"/>
        </w:rPr>
        <w:t>el tercero y cuarto tramo</w:t>
      </w:r>
      <w:r w:rsidRPr="00770287">
        <w:rPr>
          <w:lang w:val="es-AR"/>
        </w:rPr>
        <w:t xml:space="preserve">. </w:t>
      </w:r>
      <w:r>
        <w:rPr>
          <w:lang w:val="es-AR"/>
        </w:rPr>
        <w:t xml:space="preserve">No </w:t>
      </w:r>
      <w:proofErr w:type="gramStart"/>
      <w:r>
        <w:rPr>
          <w:lang w:val="es-AR"/>
        </w:rPr>
        <w:t>obstante</w:t>
      </w:r>
      <w:proofErr w:type="gramEnd"/>
      <w:r>
        <w:rPr>
          <w:lang w:val="es-AR"/>
        </w:rPr>
        <w:t xml:space="preserve"> </w:t>
      </w:r>
      <w:r w:rsidRPr="00770287">
        <w:rPr>
          <w:lang w:val="es-AR"/>
        </w:rPr>
        <w:t xml:space="preserve">esos esfuerzos, </w:t>
      </w:r>
      <w:r>
        <w:rPr>
          <w:lang w:val="es-AR"/>
        </w:rPr>
        <w:t xml:space="preserve">se prevé </w:t>
      </w:r>
      <w:r w:rsidRPr="00770287">
        <w:rPr>
          <w:lang w:val="es-AR"/>
        </w:rPr>
        <w:t>que el proyecto no se</w:t>
      </w:r>
      <w:r>
        <w:rPr>
          <w:lang w:val="es-AR"/>
        </w:rPr>
        <w:t xml:space="preserve"> terminará </w:t>
      </w:r>
      <w:r w:rsidRPr="00770287">
        <w:rPr>
          <w:lang w:val="es-AR"/>
        </w:rPr>
        <w:t>antes de finales de 2021</w:t>
      </w:r>
      <w:r>
        <w:rPr>
          <w:lang w:val="es-AR"/>
        </w:rPr>
        <w:t>,</w:t>
      </w:r>
      <w:r w:rsidRPr="00770287">
        <w:rPr>
          <w:lang w:val="es-AR"/>
        </w:rPr>
        <w:t xml:space="preserve"> debido a los retrasos asociados </w:t>
      </w:r>
      <w:r>
        <w:rPr>
          <w:lang w:val="es-AR"/>
        </w:rPr>
        <w:t>a la pandemia del COVID-19,</w:t>
      </w:r>
      <w:r w:rsidRPr="00770287">
        <w:rPr>
          <w:lang w:val="es-AR"/>
        </w:rPr>
        <w:t xml:space="preserve"> </w:t>
      </w:r>
      <w:r>
        <w:rPr>
          <w:lang w:val="es-AR"/>
        </w:rPr>
        <w:t xml:space="preserve">dado que </w:t>
      </w:r>
      <w:r w:rsidRPr="00770287">
        <w:rPr>
          <w:lang w:val="es-AR"/>
        </w:rPr>
        <w:t xml:space="preserve">el </w:t>
      </w:r>
      <w:r>
        <w:rPr>
          <w:lang w:val="es-AR"/>
        </w:rPr>
        <w:t>a</w:t>
      </w:r>
      <w:r w:rsidRPr="00770287">
        <w:rPr>
          <w:lang w:val="es-AR"/>
        </w:rPr>
        <w:t xml:space="preserve">cuerdo de financiación a pequeña escala </w:t>
      </w:r>
      <w:r>
        <w:rPr>
          <w:lang w:val="es-AR"/>
        </w:rPr>
        <w:t xml:space="preserve">se firmó con nueve mesas </w:t>
      </w:r>
      <w:r>
        <w:rPr>
          <w:lang w:val="es-AR"/>
        </w:rPr>
        <w:lastRenderedPageBreak/>
        <w:t xml:space="preserve">de </w:t>
      </w:r>
      <w:r w:rsidRPr="00770287">
        <w:rPr>
          <w:lang w:val="es-AR"/>
        </w:rPr>
        <w:t xml:space="preserve">atraso y se está incorporando en el </w:t>
      </w:r>
      <w:r>
        <w:rPr>
          <w:lang w:val="es-AR"/>
        </w:rPr>
        <w:t>a</w:t>
      </w:r>
      <w:r w:rsidRPr="00770287">
        <w:rPr>
          <w:lang w:val="es-AR"/>
        </w:rPr>
        <w:t xml:space="preserve">cuerdo de transferencia de financiamiento </w:t>
      </w:r>
      <w:r>
        <w:rPr>
          <w:lang w:val="es-AR"/>
        </w:rPr>
        <w:t xml:space="preserve">firmado </w:t>
      </w:r>
      <w:r w:rsidRPr="00770287">
        <w:rPr>
          <w:lang w:val="es-AR"/>
        </w:rPr>
        <w:t xml:space="preserve">con el PNUD. </w:t>
      </w:r>
      <w:r>
        <w:rPr>
          <w:lang w:val="es-AR"/>
        </w:rPr>
        <w:t>La p</w:t>
      </w:r>
      <w:r w:rsidRPr="00770287">
        <w:rPr>
          <w:lang w:val="es-AR"/>
        </w:rPr>
        <w:t xml:space="preserve">rórroga de </w:t>
      </w:r>
      <w:r>
        <w:rPr>
          <w:lang w:val="es-AR"/>
        </w:rPr>
        <w:t>otro</w:t>
      </w:r>
      <w:r w:rsidRPr="00770287">
        <w:rPr>
          <w:lang w:val="es-AR"/>
        </w:rPr>
        <w:t xml:space="preserve"> año </w:t>
      </w:r>
      <w:r>
        <w:rPr>
          <w:lang w:val="es-AR"/>
        </w:rPr>
        <w:t xml:space="preserve">más </w:t>
      </w:r>
      <w:r w:rsidRPr="00770287">
        <w:rPr>
          <w:lang w:val="es-AR"/>
        </w:rPr>
        <w:t xml:space="preserve">permitiría </w:t>
      </w:r>
      <w:r>
        <w:rPr>
          <w:lang w:val="es-AR"/>
        </w:rPr>
        <w:t>que e</w:t>
      </w:r>
      <w:r w:rsidRPr="00770287">
        <w:rPr>
          <w:lang w:val="es-AR"/>
        </w:rPr>
        <w:t>l gobierno, el PNUMA y la ONUDI termina</w:t>
      </w:r>
      <w:r>
        <w:rPr>
          <w:lang w:val="es-AR"/>
        </w:rPr>
        <w:t xml:space="preserve">sen </w:t>
      </w:r>
      <w:r w:rsidRPr="00770287">
        <w:rPr>
          <w:lang w:val="es-AR"/>
        </w:rPr>
        <w:t xml:space="preserve">las actividades restantes en </w:t>
      </w:r>
      <w:r>
        <w:rPr>
          <w:lang w:val="es-AR"/>
        </w:rPr>
        <w:t>el tercero y cuarto tramo</w:t>
      </w:r>
      <w:r w:rsidRPr="00770287">
        <w:rPr>
          <w:lang w:val="es-AR"/>
        </w:rPr>
        <w:t xml:space="preserve">. </w:t>
      </w:r>
    </w:p>
    <w:p w14:paraId="6D65932E" w14:textId="77777777" w:rsidR="00EE6440" w:rsidRPr="00770287" w:rsidRDefault="00EE6440" w:rsidP="00EE6440">
      <w:pPr>
        <w:spacing w:after="240"/>
        <w:rPr>
          <w:b/>
          <w:lang w:val="es-AR"/>
        </w:rPr>
      </w:pPr>
      <w:r w:rsidRPr="00770287">
        <w:rPr>
          <w:b/>
          <w:lang w:val="es-AR"/>
        </w:rPr>
        <w:t>Recomendación</w:t>
      </w:r>
    </w:p>
    <w:p w14:paraId="6CCC4B16" w14:textId="77777777" w:rsidR="00EE6440" w:rsidRPr="00770287" w:rsidRDefault="00EE6440" w:rsidP="00EE6440">
      <w:pPr>
        <w:numPr>
          <w:ilvl w:val="0"/>
          <w:numId w:val="1"/>
        </w:numPr>
        <w:spacing w:after="240"/>
        <w:outlineLvl w:val="0"/>
        <w:rPr>
          <w:lang w:val="es-AR"/>
        </w:rPr>
      </w:pPr>
      <w:r w:rsidRPr="00770287">
        <w:rPr>
          <w:lang w:val="es-AR"/>
        </w:rPr>
        <w:t>El Comité Ejecutivo podría:</w:t>
      </w:r>
    </w:p>
    <w:p w14:paraId="74698319" w14:textId="77777777" w:rsidR="00EE6440" w:rsidRPr="00770287" w:rsidRDefault="00EE6440" w:rsidP="00EE6440">
      <w:pPr>
        <w:widowControl w:val="0"/>
        <w:numPr>
          <w:ilvl w:val="1"/>
          <w:numId w:val="1"/>
        </w:numPr>
        <w:tabs>
          <w:tab w:val="num" w:pos="557"/>
        </w:tabs>
        <w:spacing w:after="240"/>
        <w:outlineLvl w:val="1"/>
        <w:rPr>
          <w:lang w:val="es-AR"/>
        </w:rPr>
      </w:pPr>
      <w:r>
        <w:rPr>
          <w:lang w:val="es-AR"/>
        </w:rPr>
        <w:t xml:space="preserve">Tomar nota del informe sobre la marcha de </w:t>
      </w:r>
      <w:r w:rsidRPr="00770287">
        <w:rPr>
          <w:lang w:val="es-AR"/>
        </w:rPr>
        <w:t xml:space="preserve">las actividades relativo a la ejecución del programa de trabajo asociado a la etapa I </w:t>
      </w:r>
      <w:r>
        <w:rPr>
          <w:lang w:val="es-AR"/>
        </w:rPr>
        <w:t>de los HCFC</w:t>
      </w:r>
      <w:r w:rsidRPr="00770287">
        <w:rPr>
          <w:lang w:val="es-AR"/>
        </w:rPr>
        <w:t xml:space="preserve"> para el plan de gestión de eliminación de los HCFC para Afganistán</w:t>
      </w:r>
      <w:r>
        <w:rPr>
          <w:lang w:val="es-AR"/>
        </w:rPr>
        <w:t>,</w:t>
      </w:r>
      <w:r w:rsidRPr="00770287">
        <w:rPr>
          <w:lang w:val="es-AR"/>
        </w:rPr>
        <w:t xml:space="preserve"> y la petición de prórroga </w:t>
      </w:r>
      <w:r>
        <w:rPr>
          <w:lang w:val="es-AR"/>
        </w:rPr>
        <w:t>presentada</w:t>
      </w:r>
      <w:r w:rsidRPr="00770287">
        <w:rPr>
          <w:lang w:val="es-AR"/>
        </w:rPr>
        <w:t xml:space="preserve"> por el PNUMA, </w:t>
      </w:r>
      <w:r>
        <w:rPr>
          <w:lang w:val="es-AR"/>
        </w:rPr>
        <w:t>que figura en el documento</w:t>
      </w:r>
      <w:r w:rsidRPr="00770287">
        <w:rPr>
          <w:lang w:val="es-AR"/>
        </w:rPr>
        <w:t> UNEP/OzL.Pro/ExCom/87/9;</w:t>
      </w:r>
    </w:p>
    <w:p w14:paraId="0ED75CE2" w14:textId="77777777" w:rsidR="00EE6440" w:rsidRPr="005C328B" w:rsidRDefault="00EE6440" w:rsidP="00EE6440">
      <w:pPr>
        <w:pStyle w:val="Heading2"/>
        <w:rPr>
          <w:lang w:val="es-AR"/>
        </w:rPr>
      </w:pPr>
      <w:r>
        <w:rPr>
          <w:lang w:val="es-AR"/>
        </w:rPr>
        <w:t>Prolongar</w:t>
      </w:r>
      <w:r w:rsidRPr="005C328B">
        <w:rPr>
          <w:lang w:val="es-AR"/>
        </w:rPr>
        <w:t xml:space="preserve"> excepcional</w:t>
      </w:r>
      <w:r>
        <w:rPr>
          <w:lang w:val="es-AR"/>
        </w:rPr>
        <w:t>mente,</w:t>
      </w:r>
      <w:r w:rsidRPr="005C328B">
        <w:rPr>
          <w:lang w:val="es-AR"/>
        </w:rPr>
        <w:t xml:space="preserve"> debido a los retrasos impuestos por </w:t>
      </w:r>
      <w:r>
        <w:rPr>
          <w:lang w:val="es-AR"/>
        </w:rPr>
        <w:t>la pandemia del COVID-19</w:t>
      </w:r>
      <w:r w:rsidRPr="005C328B">
        <w:rPr>
          <w:lang w:val="es-AR"/>
        </w:rPr>
        <w:t>, la f</w:t>
      </w:r>
      <w:r>
        <w:rPr>
          <w:lang w:val="es-AR"/>
        </w:rPr>
        <w:t xml:space="preserve">echa de terminación </w:t>
      </w:r>
      <w:r w:rsidRPr="005C328B">
        <w:rPr>
          <w:lang w:val="es-AR"/>
        </w:rPr>
        <w:t xml:space="preserve">de la etapa I del plan de gestión de eliminación de </w:t>
      </w:r>
      <w:r>
        <w:rPr>
          <w:lang w:val="es-AR"/>
        </w:rPr>
        <w:t>los HCFC</w:t>
      </w:r>
      <w:r w:rsidRPr="005C328B">
        <w:rPr>
          <w:lang w:val="es-AR"/>
        </w:rPr>
        <w:t xml:space="preserve"> para Afganistán hasta el 31 de diciembre 2022</w:t>
      </w:r>
      <w:r>
        <w:rPr>
          <w:lang w:val="es-AR"/>
        </w:rPr>
        <w:t xml:space="preserve">, destacando </w:t>
      </w:r>
      <w:r w:rsidRPr="005C328B">
        <w:rPr>
          <w:lang w:val="es-AR"/>
        </w:rPr>
        <w:t xml:space="preserve">que no </w:t>
      </w:r>
      <w:r>
        <w:rPr>
          <w:lang w:val="es-AR"/>
        </w:rPr>
        <w:t xml:space="preserve">se pediría ninguna otra </w:t>
      </w:r>
      <w:r w:rsidRPr="005C328B">
        <w:rPr>
          <w:lang w:val="es-AR"/>
        </w:rPr>
        <w:t xml:space="preserve">prórroga; y </w:t>
      </w:r>
    </w:p>
    <w:p w14:paraId="7712F4E2" w14:textId="77777777" w:rsidR="00EE6440" w:rsidRPr="005C328B" w:rsidRDefault="00EE6440" w:rsidP="00EE6440">
      <w:pPr>
        <w:pStyle w:val="Heading2"/>
        <w:rPr>
          <w:lang w:val="es-AR"/>
        </w:rPr>
      </w:pPr>
      <w:r w:rsidRPr="005C328B">
        <w:rPr>
          <w:lang w:val="es-AR"/>
        </w:rPr>
        <w:t xml:space="preserve">Pedir al gobierno de Afganistán, </w:t>
      </w:r>
      <w:r>
        <w:rPr>
          <w:lang w:val="es-AR"/>
        </w:rPr>
        <w:t>el PNUMA</w:t>
      </w:r>
      <w:r w:rsidRPr="005C328B">
        <w:rPr>
          <w:lang w:val="es-AR"/>
        </w:rPr>
        <w:t xml:space="preserve"> y </w:t>
      </w:r>
      <w:r>
        <w:rPr>
          <w:lang w:val="es-AR"/>
        </w:rPr>
        <w:t>la ONUDI</w:t>
      </w:r>
      <w:r w:rsidRPr="005C328B">
        <w:rPr>
          <w:lang w:val="es-AR"/>
        </w:rPr>
        <w:t xml:space="preserve"> </w:t>
      </w:r>
      <w:r>
        <w:rPr>
          <w:lang w:val="es-AR"/>
        </w:rPr>
        <w:t xml:space="preserve">que presenten </w:t>
      </w:r>
      <w:r w:rsidRPr="005C328B">
        <w:rPr>
          <w:lang w:val="es-AR"/>
        </w:rPr>
        <w:t xml:space="preserve">un </w:t>
      </w:r>
      <w:r>
        <w:rPr>
          <w:lang w:val="es-AR"/>
        </w:rPr>
        <w:t>informe</w:t>
      </w:r>
      <w:r w:rsidRPr="005C328B">
        <w:rPr>
          <w:lang w:val="es-AR"/>
        </w:rPr>
        <w:t xml:space="preserve"> de terminación </w:t>
      </w:r>
      <w:r>
        <w:rPr>
          <w:lang w:val="es-AR"/>
        </w:rPr>
        <w:t>del proyecto</w:t>
      </w:r>
      <w:r w:rsidRPr="005C328B">
        <w:rPr>
          <w:lang w:val="es-AR"/>
        </w:rPr>
        <w:t xml:space="preserve"> a la primera reunión de 2023.</w:t>
      </w:r>
    </w:p>
    <w:p w14:paraId="2D497771" w14:textId="77777777" w:rsidR="00EE6440" w:rsidRPr="00227E4D" w:rsidRDefault="00EE6440" w:rsidP="00EE6440">
      <w:pPr>
        <w:spacing w:after="240"/>
        <w:rPr>
          <w:u w:val="single"/>
          <w:lang w:val="es-AR"/>
        </w:rPr>
      </w:pPr>
      <w:r w:rsidRPr="00014351">
        <w:rPr>
          <w:u w:val="single"/>
          <w:lang w:val="es-AR"/>
        </w:rPr>
        <w:t>Argentina: plan</w:t>
      </w:r>
      <w:r>
        <w:rPr>
          <w:u w:val="single"/>
          <w:lang w:val="es-AR"/>
        </w:rPr>
        <w:t xml:space="preserve"> de gestión de eliminación de los HCFC</w:t>
      </w:r>
      <w:r w:rsidRPr="00227E4D">
        <w:rPr>
          <w:u w:val="single"/>
          <w:lang w:val="es-AR"/>
        </w:rPr>
        <w:t xml:space="preserve"> (etapa II - actualización sobre la viabilidad financiera de la empresa </w:t>
      </w:r>
      <w:proofErr w:type="spellStart"/>
      <w:r w:rsidRPr="00227E4D">
        <w:rPr>
          <w:u w:val="single"/>
          <w:lang w:val="es-AR"/>
        </w:rPr>
        <w:t>Celpack</w:t>
      </w:r>
      <w:proofErr w:type="spellEnd"/>
      <w:r w:rsidRPr="00227E4D">
        <w:rPr>
          <w:u w:val="single"/>
          <w:lang w:val="es-AR"/>
        </w:rPr>
        <w:t>)</w:t>
      </w:r>
      <w:r w:rsidRPr="00014351">
        <w:rPr>
          <w:lang w:val="es-AR"/>
        </w:rPr>
        <w:t xml:space="preserve"> </w:t>
      </w:r>
      <w:r>
        <w:rPr>
          <w:lang w:val="es-AR"/>
        </w:rPr>
        <w:t>(ONUDI)</w:t>
      </w:r>
    </w:p>
    <w:p w14:paraId="7677EEE8" w14:textId="77777777" w:rsidR="00EE6440" w:rsidRPr="00227E4D" w:rsidRDefault="00EE6440" w:rsidP="00EE6440">
      <w:pPr>
        <w:spacing w:after="240"/>
        <w:rPr>
          <w:b/>
          <w:lang w:val="es-AR"/>
        </w:rPr>
      </w:pPr>
      <w:r>
        <w:rPr>
          <w:b/>
          <w:lang w:val="es-AR"/>
        </w:rPr>
        <w:t>Antecedentes</w:t>
      </w:r>
    </w:p>
    <w:p w14:paraId="721537B5" w14:textId="77777777" w:rsidR="00EE6440" w:rsidRPr="00227E4D" w:rsidRDefault="00EE6440" w:rsidP="00EE6440">
      <w:pPr>
        <w:pStyle w:val="Heading1"/>
        <w:rPr>
          <w:lang w:val="es-AR"/>
        </w:rPr>
      </w:pPr>
      <w:r w:rsidRPr="00227E4D">
        <w:rPr>
          <w:lang w:val="es-AR"/>
        </w:rPr>
        <w:t>En su 84</w:t>
      </w:r>
      <w:r>
        <w:rPr>
          <w:lang w:val="es-AR"/>
        </w:rPr>
        <w:t>ª</w:t>
      </w:r>
      <w:r>
        <w:rPr>
          <w:vertAlign w:val="superscript"/>
          <w:lang w:val="es-AR"/>
        </w:rPr>
        <w:t xml:space="preserve"> </w:t>
      </w:r>
      <w:r w:rsidRPr="00227E4D">
        <w:rPr>
          <w:lang w:val="es-AR"/>
        </w:rPr>
        <w:t xml:space="preserve">reunión, el Comité Ejecutivo </w:t>
      </w:r>
      <w:r>
        <w:rPr>
          <w:lang w:val="es-AR"/>
        </w:rPr>
        <w:t xml:space="preserve">examinó </w:t>
      </w:r>
      <w:r w:rsidRPr="00227E4D">
        <w:rPr>
          <w:lang w:val="es-AR"/>
        </w:rPr>
        <w:t xml:space="preserve">la petición </w:t>
      </w:r>
      <w:r>
        <w:rPr>
          <w:lang w:val="es-AR"/>
        </w:rPr>
        <w:t xml:space="preserve">de financiamiento para el </w:t>
      </w:r>
      <w:r w:rsidRPr="00227E4D">
        <w:rPr>
          <w:lang w:val="es-AR"/>
        </w:rPr>
        <w:t>segundo tramo de la etapa II del plan de gestión de eliminación de los HCFC para Argentina.</w:t>
      </w:r>
      <w:r w:rsidRPr="00227E4D">
        <w:rPr>
          <w:rStyle w:val="FootnoteReference"/>
          <w:lang w:val="es-AR"/>
        </w:rPr>
        <w:footnoteReference w:id="8"/>
      </w:r>
      <w:r w:rsidRPr="00227E4D">
        <w:rPr>
          <w:lang w:val="es-AR"/>
        </w:rPr>
        <w:t xml:space="preserve"> La petición del tramo incluyó un informe sobre la marcha de las actividades que indicaba</w:t>
      </w:r>
      <w:r>
        <w:rPr>
          <w:lang w:val="es-AR"/>
        </w:rPr>
        <w:t>,</w:t>
      </w:r>
      <w:r w:rsidRPr="00227E4D">
        <w:rPr>
          <w:lang w:val="es-AR"/>
        </w:rPr>
        <w:t xml:space="preserve"> </w:t>
      </w:r>
      <w:r w:rsidRPr="00227E4D">
        <w:rPr>
          <w:iCs/>
          <w:lang w:val="es-AR"/>
        </w:rPr>
        <w:t>entre otras cosas</w:t>
      </w:r>
      <w:r>
        <w:rPr>
          <w:iCs/>
          <w:lang w:val="es-AR"/>
        </w:rPr>
        <w:t>,</w:t>
      </w:r>
      <w:r w:rsidRPr="00227E4D">
        <w:rPr>
          <w:i/>
          <w:lang w:val="es-AR"/>
        </w:rPr>
        <w:t xml:space="preserve"> </w:t>
      </w:r>
      <w:r w:rsidRPr="00227E4D">
        <w:rPr>
          <w:lang w:val="es-AR"/>
        </w:rPr>
        <w:t xml:space="preserve">que </w:t>
      </w:r>
      <w:r>
        <w:rPr>
          <w:lang w:val="es-AR"/>
        </w:rPr>
        <w:t xml:space="preserve">la conversión </w:t>
      </w:r>
      <w:r w:rsidRPr="00227E4D">
        <w:rPr>
          <w:lang w:val="es-AR"/>
        </w:rPr>
        <w:t>de HCFC-22 a CO</w:t>
      </w:r>
      <w:r w:rsidRPr="00227E4D">
        <w:rPr>
          <w:vertAlign w:val="subscript"/>
          <w:lang w:val="es-AR"/>
        </w:rPr>
        <w:t>2</w:t>
      </w:r>
      <w:r>
        <w:rPr>
          <w:vertAlign w:val="subscript"/>
          <w:lang w:val="es-AR"/>
        </w:rPr>
        <w:t xml:space="preserve"> </w:t>
      </w:r>
      <w:r w:rsidRPr="00227E4D">
        <w:rPr>
          <w:lang w:val="es-AR"/>
        </w:rPr>
        <w:t xml:space="preserve">de la empresa </w:t>
      </w:r>
      <w:proofErr w:type="spellStart"/>
      <w:r w:rsidRPr="00227E4D">
        <w:rPr>
          <w:lang w:val="es-AR"/>
        </w:rPr>
        <w:t>Celpack</w:t>
      </w:r>
      <w:proofErr w:type="spellEnd"/>
      <w:r>
        <w:rPr>
          <w:lang w:val="es-AR"/>
        </w:rPr>
        <w:t>, fabricante de</w:t>
      </w:r>
      <w:r w:rsidRPr="00227E4D">
        <w:rPr>
          <w:lang w:val="es-AR"/>
        </w:rPr>
        <w:t xml:space="preserve"> espuma</w:t>
      </w:r>
      <w:r>
        <w:rPr>
          <w:lang w:val="es-AR"/>
        </w:rPr>
        <w:t>s</w:t>
      </w:r>
      <w:r w:rsidRPr="00227E4D">
        <w:rPr>
          <w:lang w:val="es-AR"/>
        </w:rPr>
        <w:t xml:space="preserve"> de </w:t>
      </w:r>
      <w:proofErr w:type="spellStart"/>
      <w:r>
        <w:rPr>
          <w:lang w:val="es-AR"/>
        </w:rPr>
        <w:t>poliestireno</w:t>
      </w:r>
      <w:proofErr w:type="spellEnd"/>
      <w:r>
        <w:rPr>
          <w:lang w:val="es-AR"/>
        </w:rPr>
        <w:t xml:space="preserve"> extruido</w:t>
      </w:r>
      <w:r w:rsidRPr="00227E4D">
        <w:rPr>
          <w:lang w:val="es-AR"/>
        </w:rPr>
        <w:t xml:space="preserve">, </w:t>
      </w:r>
      <w:r>
        <w:rPr>
          <w:lang w:val="es-AR"/>
        </w:rPr>
        <w:t xml:space="preserve">se había retrasado </w:t>
      </w:r>
      <w:r w:rsidRPr="00227E4D">
        <w:rPr>
          <w:lang w:val="es-AR"/>
        </w:rPr>
        <w:t xml:space="preserve">debido a las dificultades económicas </w:t>
      </w:r>
      <w:r>
        <w:rPr>
          <w:lang w:val="es-AR"/>
        </w:rPr>
        <w:t xml:space="preserve">de </w:t>
      </w:r>
      <w:r w:rsidRPr="00227E4D">
        <w:rPr>
          <w:lang w:val="es-AR"/>
        </w:rPr>
        <w:t xml:space="preserve">la empresa y a su interés </w:t>
      </w:r>
      <w:r>
        <w:rPr>
          <w:lang w:val="es-AR"/>
        </w:rPr>
        <w:t>en evaluar el</w:t>
      </w:r>
      <w:r w:rsidRPr="00227E4D">
        <w:rPr>
          <w:lang w:val="es-AR"/>
        </w:rPr>
        <w:t xml:space="preserve"> butano como alternativa </w:t>
      </w:r>
      <w:r>
        <w:rPr>
          <w:lang w:val="es-AR"/>
        </w:rPr>
        <w:t>de</w:t>
      </w:r>
      <w:r w:rsidRPr="00227E4D">
        <w:rPr>
          <w:lang w:val="es-AR"/>
        </w:rPr>
        <w:t xml:space="preserve"> los HCFC. </w:t>
      </w:r>
      <w:r>
        <w:rPr>
          <w:lang w:val="es-AR"/>
        </w:rPr>
        <w:t xml:space="preserve">Al aprobar </w:t>
      </w:r>
      <w:r w:rsidRPr="00227E4D">
        <w:rPr>
          <w:lang w:val="es-AR"/>
        </w:rPr>
        <w:t xml:space="preserve">el tramo de financiamiento, el Comité </w:t>
      </w:r>
      <w:r>
        <w:rPr>
          <w:lang w:val="es-AR"/>
        </w:rPr>
        <w:t>pidió a la ONUDI</w:t>
      </w:r>
      <w:r w:rsidRPr="00227E4D">
        <w:rPr>
          <w:lang w:val="es-AR"/>
        </w:rPr>
        <w:t xml:space="preserve"> </w:t>
      </w:r>
      <w:r>
        <w:rPr>
          <w:lang w:val="es-AR"/>
        </w:rPr>
        <w:t xml:space="preserve">que presentara </w:t>
      </w:r>
      <w:r w:rsidRPr="00227E4D">
        <w:rPr>
          <w:lang w:val="es-AR"/>
        </w:rPr>
        <w:t xml:space="preserve">en la </w:t>
      </w:r>
      <w:r>
        <w:rPr>
          <w:lang w:val="es-AR"/>
        </w:rPr>
        <w:t xml:space="preserve">85ª </w:t>
      </w:r>
      <w:r w:rsidRPr="00227E4D">
        <w:rPr>
          <w:lang w:val="es-AR"/>
        </w:rPr>
        <w:t>reunión</w:t>
      </w:r>
      <w:r>
        <w:rPr>
          <w:lang w:val="es-AR"/>
        </w:rPr>
        <w:t xml:space="preserve"> </w:t>
      </w:r>
      <w:r w:rsidRPr="00227E4D">
        <w:rPr>
          <w:lang w:val="es-AR"/>
        </w:rPr>
        <w:t xml:space="preserve">una actualización sobre la viabilidad financiera de la empresa y si </w:t>
      </w:r>
      <w:r>
        <w:rPr>
          <w:lang w:val="es-AR"/>
        </w:rPr>
        <w:t xml:space="preserve">recibiría ayuda del </w:t>
      </w:r>
      <w:r w:rsidRPr="00227E4D">
        <w:rPr>
          <w:lang w:val="es-AR"/>
        </w:rPr>
        <w:t xml:space="preserve">Fondo Multilateral, </w:t>
      </w:r>
      <w:r>
        <w:rPr>
          <w:lang w:val="es-AR"/>
        </w:rPr>
        <w:t xml:space="preserve">entendiendo </w:t>
      </w:r>
      <w:r w:rsidRPr="00227E4D">
        <w:rPr>
          <w:lang w:val="es-AR"/>
        </w:rPr>
        <w:t xml:space="preserve">que los fondos de </w:t>
      </w:r>
      <w:r>
        <w:rPr>
          <w:lang w:val="es-AR"/>
        </w:rPr>
        <w:t xml:space="preserve">conversión </w:t>
      </w:r>
      <w:r w:rsidRPr="00227E4D">
        <w:rPr>
          <w:lang w:val="es-AR"/>
        </w:rPr>
        <w:t>se</w:t>
      </w:r>
      <w:r>
        <w:rPr>
          <w:lang w:val="es-AR"/>
        </w:rPr>
        <w:t xml:space="preserve"> devolverían </w:t>
      </w:r>
      <w:r w:rsidRPr="00227E4D">
        <w:rPr>
          <w:lang w:val="es-AR"/>
        </w:rPr>
        <w:t xml:space="preserve">en caso </w:t>
      </w:r>
      <w:r>
        <w:rPr>
          <w:lang w:val="es-AR"/>
        </w:rPr>
        <w:t>de quitarse la empresa</w:t>
      </w:r>
      <w:r w:rsidRPr="00227E4D">
        <w:rPr>
          <w:lang w:val="es-AR"/>
        </w:rPr>
        <w:t xml:space="preserve"> del proyecto (decisión 84/64 d) ii)).</w:t>
      </w:r>
    </w:p>
    <w:p w14:paraId="33071DA8" w14:textId="77777777" w:rsidR="00EE6440" w:rsidRPr="00227E4D" w:rsidRDefault="00EE6440" w:rsidP="00EE6440">
      <w:pPr>
        <w:pStyle w:val="Heading1"/>
        <w:rPr>
          <w:lang w:val="es-AR"/>
        </w:rPr>
      </w:pPr>
      <w:r w:rsidRPr="00227E4D">
        <w:rPr>
          <w:lang w:val="es-AR"/>
        </w:rPr>
        <w:t>Conforme a la decisión 84/64 d) ii), la ONUDI present</w:t>
      </w:r>
      <w:r>
        <w:rPr>
          <w:lang w:val="es-AR"/>
        </w:rPr>
        <w:t xml:space="preserve">ó </w:t>
      </w:r>
      <w:r w:rsidRPr="00227E4D">
        <w:rPr>
          <w:lang w:val="es-AR"/>
        </w:rPr>
        <w:t>a la</w:t>
      </w:r>
      <w:r>
        <w:rPr>
          <w:lang w:val="es-AR"/>
        </w:rPr>
        <w:t xml:space="preserve"> 85ª </w:t>
      </w:r>
      <w:r w:rsidRPr="00227E4D">
        <w:rPr>
          <w:lang w:val="es-AR"/>
        </w:rPr>
        <w:t>reunión</w:t>
      </w:r>
      <w:r>
        <w:rPr>
          <w:lang w:val="es-AR"/>
        </w:rPr>
        <w:t xml:space="preserve"> </w:t>
      </w:r>
      <w:r w:rsidRPr="00227E4D">
        <w:rPr>
          <w:lang w:val="es-AR"/>
        </w:rPr>
        <w:t>un informe que indicaba que el gobierno de Argentina y la ONUDI no podía</w:t>
      </w:r>
      <w:r>
        <w:rPr>
          <w:lang w:val="es-AR"/>
        </w:rPr>
        <w:t>n</w:t>
      </w:r>
      <w:r w:rsidRPr="00227E4D">
        <w:rPr>
          <w:lang w:val="es-AR"/>
        </w:rPr>
        <w:t xml:space="preserve"> concluir la evaluación </w:t>
      </w:r>
      <w:r>
        <w:rPr>
          <w:lang w:val="es-AR"/>
        </w:rPr>
        <w:t xml:space="preserve">de </w:t>
      </w:r>
      <w:r w:rsidRPr="00227E4D">
        <w:rPr>
          <w:lang w:val="es-AR"/>
        </w:rPr>
        <w:t xml:space="preserve">la viabilidad financiera de </w:t>
      </w:r>
      <w:proofErr w:type="spellStart"/>
      <w:r w:rsidRPr="00227E4D">
        <w:rPr>
          <w:lang w:val="es-AR"/>
        </w:rPr>
        <w:t>Celpack</w:t>
      </w:r>
      <w:proofErr w:type="spellEnd"/>
      <w:r>
        <w:rPr>
          <w:lang w:val="es-AR"/>
        </w:rPr>
        <w:t>,</w:t>
      </w:r>
      <w:r w:rsidRPr="00227E4D">
        <w:rPr>
          <w:lang w:val="es-AR"/>
        </w:rPr>
        <w:t xml:space="preserve"> debido a las </w:t>
      </w:r>
      <w:r>
        <w:rPr>
          <w:lang w:val="es-AR"/>
        </w:rPr>
        <w:t>medidas de aislamiento</w:t>
      </w:r>
      <w:r w:rsidRPr="00227E4D">
        <w:rPr>
          <w:lang w:val="es-AR"/>
        </w:rPr>
        <w:t xml:space="preserve"> </w:t>
      </w:r>
      <w:r>
        <w:rPr>
          <w:lang w:val="es-AR"/>
        </w:rPr>
        <w:t xml:space="preserve">gubernamentales causadas por </w:t>
      </w:r>
      <w:r w:rsidRPr="00227E4D">
        <w:rPr>
          <w:lang w:val="es-AR"/>
        </w:rPr>
        <w:t xml:space="preserve">la pandemia del COVID-19, </w:t>
      </w:r>
      <w:r>
        <w:rPr>
          <w:lang w:val="es-AR"/>
        </w:rPr>
        <w:t xml:space="preserve">lo </w:t>
      </w:r>
      <w:r w:rsidRPr="00227E4D">
        <w:rPr>
          <w:lang w:val="es-AR"/>
        </w:rPr>
        <w:t xml:space="preserve">que </w:t>
      </w:r>
      <w:r>
        <w:rPr>
          <w:lang w:val="es-AR"/>
        </w:rPr>
        <w:t xml:space="preserve">impidió que </w:t>
      </w:r>
      <w:r w:rsidRPr="00227E4D">
        <w:rPr>
          <w:lang w:val="es-AR"/>
        </w:rPr>
        <w:t xml:space="preserve">la Dependencia Nacional del Ozono </w:t>
      </w:r>
      <w:r>
        <w:rPr>
          <w:lang w:val="es-AR"/>
        </w:rPr>
        <w:t xml:space="preserve">pudiese visitar </w:t>
      </w:r>
      <w:r w:rsidRPr="00227E4D">
        <w:rPr>
          <w:lang w:val="es-AR"/>
        </w:rPr>
        <w:t>la empresa y conclu</w:t>
      </w:r>
      <w:r>
        <w:rPr>
          <w:lang w:val="es-AR"/>
        </w:rPr>
        <w:t xml:space="preserve">ir </w:t>
      </w:r>
      <w:r w:rsidRPr="00227E4D">
        <w:rPr>
          <w:lang w:val="es-AR"/>
        </w:rPr>
        <w:t xml:space="preserve">la evaluación financiera. </w:t>
      </w:r>
      <w:r>
        <w:rPr>
          <w:lang w:val="es-AR"/>
        </w:rPr>
        <w:t>P</w:t>
      </w:r>
      <w:r w:rsidRPr="00227E4D">
        <w:rPr>
          <w:lang w:val="es-AR"/>
        </w:rPr>
        <w:t>or consiguiente</w:t>
      </w:r>
      <w:r>
        <w:rPr>
          <w:lang w:val="es-AR"/>
        </w:rPr>
        <w:t>,</w:t>
      </w:r>
      <w:r w:rsidRPr="00227E4D">
        <w:rPr>
          <w:lang w:val="es-AR"/>
        </w:rPr>
        <w:t xml:space="preserve"> el Comité Ejecutivo, </w:t>
      </w:r>
      <w:r>
        <w:rPr>
          <w:lang w:val="es-AR"/>
        </w:rPr>
        <w:t xml:space="preserve">mediante </w:t>
      </w:r>
      <w:r w:rsidRPr="00227E4D">
        <w:rPr>
          <w:lang w:val="es-AR"/>
        </w:rPr>
        <w:t xml:space="preserve">el proceso de aprobación en el período entre sesiones para la </w:t>
      </w:r>
      <w:r>
        <w:rPr>
          <w:lang w:val="es-AR"/>
        </w:rPr>
        <w:t xml:space="preserve">85ª </w:t>
      </w:r>
      <w:r w:rsidRPr="00227E4D">
        <w:rPr>
          <w:lang w:val="es-AR"/>
        </w:rPr>
        <w:t xml:space="preserve">reunión (IAP-85), solicitó al gobierno de Argentina, </w:t>
      </w:r>
      <w:r>
        <w:rPr>
          <w:lang w:val="es-AR"/>
        </w:rPr>
        <w:t>a través de la ONUDI</w:t>
      </w:r>
      <w:r w:rsidRPr="00227E4D">
        <w:rPr>
          <w:lang w:val="es-AR"/>
        </w:rPr>
        <w:t xml:space="preserve">, </w:t>
      </w:r>
      <w:r>
        <w:rPr>
          <w:lang w:val="es-AR"/>
        </w:rPr>
        <w:t xml:space="preserve">que suministrase a la </w:t>
      </w:r>
      <w:r w:rsidRPr="00227E4D">
        <w:rPr>
          <w:lang w:val="es-AR"/>
        </w:rPr>
        <w:t>86</w:t>
      </w:r>
      <w:r>
        <w:rPr>
          <w:lang w:val="es-AR"/>
        </w:rPr>
        <w:t xml:space="preserve">ª </w:t>
      </w:r>
      <w:r w:rsidRPr="00227E4D">
        <w:rPr>
          <w:lang w:val="es-AR"/>
        </w:rPr>
        <w:t xml:space="preserve">reunión una actualización sobre la viabilidad financiera de la empresa </w:t>
      </w:r>
      <w:proofErr w:type="spellStart"/>
      <w:r w:rsidRPr="00227E4D">
        <w:rPr>
          <w:lang w:val="es-AR"/>
        </w:rPr>
        <w:t>Celpack</w:t>
      </w:r>
      <w:proofErr w:type="spellEnd"/>
      <w:r>
        <w:rPr>
          <w:lang w:val="es-AR"/>
        </w:rPr>
        <w:t xml:space="preserve"> y decidiese sobre </w:t>
      </w:r>
      <w:r w:rsidRPr="00227E4D">
        <w:rPr>
          <w:lang w:val="es-AR"/>
        </w:rPr>
        <w:t xml:space="preserve">si la empresa </w:t>
      </w:r>
      <w:r>
        <w:rPr>
          <w:lang w:val="es-AR"/>
        </w:rPr>
        <w:t>recibiría ayuda d</w:t>
      </w:r>
      <w:r w:rsidRPr="00227E4D">
        <w:rPr>
          <w:lang w:val="es-AR"/>
        </w:rPr>
        <w:t xml:space="preserve">el Fondo Multilateral conforme a la decisión 84/64 d) ii), y la </w:t>
      </w:r>
      <w:r>
        <w:rPr>
          <w:lang w:val="es-AR"/>
        </w:rPr>
        <w:t xml:space="preserve">devolución </w:t>
      </w:r>
      <w:r w:rsidRPr="00227E4D">
        <w:rPr>
          <w:lang w:val="es-AR"/>
        </w:rPr>
        <w:t xml:space="preserve">de los fondos asociados </w:t>
      </w:r>
      <w:r>
        <w:rPr>
          <w:lang w:val="es-AR"/>
        </w:rPr>
        <w:t>con</w:t>
      </w:r>
      <w:r w:rsidRPr="00227E4D">
        <w:rPr>
          <w:lang w:val="es-AR"/>
        </w:rPr>
        <w:t xml:space="preserve"> </w:t>
      </w:r>
      <w:r>
        <w:rPr>
          <w:lang w:val="es-AR"/>
        </w:rPr>
        <w:t xml:space="preserve">la conversión </w:t>
      </w:r>
      <w:r w:rsidRPr="00227E4D">
        <w:rPr>
          <w:lang w:val="es-AR"/>
        </w:rPr>
        <w:t xml:space="preserve">en caso </w:t>
      </w:r>
      <w:r>
        <w:rPr>
          <w:lang w:val="es-AR"/>
        </w:rPr>
        <w:t>de quitarse la empresa del proyecto</w:t>
      </w:r>
      <w:r w:rsidRPr="00227E4D">
        <w:rPr>
          <w:lang w:val="es-AR"/>
        </w:rPr>
        <w:t>.</w:t>
      </w:r>
    </w:p>
    <w:p w14:paraId="33097619" w14:textId="77777777" w:rsidR="00EE6440" w:rsidRPr="00227E4D" w:rsidRDefault="00EE6440" w:rsidP="00EE6440">
      <w:pPr>
        <w:pStyle w:val="Heading1"/>
        <w:keepNext/>
        <w:rPr>
          <w:lang w:val="es-AR"/>
        </w:rPr>
      </w:pPr>
      <w:r w:rsidRPr="00227E4D">
        <w:rPr>
          <w:lang w:val="es-AR"/>
        </w:rPr>
        <w:t xml:space="preserve">En respuesta a la decisión adoptada </w:t>
      </w:r>
      <w:r>
        <w:rPr>
          <w:lang w:val="es-AR"/>
        </w:rPr>
        <w:t xml:space="preserve">mediante </w:t>
      </w:r>
      <w:r w:rsidRPr="00227E4D">
        <w:rPr>
          <w:lang w:val="es-AR"/>
        </w:rPr>
        <w:t>el IAP-85, en septiembre de 2020</w:t>
      </w:r>
      <w:r>
        <w:rPr>
          <w:lang w:val="es-AR"/>
        </w:rPr>
        <w:t>,</w:t>
      </w:r>
      <w:r w:rsidRPr="00227E4D">
        <w:rPr>
          <w:lang w:val="es-AR"/>
        </w:rPr>
        <w:t xml:space="preserve"> la ONUDI indicó que no se había hecho ningún progreso en los procedimientos</w:t>
      </w:r>
      <w:r>
        <w:rPr>
          <w:lang w:val="es-AR"/>
        </w:rPr>
        <w:t>,</w:t>
      </w:r>
      <w:r w:rsidRPr="00227E4D">
        <w:rPr>
          <w:lang w:val="es-AR"/>
        </w:rPr>
        <w:t xml:space="preserve"> debido al</w:t>
      </w:r>
      <w:r>
        <w:rPr>
          <w:lang w:val="es-AR"/>
        </w:rPr>
        <w:t xml:space="preserve"> receso </w:t>
      </w:r>
      <w:r w:rsidRPr="00227E4D">
        <w:rPr>
          <w:lang w:val="es-AR"/>
        </w:rPr>
        <w:t xml:space="preserve">judicial </w:t>
      </w:r>
      <w:r>
        <w:rPr>
          <w:lang w:val="es-AR"/>
        </w:rPr>
        <w:t xml:space="preserve">aplicado </w:t>
      </w:r>
      <w:r w:rsidRPr="00227E4D">
        <w:rPr>
          <w:lang w:val="es-AR"/>
        </w:rPr>
        <w:t xml:space="preserve">como parte de las </w:t>
      </w:r>
      <w:r>
        <w:rPr>
          <w:lang w:val="es-AR"/>
        </w:rPr>
        <w:t>medidas de aislamiento</w:t>
      </w:r>
      <w:r w:rsidRPr="00227E4D">
        <w:rPr>
          <w:lang w:val="es-AR"/>
        </w:rPr>
        <w:t xml:space="preserve"> </w:t>
      </w:r>
      <w:r>
        <w:rPr>
          <w:lang w:val="es-AR"/>
        </w:rPr>
        <w:t xml:space="preserve">causado por </w:t>
      </w:r>
      <w:r w:rsidRPr="00227E4D">
        <w:rPr>
          <w:lang w:val="es-AR"/>
        </w:rPr>
        <w:t xml:space="preserve">la pandemia del COVID-19. La información </w:t>
      </w:r>
      <w:r>
        <w:rPr>
          <w:lang w:val="es-AR"/>
        </w:rPr>
        <w:t xml:space="preserve">recibida </w:t>
      </w:r>
      <w:r w:rsidRPr="00227E4D">
        <w:rPr>
          <w:lang w:val="es-AR"/>
        </w:rPr>
        <w:t xml:space="preserve">del </w:t>
      </w:r>
      <w:r>
        <w:rPr>
          <w:lang w:val="es-AR"/>
        </w:rPr>
        <w:t xml:space="preserve">síndico </w:t>
      </w:r>
      <w:r w:rsidRPr="00227E4D">
        <w:rPr>
          <w:lang w:val="es-AR"/>
        </w:rPr>
        <w:t>reveló que la mayor</w:t>
      </w:r>
      <w:r>
        <w:rPr>
          <w:lang w:val="es-AR"/>
        </w:rPr>
        <w:t xml:space="preserve"> parte </w:t>
      </w:r>
      <w:r w:rsidRPr="00227E4D">
        <w:rPr>
          <w:lang w:val="es-AR"/>
        </w:rPr>
        <w:t xml:space="preserve">de la deuda de </w:t>
      </w:r>
      <w:proofErr w:type="spellStart"/>
      <w:r w:rsidRPr="00227E4D">
        <w:rPr>
          <w:lang w:val="es-AR"/>
        </w:rPr>
        <w:t>Celpack</w:t>
      </w:r>
      <w:proofErr w:type="spellEnd"/>
      <w:r w:rsidRPr="00227E4D">
        <w:rPr>
          <w:lang w:val="es-AR"/>
        </w:rPr>
        <w:t xml:space="preserve"> e</w:t>
      </w:r>
      <w:r>
        <w:rPr>
          <w:lang w:val="es-AR"/>
        </w:rPr>
        <w:t xml:space="preserve">ra </w:t>
      </w:r>
      <w:r w:rsidRPr="00227E4D">
        <w:rPr>
          <w:lang w:val="es-AR"/>
        </w:rPr>
        <w:t xml:space="preserve">con la </w:t>
      </w:r>
      <w:r>
        <w:rPr>
          <w:lang w:val="es-AR"/>
        </w:rPr>
        <w:t>Agencia Federal de Ingresos Públicos</w:t>
      </w:r>
      <w:r w:rsidRPr="00227E4D">
        <w:rPr>
          <w:lang w:val="es-AR"/>
        </w:rPr>
        <w:t xml:space="preserve">. </w:t>
      </w:r>
      <w:r>
        <w:rPr>
          <w:lang w:val="es-AR"/>
        </w:rPr>
        <w:t xml:space="preserve">Al reconocer </w:t>
      </w:r>
      <w:r w:rsidRPr="00227E4D">
        <w:rPr>
          <w:lang w:val="es-AR"/>
        </w:rPr>
        <w:t>el impacto económico de</w:t>
      </w:r>
      <w:r>
        <w:rPr>
          <w:lang w:val="es-AR"/>
        </w:rPr>
        <w:t>l</w:t>
      </w:r>
      <w:r w:rsidRPr="00227E4D">
        <w:rPr>
          <w:lang w:val="es-AR"/>
        </w:rPr>
        <w:t xml:space="preserve"> COVID-19, el 31 de julio 2020 el </w:t>
      </w:r>
      <w:r>
        <w:rPr>
          <w:lang w:val="es-AR"/>
        </w:rPr>
        <w:t>P</w:t>
      </w:r>
      <w:r w:rsidRPr="00227E4D">
        <w:rPr>
          <w:lang w:val="es-AR"/>
        </w:rPr>
        <w:t xml:space="preserve">arlamento </w:t>
      </w:r>
      <w:r>
        <w:rPr>
          <w:lang w:val="es-AR"/>
        </w:rPr>
        <w:t xml:space="preserve">adoptó </w:t>
      </w:r>
      <w:r w:rsidRPr="00227E4D">
        <w:rPr>
          <w:lang w:val="es-AR"/>
        </w:rPr>
        <w:t xml:space="preserve">una ley que </w:t>
      </w:r>
      <w:r w:rsidRPr="00227E4D">
        <w:rPr>
          <w:lang w:val="es-AR"/>
        </w:rPr>
        <w:lastRenderedPageBreak/>
        <w:t>aprobaba un</w:t>
      </w:r>
      <w:r>
        <w:rPr>
          <w:lang w:val="es-AR"/>
        </w:rPr>
        <w:t>a</w:t>
      </w:r>
      <w:r w:rsidRPr="00227E4D">
        <w:rPr>
          <w:lang w:val="es-AR"/>
        </w:rPr>
        <w:t xml:space="preserve"> moratoria para las deudas financieras. Posteriormente, el Comité Ejecutivo pidió al gobierno de Argentina, </w:t>
      </w:r>
      <w:r>
        <w:rPr>
          <w:lang w:val="es-AR"/>
        </w:rPr>
        <w:t>a través de la ONUDI</w:t>
      </w:r>
      <w:r w:rsidRPr="00227E4D">
        <w:rPr>
          <w:lang w:val="es-AR"/>
        </w:rPr>
        <w:t xml:space="preserve">, </w:t>
      </w:r>
      <w:r>
        <w:rPr>
          <w:lang w:val="es-AR"/>
        </w:rPr>
        <w:t xml:space="preserve">que proporcionase </w:t>
      </w:r>
      <w:r w:rsidRPr="00227E4D">
        <w:rPr>
          <w:lang w:val="es-AR"/>
        </w:rPr>
        <w:t>a la 87</w:t>
      </w:r>
      <w:r>
        <w:rPr>
          <w:lang w:val="es-AR"/>
        </w:rPr>
        <w:t xml:space="preserve">ª </w:t>
      </w:r>
      <w:r w:rsidRPr="00227E4D">
        <w:rPr>
          <w:lang w:val="es-AR"/>
        </w:rPr>
        <w:t>reunión una actualización conforme a la decisión 84/64 d) ii) (decisión 86/22).</w:t>
      </w:r>
    </w:p>
    <w:p w14:paraId="0D045C2D" w14:textId="77777777" w:rsidR="00EE6440" w:rsidRPr="00227E4D" w:rsidRDefault="00EE6440" w:rsidP="00EE6440">
      <w:pPr>
        <w:pStyle w:val="Heading1"/>
        <w:keepNext/>
        <w:numPr>
          <w:ilvl w:val="0"/>
          <w:numId w:val="0"/>
        </w:numPr>
        <w:rPr>
          <w:b/>
          <w:lang w:val="es-AR"/>
        </w:rPr>
      </w:pPr>
      <w:r>
        <w:rPr>
          <w:b/>
          <w:lang w:val="es-AR"/>
        </w:rPr>
        <w:t>I</w:t>
      </w:r>
      <w:r w:rsidRPr="00227E4D">
        <w:rPr>
          <w:b/>
          <w:lang w:val="es-AR"/>
        </w:rPr>
        <w:t>nforme sobre la marcha de las actividades</w:t>
      </w:r>
      <w:r w:rsidRPr="00227E4D">
        <w:rPr>
          <w:lang w:val="es-AR"/>
        </w:rPr>
        <w:t xml:space="preserve"> </w:t>
      </w:r>
    </w:p>
    <w:p w14:paraId="7B50DB92" w14:textId="77777777" w:rsidR="00EE6440" w:rsidRPr="00227E4D" w:rsidRDefault="00EE6440" w:rsidP="00EE6440">
      <w:pPr>
        <w:pStyle w:val="Heading1"/>
        <w:rPr>
          <w:lang w:val="es-AR"/>
        </w:rPr>
      </w:pPr>
      <w:r>
        <w:rPr>
          <w:lang w:val="es-AR"/>
        </w:rPr>
        <w:t>L</w:t>
      </w:r>
      <w:r w:rsidRPr="00EE3354">
        <w:rPr>
          <w:lang w:val="es-AR"/>
        </w:rPr>
        <w:t xml:space="preserve">a ONUDI, en nombre del gobierno de Argentina, </w:t>
      </w:r>
      <w:r>
        <w:rPr>
          <w:lang w:val="es-AR"/>
        </w:rPr>
        <w:t xml:space="preserve">presentó </w:t>
      </w:r>
      <w:r w:rsidRPr="00EE3354">
        <w:rPr>
          <w:lang w:val="es-AR"/>
        </w:rPr>
        <w:t>una actualización a la 87</w:t>
      </w:r>
      <w:r w:rsidRPr="00227E4D">
        <w:rPr>
          <w:vertAlign w:val="superscript"/>
          <w:lang w:val="es-AR"/>
        </w:rPr>
        <w:t xml:space="preserve">a </w:t>
      </w:r>
      <w:r w:rsidRPr="00227E4D">
        <w:rPr>
          <w:lang w:val="es-AR"/>
        </w:rPr>
        <w:t xml:space="preserve">reunión. Indicó que </w:t>
      </w:r>
      <w:proofErr w:type="spellStart"/>
      <w:r w:rsidRPr="00227E4D">
        <w:rPr>
          <w:lang w:val="es-AR"/>
        </w:rPr>
        <w:t>Celpack</w:t>
      </w:r>
      <w:proofErr w:type="spellEnd"/>
      <w:r w:rsidRPr="00227E4D">
        <w:rPr>
          <w:lang w:val="es-AR"/>
        </w:rPr>
        <w:t xml:space="preserve"> se</w:t>
      </w:r>
      <w:r>
        <w:rPr>
          <w:lang w:val="es-AR"/>
        </w:rPr>
        <w:t xml:space="preserve"> había adherido </w:t>
      </w:r>
      <w:r w:rsidRPr="00227E4D">
        <w:rPr>
          <w:lang w:val="es-AR"/>
        </w:rPr>
        <w:t>al plan flexible establecido de la moratoria y ha</w:t>
      </w:r>
      <w:r>
        <w:rPr>
          <w:lang w:val="es-AR"/>
        </w:rPr>
        <w:t>bía</w:t>
      </w:r>
      <w:r w:rsidRPr="00227E4D">
        <w:rPr>
          <w:lang w:val="es-AR"/>
        </w:rPr>
        <w:t xml:space="preserve"> estado pagando sus deudas, de acuerdo con el calendario de reembolso aprobado por la autoridad tributaria</w:t>
      </w:r>
      <w:r>
        <w:rPr>
          <w:lang w:val="es-AR"/>
        </w:rPr>
        <w:t xml:space="preserve"> argentina</w:t>
      </w:r>
      <w:r w:rsidRPr="00227E4D">
        <w:rPr>
          <w:lang w:val="es-AR"/>
        </w:rPr>
        <w:t xml:space="preserve">. Se espera que esto tenga un impacto positivo en la viabilidad financiera de la empresa. Tan pronto como se levanten las medidas del </w:t>
      </w:r>
      <w:r>
        <w:rPr>
          <w:lang w:val="es-AR"/>
        </w:rPr>
        <w:t>c</w:t>
      </w:r>
      <w:r w:rsidRPr="00227E4D">
        <w:rPr>
          <w:lang w:val="es-AR"/>
        </w:rPr>
        <w:t>onfinamiento</w:t>
      </w:r>
      <w:r>
        <w:rPr>
          <w:lang w:val="es-AR"/>
        </w:rPr>
        <w:t xml:space="preserve"> por el</w:t>
      </w:r>
      <w:r w:rsidRPr="00227E4D">
        <w:rPr>
          <w:lang w:val="es-AR"/>
        </w:rPr>
        <w:t xml:space="preserve"> COVID-19 y las operaciones judiciales provinciales </w:t>
      </w:r>
      <w:r>
        <w:rPr>
          <w:lang w:val="es-AR"/>
        </w:rPr>
        <w:t>recomiencen sus actividades</w:t>
      </w:r>
      <w:r w:rsidRPr="00227E4D">
        <w:rPr>
          <w:lang w:val="es-AR"/>
        </w:rPr>
        <w:t xml:space="preserve">, la Dependencia Nacional del Ozono y la ONUDI </w:t>
      </w:r>
      <w:r>
        <w:rPr>
          <w:lang w:val="es-AR"/>
        </w:rPr>
        <w:t xml:space="preserve">tratarán con el síndico </w:t>
      </w:r>
      <w:r w:rsidRPr="00227E4D">
        <w:rPr>
          <w:lang w:val="es-AR"/>
        </w:rPr>
        <w:t xml:space="preserve">la situación económica de </w:t>
      </w:r>
      <w:proofErr w:type="spellStart"/>
      <w:r w:rsidRPr="00227E4D">
        <w:rPr>
          <w:lang w:val="es-AR"/>
        </w:rPr>
        <w:t>Celpack</w:t>
      </w:r>
      <w:proofErr w:type="spellEnd"/>
      <w:r w:rsidRPr="00227E4D">
        <w:rPr>
          <w:lang w:val="es-AR"/>
        </w:rPr>
        <w:t xml:space="preserve">, </w:t>
      </w:r>
      <w:r>
        <w:rPr>
          <w:lang w:val="es-AR"/>
        </w:rPr>
        <w:t>e</w:t>
      </w:r>
      <w:r w:rsidRPr="00227E4D">
        <w:rPr>
          <w:lang w:val="es-AR"/>
        </w:rPr>
        <w:t xml:space="preserve"> </w:t>
      </w:r>
      <w:r>
        <w:rPr>
          <w:lang w:val="es-AR"/>
        </w:rPr>
        <w:t xml:space="preserve">informarán </w:t>
      </w:r>
      <w:r w:rsidRPr="00227E4D">
        <w:rPr>
          <w:lang w:val="es-AR"/>
        </w:rPr>
        <w:t>a la 88</w:t>
      </w:r>
      <w:r>
        <w:rPr>
          <w:lang w:val="es-AR"/>
        </w:rPr>
        <w:t xml:space="preserve">ª </w:t>
      </w:r>
      <w:r w:rsidRPr="00227E4D">
        <w:rPr>
          <w:lang w:val="es-AR"/>
        </w:rPr>
        <w:t>reunión.</w:t>
      </w:r>
    </w:p>
    <w:p w14:paraId="68047D34" w14:textId="77777777" w:rsidR="00EE6440" w:rsidRPr="00227E4D" w:rsidRDefault="00EE6440" w:rsidP="00EE6440">
      <w:pPr>
        <w:pStyle w:val="Heading1"/>
        <w:rPr>
          <w:lang w:val="es-AR"/>
        </w:rPr>
      </w:pPr>
      <w:r w:rsidRPr="00227E4D">
        <w:rPr>
          <w:lang w:val="es-AR"/>
        </w:rPr>
        <w:t xml:space="preserve">El gobierno de Argentina ha reiterado que la financiación asociada a </w:t>
      </w:r>
      <w:proofErr w:type="spellStart"/>
      <w:r w:rsidRPr="00227E4D">
        <w:rPr>
          <w:lang w:val="es-AR"/>
        </w:rPr>
        <w:t>Celpack</w:t>
      </w:r>
      <w:proofErr w:type="spellEnd"/>
      <w:r w:rsidRPr="00227E4D">
        <w:rPr>
          <w:lang w:val="es-AR"/>
        </w:rPr>
        <w:t xml:space="preserve"> no se</w:t>
      </w:r>
      <w:r>
        <w:rPr>
          <w:lang w:val="es-AR"/>
        </w:rPr>
        <w:t xml:space="preserve"> desembolsaría </w:t>
      </w:r>
      <w:r w:rsidRPr="00227E4D">
        <w:rPr>
          <w:lang w:val="es-AR"/>
        </w:rPr>
        <w:t xml:space="preserve">hasta que </w:t>
      </w:r>
      <w:r>
        <w:rPr>
          <w:lang w:val="es-AR"/>
        </w:rPr>
        <w:t xml:space="preserve">se hubiese resuelto </w:t>
      </w:r>
      <w:r w:rsidRPr="00227E4D">
        <w:rPr>
          <w:lang w:val="es-AR"/>
        </w:rPr>
        <w:t>el problema y el Comité Ejecutivo</w:t>
      </w:r>
      <w:r>
        <w:rPr>
          <w:lang w:val="es-AR"/>
        </w:rPr>
        <w:t xml:space="preserve"> considerase su resolución</w:t>
      </w:r>
      <w:r w:rsidRPr="00227E4D">
        <w:rPr>
          <w:lang w:val="es-AR"/>
        </w:rPr>
        <w:t xml:space="preserve">. La Secretaría observa que en caso </w:t>
      </w:r>
      <w:r>
        <w:rPr>
          <w:lang w:val="es-AR"/>
        </w:rPr>
        <w:t xml:space="preserve">de </w:t>
      </w:r>
      <w:r w:rsidRPr="00227E4D">
        <w:rPr>
          <w:lang w:val="es-AR"/>
        </w:rPr>
        <w:t xml:space="preserve">que la empresa </w:t>
      </w:r>
      <w:r>
        <w:rPr>
          <w:lang w:val="es-AR"/>
        </w:rPr>
        <w:t xml:space="preserve">no fuese </w:t>
      </w:r>
      <w:r w:rsidRPr="00227E4D">
        <w:rPr>
          <w:lang w:val="es-AR"/>
        </w:rPr>
        <w:t xml:space="preserve">financieramente viable, el nivel de fondos que se </w:t>
      </w:r>
      <w:r>
        <w:rPr>
          <w:lang w:val="es-AR"/>
        </w:rPr>
        <w:t>de</w:t>
      </w:r>
      <w:r w:rsidRPr="00227E4D">
        <w:rPr>
          <w:lang w:val="es-AR"/>
        </w:rPr>
        <w:t>volverá se</w:t>
      </w:r>
      <w:r>
        <w:rPr>
          <w:lang w:val="es-AR"/>
        </w:rPr>
        <w:t xml:space="preserve"> calcularía tomando </w:t>
      </w:r>
      <w:r w:rsidRPr="00227E4D">
        <w:rPr>
          <w:lang w:val="es-AR"/>
        </w:rPr>
        <w:t xml:space="preserve">en consideración los términos de flexibilidad usados para la aprobación de fondos para el sector de espumas de </w:t>
      </w:r>
      <w:proofErr w:type="spellStart"/>
      <w:r w:rsidRPr="00227E4D">
        <w:rPr>
          <w:lang w:val="es-AR"/>
        </w:rPr>
        <w:t>poliestireno</w:t>
      </w:r>
      <w:proofErr w:type="spellEnd"/>
      <w:r w:rsidRPr="00227E4D">
        <w:rPr>
          <w:lang w:val="es-AR"/>
        </w:rPr>
        <w:t xml:space="preserve"> extruido en Argentina.</w:t>
      </w:r>
      <w:r w:rsidRPr="00227E4D">
        <w:rPr>
          <w:rStyle w:val="FootnoteReference"/>
          <w:lang w:val="es-AR"/>
        </w:rPr>
        <w:footnoteReference w:id="9"/>
      </w:r>
      <w:r w:rsidRPr="00227E4D">
        <w:rPr>
          <w:lang w:val="es-AR"/>
        </w:rPr>
        <w:t xml:space="preserve"> </w:t>
      </w:r>
    </w:p>
    <w:p w14:paraId="0F4415D3" w14:textId="77777777" w:rsidR="00EE6440" w:rsidRPr="00227E4D" w:rsidRDefault="00EE6440" w:rsidP="00EE6440">
      <w:pPr>
        <w:pStyle w:val="Heading1"/>
        <w:keepNext/>
        <w:keepLines/>
        <w:numPr>
          <w:ilvl w:val="0"/>
          <w:numId w:val="0"/>
        </w:numPr>
        <w:rPr>
          <w:b/>
          <w:lang w:val="es-AR"/>
        </w:rPr>
      </w:pPr>
      <w:r w:rsidRPr="00227E4D">
        <w:rPr>
          <w:b/>
          <w:lang w:val="es-AR"/>
        </w:rPr>
        <w:t>Recomendación</w:t>
      </w:r>
    </w:p>
    <w:p w14:paraId="420602A3" w14:textId="77777777" w:rsidR="00EE6440" w:rsidRPr="00227E4D" w:rsidRDefault="00EE6440" w:rsidP="00EE6440">
      <w:pPr>
        <w:pStyle w:val="Heading1"/>
        <w:rPr>
          <w:lang w:val="es-AR"/>
        </w:rPr>
      </w:pPr>
      <w:r w:rsidRPr="00227E4D">
        <w:rPr>
          <w:lang w:val="es-AR"/>
        </w:rPr>
        <w:t>El Comité Ejecutivo podría:</w:t>
      </w:r>
    </w:p>
    <w:p w14:paraId="7BA00FE3" w14:textId="77777777" w:rsidR="00EE6440" w:rsidRPr="00227E4D" w:rsidRDefault="00EE6440" w:rsidP="00EE6440">
      <w:pPr>
        <w:pStyle w:val="Heading2"/>
        <w:rPr>
          <w:lang w:val="es-AR"/>
        </w:rPr>
      </w:pPr>
      <w:r>
        <w:rPr>
          <w:lang w:val="es-AR"/>
        </w:rPr>
        <w:t>S</w:t>
      </w:r>
      <w:r w:rsidRPr="00EE3354">
        <w:rPr>
          <w:lang w:val="es-AR"/>
        </w:rPr>
        <w:t xml:space="preserve">olicitar al gobierno de Argentina, a través de la ONUDI, </w:t>
      </w:r>
      <w:r>
        <w:rPr>
          <w:lang w:val="es-AR"/>
        </w:rPr>
        <w:t xml:space="preserve">que proporcione </w:t>
      </w:r>
      <w:r w:rsidRPr="00EE3354">
        <w:rPr>
          <w:lang w:val="es-AR"/>
        </w:rPr>
        <w:t>a la 88</w:t>
      </w:r>
      <w:r w:rsidRPr="00227E4D">
        <w:rPr>
          <w:vertAlign w:val="superscript"/>
          <w:lang w:val="es-AR"/>
        </w:rPr>
        <w:t>a </w:t>
      </w:r>
      <w:r w:rsidRPr="00227E4D">
        <w:rPr>
          <w:lang w:val="es-AR"/>
        </w:rPr>
        <w:t xml:space="preserve">reunión una actualización sobre la viabilidad financiera de la empresa </w:t>
      </w:r>
      <w:proofErr w:type="spellStart"/>
      <w:r w:rsidRPr="00227E4D">
        <w:rPr>
          <w:lang w:val="es-AR"/>
        </w:rPr>
        <w:t>Celpack</w:t>
      </w:r>
      <w:proofErr w:type="spellEnd"/>
      <w:r>
        <w:rPr>
          <w:lang w:val="es-AR"/>
        </w:rPr>
        <w:t xml:space="preserve">, fabricante de </w:t>
      </w:r>
      <w:r w:rsidRPr="00227E4D">
        <w:rPr>
          <w:lang w:val="es-AR"/>
        </w:rPr>
        <w:t>espuma</w:t>
      </w:r>
      <w:r>
        <w:rPr>
          <w:lang w:val="es-AR"/>
        </w:rPr>
        <w:t>s</w:t>
      </w:r>
      <w:r w:rsidRPr="00227E4D">
        <w:rPr>
          <w:lang w:val="es-AR"/>
        </w:rPr>
        <w:t xml:space="preserve"> de </w:t>
      </w:r>
      <w:proofErr w:type="spellStart"/>
      <w:r>
        <w:rPr>
          <w:lang w:val="es-AR"/>
        </w:rPr>
        <w:t>poliestireno</w:t>
      </w:r>
      <w:proofErr w:type="spellEnd"/>
      <w:r w:rsidRPr="00227E4D">
        <w:rPr>
          <w:lang w:val="es-AR"/>
        </w:rPr>
        <w:t xml:space="preserve"> </w:t>
      </w:r>
      <w:r>
        <w:rPr>
          <w:lang w:val="es-AR"/>
        </w:rPr>
        <w:t xml:space="preserve">extruido </w:t>
      </w:r>
      <w:r w:rsidRPr="00227E4D">
        <w:rPr>
          <w:lang w:val="es-AR"/>
        </w:rPr>
        <w:t xml:space="preserve">y </w:t>
      </w:r>
      <w:r>
        <w:rPr>
          <w:lang w:val="es-AR"/>
        </w:rPr>
        <w:t xml:space="preserve">decida sobre </w:t>
      </w:r>
      <w:r w:rsidRPr="00227E4D">
        <w:rPr>
          <w:lang w:val="es-AR"/>
        </w:rPr>
        <w:t xml:space="preserve">si la empresa </w:t>
      </w:r>
      <w:r>
        <w:rPr>
          <w:lang w:val="es-AR"/>
        </w:rPr>
        <w:t xml:space="preserve">recibiría </w:t>
      </w:r>
      <w:r w:rsidRPr="00227E4D">
        <w:rPr>
          <w:lang w:val="es-AR"/>
        </w:rPr>
        <w:t xml:space="preserve">ayuda </w:t>
      </w:r>
      <w:r>
        <w:rPr>
          <w:lang w:val="es-AR"/>
        </w:rPr>
        <w:t>d</w:t>
      </w:r>
      <w:r w:rsidRPr="00227E4D">
        <w:rPr>
          <w:lang w:val="es-AR"/>
        </w:rPr>
        <w:t>el Fondo Multilateral bajo la etapa II del plan de gestión de eliminación de los HCFC para Argentina, conforme a la decisión 84/64 d) ii), y</w:t>
      </w:r>
    </w:p>
    <w:p w14:paraId="468E6E27" w14:textId="77777777" w:rsidR="00EE6440" w:rsidRPr="00227E4D" w:rsidRDefault="00EE6440" w:rsidP="00EE6440">
      <w:pPr>
        <w:pStyle w:val="Heading2"/>
        <w:rPr>
          <w:lang w:val="es-AR"/>
        </w:rPr>
      </w:pPr>
      <w:r>
        <w:rPr>
          <w:lang w:val="es-AR"/>
        </w:rPr>
        <w:t xml:space="preserve">Tomar nota de </w:t>
      </w:r>
      <w:r w:rsidRPr="00227E4D">
        <w:rPr>
          <w:lang w:val="es-AR"/>
        </w:rPr>
        <w:t xml:space="preserve">que, en caso </w:t>
      </w:r>
      <w:r>
        <w:rPr>
          <w:lang w:val="es-AR"/>
        </w:rPr>
        <w:t xml:space="preserve">de </w:t>
      </w:r>
      <w:r w:rsidRPr="00227E4D">
        <w:rPr>
          <w:lang w:val="es-AR"/>
        </w:rPr>
        <w:t xml:space="preserve">que la empresa </w:t>
      </w:r>
      <w:r>
        <w:rPr>
          <w:lang w:val="es-AR"/>
        </w:rPr>
        <w:t xml:space="preserve">mencionada en el </w:t>
      </w:r>
      <w:r w:rsidRPr="00227E4D">
        <w:rPr>
          <w:lang w:val="es-AR"/>
        </w:rPr>
        <w:t xml:space="preserve">subpárrafo a) </w:t>
      </w:r>
      <w:r>
        <w:rPr>
          <w:lang w:val="es-AR"/>
        </w:rPr>
        <w:t>anterior</w:t>
      </w:r>
      <w:r w:rsidRPr="00227E4D">
        <w:rPr>
          <w:lang w:val="es-AR"/>
        </w:rPr>
        <w:t xml:space="preserve"> no </w:t>
      </w:r>
      <w:r>
        <w:rPr>
          <w:lang w:val="es-AR"/>
        </w:rPr>
        <w:t xml:space="preserve">recibiera </w:t>
      </w:r>
      <w:r w:rsidRPr="00227E4D">
        <w:rPr>
          <w:lang w:val="es-AR"/>
        </w:rPr>
        <w:t xml:space="preserve">ayuda </w:t>
      </w:r>
      <w:r>
        <w:rPr>
          <w:lang w:val="es-AR"/>
        </w:rPr>
        <w:t>d</w:t>
      </w:r>
      <w:r w:rsidRPr="00227E4D">
        <w:rPr>
          <w:lang w:val="es-AR"/>
        </w:rPr>
        <w:t xml:space="preserve">el Fondo Multilateral, los fondos asociados a su </w:t>
      </w:r>
      <w:r>
        <w:rPr>
          <w:lang w:val="es-AR"/>
        </w:rPr>
        <w:t xml:space="preserve">conversión </w:t>
      </w:r>
      <w:r w:rsidRPr="00227E4D">
        <w:rPr>
          <w:lang w:val="es-AR"/>
        </w:rPr>
        <w:t>se calcula</w:t>
      </w:r>
      <w:r>
        <w:rPr>
          <w:lang w:val="es-AR"/>
        </w:rPr>
        <w:t xml:space="preserve">rían tomando </w:t>
      </w:r>
      <w:r w:rsidRPr="00227E4D">
        <w:rPr>
          <w:lang w:val="es-AR"/>
        </w:rPr>
        <w:t xml:space="preserve">en consideración la flexibilidad </w:t>
      </w:r>
      <w:r>
        <w:rPr>
          <w:lang w:val="es-AR"/>
        </w:rPr>
        <w:t>de</w:t>
      </w:r>
      <w:r w:rsidRPr="00227E4D">
        <w:rPr>
          <w:lang w:val="es-AR"/>
        </w:rPr>
        <w:t xml:space="preserve"> la asignación de fondos aprobados </w:t>
      </w:r>
      <w:r>
        <w:rPr>
          <w:lang w:val="es-AR"/>
        </w:rPr>
        <w:t>para e</w:t>
      </w:r>
      <w:r w:rsidRPr="00227E4D">
        <w:rPr>
          <w:lang w:val="es-AR"/>
        </w:rPr>
        <w:t xml:space="preserve">l gobierno de Argentina para el sector de espumas de </w:t>
      </w:r>
      <w:proofErr w:type="spellStart"/>
      <w:r w:rsidRPr="00227E4D">
        <w:rPr>
          <w:lang w:val="es-AR"/>
        </w:rPr>
        <w:t>poliestireno</w:t>
      </w:r>
      <w:proofErr w:type="spellEnd"/>
      <w:r w:rsidRPr="00227E4D">
        <w:rPr>
          <w:lang w:val="es-AR"/>
        </w:rPr>
        <w:t xml:space="preserve"> extruido, y se deduc</w:t>
      </w:r>
      <w:r>
        <w:rPr>
          <w:lang w:val="es-AR"/>
        </w:rPr>
        <w:t xml:space="preserve">iría </w:t>
      </w:r>
      <w:r w:rsidRPr="00227E4D">
        <w:rPr>
          <w:lang w:val="es-AR"/>
        </w:rPr>
        <w:t>de la aprobación del tramo siguiente de la etapa II del plan de gestión de eliminación de los HCFC para Argentina.</w:t>
      </w:r>
    </w:p>
    <w:p w14:paraId="61249D37" w14:textId="77777777" w:rsidR="00EE6440" w:rsidRPr="00227E4D" w:rsidRDefault="00EE6440" w:rsidP="00EE6440">
      <w:pPr>
        <w:rPr>
          <w:lang w:val="es-AR"/>
        </w:rPr>
      </w:pPr>
      <w:r w:rsidRPr="00014351">
        <w:rPr>
          <w:u w:val="single"/>
          <w:lang w:val="es-AR"/>
        </w:rPr>
        <w:t>Brunei Darussalam: Plan</w:t>
      </w:r>
      <w:r>
        <w:rPr>
          <w:u w:val="single"/>
          <w:lang w:val="es-AR"/>
        </w:rPr>
        <w:t xml:space="preserve"> de gestión de eliminación de los HCFC</w:t>
      </w:r>
      <w:r w:rsidRPr="00227E4D">
        <w:rPr>
          <w:u w:val="single"/>
          <w:lang w:val="es-AR"/>
        </w:rPr>
        <w:t xml:space="preserve"> (etapa I - petición de prórroga)</w:t>
      </w:r>
      <w:r w:rsidRPr="00014351">
        <w:rPr>
          <w:lang w:val="es-AR"/>
        </w:rPr>
        <w:t xml:space="preserve"> </w:t>
      </w:r>
      <w:r w:rsidRPr="00227E4D">
        <w:rPr>
          <w:lang w:val="es-AR"/>
        </w:rPr>
        <w:t>(PNUMA y PNUD)</w:t>
      </w:r>
    </w:p>
    <w:p w14:paraId="54B03905" w14:textId="77777777" w:rsidR="00EE6440" w:rsidRPr="00227E4D" w:rsidRDefault="00EE6440" w:rsidP="00EE6440">
      <w:pPr>
        <w:rPr>
          <w:lang w:val="es-AR"/>
        </w:rPr>
      </w:pPr>
    </w:p>
    <w:p w14:paraId="07886031" w14:textId="77777777" w:rsidR="00EE6440" w:rsidRPr="00227E4D" w:rsidRDefault="00EE6440" w:rsidP="00EE6440">
      <w:pPr>
        <w:keepNext/>
        <w:spacing w:after="240"/>
        <w:rPr>
          <w:b/>
          <w:lang w:val="es-AR"/>
        </w:rPr>
      </w:pPr>
      <w:r>
        <w:rPr>
          <w:b/>
          <w:lang w:val="es-AR"/>
        </w:rPr>
        <w:t xml:space="preserve">Antecedentes </w:t>
      </w:r>
    </w:p>
    <w:p w14:paraId="15DEF672" w14:textId="77777777" w:rsidR="00EE6440" w:rsidRPr="00227E4D" w:rsidRDefault="00EE6440" w:rsidP="00EE6440">
      <w:pPr>
        <w:numPr>
          <w:ilvl w:val="0"/>
          <w:numId w:val="1"/>
        </w:numPr>
        <w:spacing w:after="240"/>
        <w:outlineLvl w:val="0"/>
        <w:rPr>
          <w:lang w:val="es-AR"/>
        </w:rPr>
      </w:pPr>
      <w:r w:rsidRPr="00227E4D">
        <w:rPr>
          <w:lang w:val="es-AR"/>
        </w:rPr>
        <w:t>En nombre del gobierno de Brunei Darussalam, el PNUMA</w:t>
      </w:r>
      <w:r>
        <w:rPr>
          <w:lang w:val="es-AR"/>
        </w:rPr>
        <w:t xml:space="preserve">, en calidad de </w:t>
      </w:r>
      <w:r w:rsidRPr="00227E4D">
        <w:rPr>
          <w:lang w:val="es-AR"/>
        </w:rPr>
        <w:t>organismo de ejecución principal</w:t>
      </w:r>
      <w:r>
        <w:rPr>
          <w:lang w:val="es-AR"/>
        </w:rPr>
        <w:t xml:space="preserve">, presentó </w:t>
      </w:r>
      <w:r w:rsidRPr="00227E4D">
        <w:rPr>
          <w:lang w:val="es-AR"/>
        </w:rPr>
        <w:t xml:space="preserve">una petición de prórroga </w:t>
      </w:r>
      <w:r>
        <w:rPr>
          <w:lang w:val="es-AR"/>
        </w:rPr>
        <w:t xml:space="preserve">para la </w:t>
      </w:r>
      <w:r w:rsidRPr="00227E4D">
        <w:rPr>
          <w:lang w:val="es-AR"/>
        </w:rPr>
        <w:t>ejecución de la etapa I del plan de gestión de eliminación de los HCFC.</w:t>
      </w:r>
    </w:p>
    <w:p w14:paraId="25A12132" w14:textId="77777777" w:rsidR="00EE6440" w:rsidRPr="00227E4D" w:rsidRDefault="00EE6440" w:rsidP="00EE6440">
      <w:pPr>
        <w:pStyle w:val="Heading1"/>
        <w:autoSpaceDE w:val="0"/>
        <w:autoSpaceDN w:val="0"/>
        <w:adjustRightInd w:val="0"/>
        <w:rPr>
          <w:color w:val="000000" w:themeColor="text1"/>
          <w:lang w:val="es-AR"/>
        </w:rPr>
      </w:pPr>
      <w:r w:rsidRPr="002076DB">
        <w:rPr>
          <w:lang w:val="es-AR"/>
        </w:rPr>
        <w:t xml:space="preserve">La etapa I del plan de gestión de eliminación de los HCFC </w:t>
      </w:r>
      <w:r>
        <w:rPr>
          <w:lang w:val="es-AR"/>
        </w:rPr>
        <w:t xml:space="preserve">se aprobó </w:t>
      </w:r>
      <w:r w:rsidRPr="002076DB">
        <w:rPr>
          <w:lang w:val="es-AR"/>
        </w:rPr>
        <w:t>en la 66</w:t>
      </w:r>
      <w:r w:rsidRPr="00227E4D">
        <w:rPr>
          <w:vertAlign w:val="superscript"/>
          <w:lang w:val="es-AR"/>
        </w:rPr>
        <w:t>a </w:t>
      </w:r>
      <w:r w:rsidRPr="00227E4D">
        <w:rPr>
          <w:lang w:val="es-AR"/>
        </w:rPr>
        <w:t>reunión,</w:t>
      </w:r>
      <w:r w:rsidRPr="00227E4D">
        <w:rPr>
          <w:rStyle w:val="FootnoteReference"/>
          <w:lang w:val="es-AR"/>
        </w:rPr>
        <w:footnoteReference w:id="10"/>
      </w:r>
      <w:r w:rsidRPr="00227E4D">
        <w:rPr>
          <w:lang w:val="es-AR"/>
        </w:rPr>
        <w:t xml:space="preserve"> para </w:t>
      </w:r>
      <w:r>
        <w:rPr>
          <w:lang w:val="es-AR"/>
        </w:rPr>
        <w:t xml:space="preserve">lograr la </w:t>
      </w:r>
      <w:r w:rsidRPr="00227E4D">
        <w:rPr>
          <w:lang w:val="es-AR"/>
        </w:rPr>
        <w:t xml:space="preserve">reducción del 35 por ciento de la base en 2020, </w:t>
      </w:r>
      <w:r>
        <w:rPr>
          <w:lang w:val="es-AR"/>
        </w:rPr>
        <w:t xml:space="preserve">con </w:t>
      </w:r>
      <w:r w:rsidRPr="00227E4D">
        <w:rPr>
          <w:lang w:val="es-AR"/>
        </w:rPr>
        <w:t xml:space="preserve">un nivel de financiamiento total de $EUA </w:t>
      </w:r>
      <w:r w:rsidRPr="00227E4D">
        <w:rPr>
          <w:rFonts w:eastAsia="MS Mincho"/>
          <w:lang w:val="es-AR"/>
        </w:rPr>
        <w:t>315 000</w:t>
      </w:r>
      <w:r w:rsidRPr="00227E4D">
        <w:rPr>
          <w:lang w:val="es-AR"/>
        </w:rPr>
        <w:t xml:space="preserve">, </w:t>
      </w:r>
      <w:r w:rsidRPr="00227E4D">
        <w:rPr>
          <w:lang w:val="es-AR"/>
        </w:rPr>
        <w:lastRenderedPageBreak/>
        <w:t xml:space="preserve">más gastos de apoyo del organismo, </w:t>
      </w:r>
      <w:r>
        <w:rPr>
          <w:lang w:val="es-AR"/>
        </w:rPr>
        <w:t xml:space="preserve">a fin de </w:t>
      </w:r>
      <w:r w:rsidRPr="00227E4D">
        <w:rPr>
          <w:lang w:val="es-AR"/>
        </w:rPr>
        <w:t>eliminar 2,1 toneladas PAO de los HCFC utiliz</w:t>
      </w:r>
      <w:r>
        <w:rPr>
          <w:lang w:val="es-AR"/>
        </w:rPr>
        <w:t>ados</w:t>
      </w:r>
      <w:r w:rsidRPr="00227E4D">
        <w:rPr>
          <w:lang w:val="es-AR"/>
        </w:rPr>
        <w:t xml:space="preserve"> en el sector de servicios</w:t>
      </w:r>
      <w:r>
        <w:rPr>
          <w:lang w:val="es-AR"/>
        </w:rPr>
        <w:t xml:space="preserve"> de equipos</w:t>
      </w:r>
      <w:r w:rsidRPr="00227E4D">
        <w:rPr>
          <w:lang w:val="es-AR"/>
        </w:rPr>
        <w:t xml:space="preserve"> de refrigeración y climatización. </w:t>
      </w:r>
      <w:r>
        <w:rPr>
          <w:lang w:val="es-AR"/>
        </w:rPr>
        <w:t>Se aprobaron l</w:t>
      </w:r>
      <w:r w:rsidRPr="00227E4D">
        <w:rPr>
          <w:lang w:val="es-AR"/>
        </w:rPr>
        <w:t xml:space="preserve">os cuatro tramos previstos en </w:t>
      </w:r>
      <w:r>
        <w:rPr>
          <w:lang w:val="es-AR"/>
        </w:rPr>
        <w:t xml:space="preserve">la </w:t>
      </w:r>
      <w:r w:rsidRPr="00227E4D">
        <w:rPr>
          <w:lang w:val="es-AR"/>
        </w:rPr>
        <w:t>etapa </w:t>
      </w:r>
      <w:r>
        <w:rPr>
          <w:lang w:val="es-AR"/>
        </w:rPr>
        <w:t>I</w:t>
      </w:r>
      <w:r w:rsidRPr="00227E4D">
        <w:rPr>
          <w:lang w:val="es-AR"/>
        </w:rPr>
        <w:t xml:space="preserve"> </w:t>
      </w:r>
      <w:r>
        <w:rPr>
          <w:lang w:val="es-AR"/>
        </w:rPr>
        <w:t>y</w:t>
      </w:r>
      <w:r w:rsidRPr="00227E4D">
        <w:rPr>
          <w:lang w:val="es-AR"/>
        </w:rPr>
        <w:t xml:space="preserve"> el </w:t>
      </w:r>
      <w:r>
        <w:rPr>
          <w:lang w:val="es-AR"/>
        </w:rPr>
        <w:t xml:space="preserve">último </w:t>
      </w:r>
      <w:r w:rsidRPr="00227E4D">
        <w:rPr>
          <w:lang w:val="es-AR"/>
        </w:rPr>
        <w:t xml:space="preserve">tramo </w:t>
      </w:r>
      <w:r>
        <w:rPr>
          <w:lang w:val="es-AR"/>
        </w:rPr>
        <w:t xml:space="preserve">se aprobó </w:t>
      </w:r>
      <w:r w:rsidRPr="00227E4D">
        <w:rPr>
          <w:lang w:val="es-AR"/>
        </w:rPr>
        <w:t xml:space="preserve">bajo </w:t>
      </w:r>
      <w:r>
        <w:rPr>
          <w:lang w:val="es-AR"/>
        </w:rPr>
        <w:t xml:space="preserve">el </w:t>
      </w:r>
      <w:r w:rsidRPr="00227E4D">
        <w:rPr>
          <w:lang w:val="es-AR"/>
        </w:rPr>
        <w:t xml:space="preserve">proceso de aprobación en el período entre sesiones para la </w:t>
      </w:r>
      <w:r>
        <w:rPr>
          <w:lang w:val="es-AR"/>
        </w:rPr>
        <w:t xml:space="preserve">85ª </w:t>
      </w:r>
      <w:r w:rsidRPr="00227E4D">
        <w:rPr>
          <w:lang w:val="es-AR"/>
        </w:rPr>
        <w:t>reunión</w:t>
      </w:r>
      <w:r w:rsidRPr="00227E4D">
        <w:rPr>
          <w:rStyle w:val="FootnoteReference"/>
          <w:lang w:val="es-AR"/>
        </w:rPr>
        <w:footnoteReference w:id="11"/>
      </w:r>
      <w:r w:rsidRPr="00227E4D">
        <w:rPr>
          <w:lang w:val="es-AR"/>
        </w:rPr>
        <w:t xml:space="preserve"> en mayo de 2020. De acuerdo con </w:t>
      </w:r>
      <w:r w:rsidRPr="00227E4D">
        <w:rPr>
          <w:color w:val="000000" w:themeColor="text1"/>
          <w:lang w:val="es-AR"/>
        </w:rPr>
        <w:t xml:space="preserve">el apartado </w:t>
      </w:r>
      <w:r w:rsidRPr="00227E4D">
        <w:rPr>
          <w:lang w:val="es-AR"/>
        </w:rPr>
        <w:t>14 del Acuerdo</w:t>
      </w:r>
      <w:r w:rsidRPr="00227E4D">
        <w:rPr>
          <w:color w:val="000000" w:themeColor="text1"/>
          <w:lang w:val="es-AR"/>
        </w:rPr>
        <w:t xml:space="preserve"> entre el gobierno y el Comité Ejecutivo, el proyecto debe </w:t>
      </w:r>
      <w:r>
        <w:rPr>
          <w:color w:val="000000" w:themeColor="text1"/>
          <w:lang w:val="es-AR"/>
        </w:rPr>
        <w:t>terminarse par</w:t>
      </w:r>
      <w:r w:rsidRPr="00227E4D">
        <w:rPr>
          <w:color w:val="000000" w:themeColor="text1"/>
          <w:lang w:val="es-AR"/>
        </w:rPr>
        <w:t>a fines de 2021.</w:t>
      </w:r>
    </w:p>
    <w:p w14:paraId="31835454" w14:textId="77777777" w:rsidR="00EE6440" w:rsidRPr="00227E4D" w:rsidRDefault="00EE6440" w:rsidP="00EE6440">
      <w:pPr>
        <w:pStyle w:val="Heading1"/>
        <w:rPr>
          <w:color w:val="000000" w:themeColor="text1"/>
          <w:lang w:val="es-AR"/>
        </w:rPr>
      </w:pPr>
      <w:r w:rsidRPr="00227E4D">
        <w:rPr>
          <w:color w:val="000000" w:themeColor="text1"/>
          <w:lang w:val="es-AR"/>
        </w:rPr>
        <w:t xml:space="preserve">La ejecución de la etapa </w:t>
      </w:r>
      <w:r>
        <w:rPr>
          <w:color w:val="000000" w:themeColor="text1"/>
          <w:lang w:val="es-AR"/>
        </w:rPr>
        <w:t xml:space="preserve">I </w:t>
      </w:r>
      <w:r w:rsidRPr="00227E4D">
        <w:rPr>
          <w:color w:val="000000" w:themeColor="text1"/>
          <w:lang w:val="es-AR"/>
        </w:rPr>
        <w:t>progresa.</w:t>
      </w:r>
      <w:r w:rsidRPr="00227E4D">
        <w:rPr>
          <w:lang w:val="es-AR"/>
        </w:rPr>
        <w:t xml:space="preserve"> </w:t>
      </w:r>
      <w:r w:rsidRPr="00227E4D">
        <w:rPr>
          <w:color w:val="000000" w:themeColor="text1"/>
          <w:lang w:val="es-AR"/>
        </w:rPr>
        <w:t xml:space="preserve">Se han terminado </w:t>
      </w:r>
      <w:r>
        <w:rPr>
          <w:color w:val="000000" w:themeColor="text1"/>
          <w:lang w:val="es-AR"/>
        </w:rPr>
        <w:t xml:space="preserve">el </w:t>
      </w:r>
      <w:r w:rsidRPr="00227E4D">
        <w:rPr>
          <w:color w:val="000000" w:themeColor="text1"/>
          <w:lang w:val="es-AR"/>
        </w:rPr>
        <w:t>primero y segundo tramo;</w:t>
      </w:r>
      <w:r w:rsidRPr="00227E4D">
        <w:rPr>
          <w:lang w:val="es-AR"/>
        </w:rPr>
        <w:t xml:space="preserve"> </w:t>
      </w:r>
      <w:r>
        <w:rPr>
          <w:lang w:val="es-AR"/>
        </w:rPr>
        <w:t xml:space="preserve">se ha ejecutado </w:t>
      </w:r>
      <w:r w:rsidRPr="00227E4D">
        <w:rPr>
          <w:color w:val="000000" w:themeColor="text1"/>
          <w:lang w:val="es-AR"/>
        </w:rPr>
        <w:t>la mayor</w:t>
      </w:r>
      <w:r>
        <w:rPr>
          <w:color w:val="000000" w:themeColor="text1"/>
          <w:lang w:val="es-AR"/>
        </w:rPr>
        <w:t xml:space="preserve"> parte de </w:t>
      </w:r>
      <w:r w:rsidRPr="00227E4D">
        <w:rPr>
          <w:color w:val="000000" w:themeColor="text1"/>
          <w:lang w:val="es-AR"/>
        </w:rPr>
        <w:t>las actividades del tercer tramo.</w:t>
      </w:r>
      <w:r w:rsidRPr="00227E4D">
        <w:rPr>
          <w:lang w:val="es-AR"/>
        </w:rPr>
        <w:t xml:space="preserve"> </w:t>
      </w:r>
      <w:r w:rsidRPr="00227E4D">
        <w:rPr>
          <w:color w:val="000000" w:themeColor="text1"/>
          <w:lang w:val="es-AR"/>
        </w:rPr>
        <w:t>Sin embargo, debido al impacto</w:t>
      </w:r>
      <w:r>
        <w:rPr>
          <w:color w:val="000000" w:themeColor="text1"/>
          <w:lang w:val="es-AR"/>
        </w:rPr>
        <w:t xml:space="preserve"> de la </w:t>
      </w:r>
      <w:r w:rsidRPr="00227E4D">
        <w:rPr>
          <w:color w:val="000000" w:themeColor="text1"/>
          <w:lang w:val="es-AR"/>
        </w:rPr>
        <w:t xml:space="preserve">pandemia del COVID-19, </w:t>
      </w:r>
      <w:r>
        <w:rPr>
          <w:color w:val="000000" w:themeColor="text1"/>
          <w:lang w:val="es-AR"/>
        </w:rPr>
        <w:t xml:space="preserve">se ha retrasado </w:t>
      </w:r>
      <w:r w:rsidRPr="00227E4D">
        <w:rPr>
          <w:color w:val="000000" w:themeColor="text1"/>
          <w:lang w:val="es-AR"/>
        </w:rPr>
        <w:t xml:space="preserve">la ejecución de algunas actividades del plan de gestión de eliminación de los HCFC, </w:t>
      </w:r>
      <w:r>
        <w:rPr>
          <w:color w:val="000000" w:themeColor="text1"/>
          <w:lang w:val="es-AR"/>
        </w:rPr>
        <w:t xml:space="preserve">planeadas para el tercero y cuarto tramo, </w:t>
      </w:r>
      <w:r w:rsidRPr="00227E4D">
        <w:rPr>
          <w:color w:val="000000" w:themeColor="text1"/>
          <w:lang w:val="es-AR"/>
        </w:rPr>
        <w:t xml:space="preserve">especialmente un taller de capacitación para agentes de aduanas e importadores, tres talleres de capacitación para técnicos, la </w:t>
      </w:r>
      <w:r>
        <w:rPr>
          <w:color w:val="000000" w:themeColor="text1"/>
          <w:lang w:val="es-AR"/>
        </w:rPr>
        <w:t xml:space="preserve">distribución </w:t>
      </w:r>
      <w:r w:rsidRPr="00227E4D">
        <w:rPr>
          <w:iCs/>
          <w:color w:val="000000" w:themeColor="text1"/>
          <w:lang w:val="es-AR"/>
        </w:rPr>
        <w:t xml:space="preserve">de identificadores de refrigerantes y la capacitación para el personal del </w:t>
      </w:r>
      <w:r>
        <w:rPr>
          <w:iCs/>
          <w:color w:val="000000" w:themeColor="text1"/>
          <w:lang w:val="es-AR"/>
        </w:rPr>
        <w:t>c</w:t>
      </w:r>
      <w:r w:rsidRPr="00227E4D">
        <w:rPr>
          <w:iCs/>
          <w:color w:val="000000" w:themeColor="text1"/>
          <w:lang w:val="es-AR"/>
        </w:rPr>
        <w:t xml:space="preserve">entro de regeneración, </w:t>
      </w:r>
      <w:r>
        <w:rPr>
          <w:iCs/>
          <w:color w:val="000000" w:themeColor="text1"/>
          <w:lang w:val="es-AR"/>
        </w:rPr>
        <w:t xml:space="preserve">la sensibilización y </w:t>
      </w:r>
      <w:r w:rsidRPr="00227E4D">
        <w:rPr>
          <w:color w:val="000000" w:themeColor="text1"/>
          <w:lang w:val="es-AR"/>
        </w:rPr>
        <w:t xml:space="preserve">difusión de información, y la organización de </w:t>
      </w:r>
      <w:r w:rsidRPr="00227E4D">
        <w:rPr>
          <w:lang w:val="es-AR"/>
        </w:rPr>
        <w:t xml:space="preserve">un </w:t>
      </w:r>
      <w:r w:rsidRPr="00227E4D">
        <w:rPr>
          <w:bCs/>
          <w:color w:val="000000" w:themeColor="text1"/>
          <w:lang w:val="es-AR"/>
        </w:rPr>
        <w:t xml:space="preserve">taller de </w:t>
      </w:r>
      <w:r w:rsidRPr="00227E4D">
        <w:rPr>
          <w:lang w:val="es-AR"/>
        </w:rPr>
        <w:t>partes interesadas</w:t>
      </w:r>
      <w:r w:rsidRPr="00227E4D">
        <w:rPr>
          <w:bCs/>
          <w:color w:val="000000" w:themeColor="text1"/>
          <w:lang w:val="es-AR"/>
        </w:rPr>
        <w:t xml:space="preserve"> nacionales</w:t>
      </w:r>
      <w:r w:rsidRPr="00227E4D">
        <w:rPr>
          <w:color w:val="000000" w:themeColor="text1"/>
          <w:lang w:val="es-AR"/>
        </w:rPr>
        <w:t>.</w:t>
      </w:r>
      <w:r w:rsidRPr="00227E4D">
        <w:rPr>
          <w:lang w:val="es-AR"/>
        </w:rPr>
        <w:t xml:space="preserve"> </w:t>
      </w:r>
      <w:r w:rsidRPr="00227E4D">
        <w:rPr>
          <w:color w:val="000000" w:themeColor="text1"/>
          <w:lang w:val="es-AR"/>
        </w:rPr>
        <w:t xml:space="preserve">Dado la </w:t>
      </w:r>
      <w:r>
        <w:rPr>
          <w:color w:val="000000" w:themeColor="text1"/>
          <w:lang w:val="es-AR"/>
        </w:rPr>
        <w:t xml:space="preserve">incertidumbre respecto al tiempo que llevará </w:t>
      </w:r>
      <w:r w:rsidRPr="00227E4D">
        <w:rPr>
          <w:color w:val="000000" w:themeColor="text1"/>
          <w:lang w:val="es-AR"/>
        </w:rPr>
        <w:t xml:space="preserve">la recuperación post-COVID-19, el gobierno </w:t>
      </w:r>
      <w:r>
        <w:rPr>
          <w:color w:val="000000" w:themeColor="text1"/>
          <w:lang w:val="es-AR"/>
        </w:rPr>
        <w:t xml:space="preserve">solicita una </w:t>
      </w:r>
      <w:r w:rsidRPr="00227E4D">
        <w:rPr>
          <w:color w:val="000000" w:themeColor="text1"/>
          <w:lang w:val="es-AR"/>
        </w:rPr>
        <w:t xml:space="preserve">prórroga </w:t>
      </w:r>
      <w:r>
        <w:rPr>
          <w:color w:val="000000" w:themeColor="text1"/>
          <w:lang w:val="es-AR"/>
        </w:rPr>
        <w:t xml:space="preserve">para </w:t>
      </w:r>
      <w:r w:rsidRPr="00227E4D">
        <w:rPr>
          <w:color w:val="000000" w:themeColor="text1"/>
          <w:lang w:val="es-AR"/>
        </w:rPr>
        <w:t>la ejecución de la etapa I hasta el 31 de diciembre 2022.</w:t>
      </w:r>
    </w:p>
    <w:p w14:paraId="1646FA34" w14:textId="77777777" w:rsidR="00EE6440" w:rsidRPr="00227E4D" w:rsidRDefault="00EE6440" w:rsidP="00EE6440">
      <w:pPr>
        <w:spacing w:after="240"/>
        <w:rPr>
          <w:i/>
          <w:color w:val="000000" w:themeColor="text1"/>
          <w:lang w:val="es-AR"/>
        </w:rPr>
      </w:pPr>
      <w:r>
        <w:rPr>
          <w:i/>
          <w:lang w:val="es-AR"/>
        </w:rPr>
        <w:t>C</w:t>
      </w:r>
      <w:r w:rsidRPr="00227E4D">
        <w:rPr>
          <w:i/>
          <w:lang w:val="es-AR"/>
        </w:rPr>
        <w:t>onsumo de los HCFC</w:t>
      </w:r>
    </w:p>
    <w:p w14:paraId="3BF94EA5" w14:textId="77777777" w:rsidR="00EE6440" w:rsidRPr="00227E4D" w:rsidRDefault="00EE6440" w:rsidP="00EE6440">
      <w:pPr>
        <w:pStyle w:val="Heading1"/>
        <w:rPr>
          <w:color w:val="000000" w:themeColor="text1"/>
          <w:lang w:val="es-AR"/>
        </w:rPr>
      </w:pPr>
      <w:r w:rsidRPr="00227E4D">
        <w:rPr>
          <w:color w:val="000000" w:themeColor="text1"/>
          <w:lang w:val="es-AR"/>
        </w:rPr>
        <w:t>Aunque</w:t>
      </w:r>
      <w:r>
        <w:rPr>
          <w:color w:val="000000" w:themeColor="text1"/>
          <w:lang w:val="es-AR"/>
        </w:rPr>
        <w:t xml:space="preserve"> todavía no se presentaron</w:t>
      </w:r>
      <w:r w:rsidRPr="00227E4D">
        <w:rPr>
          <w:color w:val="000000" w:themeColor="text1"/>
          <w:lang w:val="es-AR"/>
        </w:rPr>
        <w:t xml:space="preserve"> los datos de consumo </w:t>
      </w:r>
      <w:r>
        <w:rPr>
          <w:color w:val="000000" w:themeColor="text1"/>
          <w:lang w:val="es-AR"/>
        </w:rPr>
        <w:t xml:space="preserve">de los </w:t>
      </w:r>
      <w:r w:rsidRPr="00227E4D">
        <w:rPr>
          <w:color w:val="000000" w:themeColor="text1"/>
          <w:lang w:val="es-AR"/>
        </w:rPr>
        <w:t>HCFC</w:t>
      </w:r>
      <w:r>
        <w:rPr>
          <w:color w:val="000000" w:themeColor="text1"/>
          <w:lang w:val="es-AR"/>
        </w:rPr>
        <w:t xml:space="preserve"> </w:t>
      </w:r>
      <w:r w:rsidRPr="00227E4D">
        <w:rPr>
          <w:color w:val="000000" w:themeColor="text1"/>
          <w:lang w:val="es-AR"/>
        </w:rPr>
        <w:t xml:space="preserve">para 2020 en virtud del Artículo 7 del Protocolo de Montreal, el informe de ejecución del programa de país </w:t>
      </w:r>
      <w:r>
        <w:rPr>
          <w:color w:val="000000" w:themeColor="text1"/>
          <w:lang w:val="es-AR"/>
        </w:rPr>
        <w:t xml:space="preserve">indica </w:t>
      </w:r>
      <w:r w:rsidRPr="00227E4D">
        <w:rPr>
          <w:color w:val="000000" w:themeColor="text1"/>
          <w:lang w:val="es-AR"/>
        </w:rPr>
        <w:t xml:space="preserve">un consumo de 3,67 toneladas PAO en 2020, </w:t>
      </w:r>
      <w:r>
        <w:rPr>
          <w:color w:val="000000" w:themeColor="text1"/>
          <w:lang w:val="es-AR"/>
        </w:rPr>
        <w:t xml:space="preserve">lo que está </w:t>
      </w:r>
      <w:r w:rsidRPr="00227E4D">
        <w:rPr>
          <w:color w:val="000000" w:themeColor="text1"/>
          <w:lang w:val="es-AR"/>
        </w:rPr>
        <w:t>7 por ciento por debajo del objetivo del plan de gestión de eliminación de los HCFC de 3,96 toneladas PAO p</w:t>
      </w:r>
      <w:r>
        <w:rPr>
          <w:color w:val="000000" w:themeColor="text1"/>
          <w:lang w:val="es-AR"/>
        </w:rPr>
        <w:t>ara</w:t>
      </w:r>
      <w:r w:rsidRPr="00227E4D">
        <w:rPr>
          <w:color w:val="000000" w:themeColor="text1"/>
          <w:lang w:val="es-AR"/>
        </w:rPr>
        <w:t xml:space="preserve"> ese año, y 40 por ciento </w:t>
      </w:r>
      <w:r>
        <w:rPr>
          <w:color w:val="000000" w:themeColor="text1"/>
          <w:lang w:val="es-AR"/>
        </w:rPr>
        <w:t>por debajo de</w:t>
      </w:r>
      <w:r w:rsidRPr="00227E4D">
        <w:rPr>
          <w:color w:val="000000" w:themeColor="text1"/>
          <w:lang w:val="es-AR"/>
        </w:rPr>
        <w:t xml:space="preserve"> </w:t>
      </w:r>
      <w:r>
        <w:rPr>
          <w:color w:val="000000" w:themeColor="text1"/>
          <w:lang w:val="es-AR"/>
        </w:rPr>
        <w:t xml:space="preserve">la </w:t>
      </w:r>
      <w:r w:rsidRPr="00227E4D">
        <w:rPr>
          <w:color w:val="000000" w:themeColor="text1"/>
          <w:lang w:val="es-AR"/>
        </w:rPr>
        <w:t>base establecida de 6,1 toneladas PAO</w:t>
      </w:r>
      <w:r w:rsidRPr="00227E4D">
        <w:rPr>
          <w:color w:val="FF0000"/>
          <w:lang w:val="es-AR"/>
        </w:rPr>
        <w:t>.</w:t>
      </w:r>
      <w:r w:rsidRPr="00227E4D">
        <w:rPr>
          <w:lang w:val="es-AR"/>
        </w:rPr>
        <w:t xml:space="preserve"> </w:t>
      </w:r>
    </w:p>
    <w:p w14:paraId="664ADACB" w14:textId="77777777" w:rsidR="00EE6440" w:rsidRPr="00227E4D" w:rsidRDefault="00EE6440" w:rsidP="00EE6440">
      <w:pPr>
        <w:spacing w:after="240"/>
        <w:rPr>
          <w:b/>
          <w:lang w:val="es-AR"/>
        </w:rPr>
      </w:pPr>
      <w:r>
        <w:rPr>
          <w:b/>
          <w:lang w:val="es-AR"/>
        </w:rPr>
        <w:t>I</w:t>
      </w:r>
      <w:r w:rsidRPr="00227E4D">
        <w:rPr>
          <w:b/>
          <w:lang w:val="es-AR"/>
        </w:rPr>
        <w:t>nforme sobre la marcha de las actividades relativo a la ejecución de la etapa I</w:t>
      </w:r>
      <w:r w:rsidRPr="00227E4D">
        <w:rPr>
          <w:lang w:val="es-AR"/>
        </w:rPr>
        <w:t xml:space="preserve"> </w:t>
      </w:r>
    </w:p>
    <w:p w14:paraId="60B88931" w14:textId="77777777" w:rsidR="00EE6440" w:rsidRPr="00227E4D" w:rsidRDefault="00EE6440" w:rsidP="00EE6440">
      <w:pPr>
        <w:pStyle w:val="Heading1"/>
        <w:widowControl w:val="0"/>
        <w:tabs>
          <w:tab w:val="clear" w:pos="0"/>
        </w:tabs>
        <w:rPr>
          <w:lang w:val="es-AR"/>
        </w:rPr>
      </w:pPr>
      <w:r w:rsidRPr="00227E4D">
        <w:rPr>
          <w:lang w:val="es-AR"/>
        </w:rPr>
        <w:t xml:space="preserve">El país </w:t>
      </w:r>
      <w:r>
        <w:rPr>
          <w:lang w:val="es-AR"/>
        </w:rPr>
        <w:t xml:space="preserve">aplica </w:t>
      </w:r>
      <w:r w:rsidRPr="00227E4D">
        <w:rPr>
          <w:lang w:val="es-AR"/>
        </w:rPr>
        <w:t xml:space="preserve">el sistema de otorgamiento de licencias y cuotas para controlar la importación de SAO </w:t>
      </w:r>
      <w:r>
        <w:rPr>
          <w:lang w:val="es-AR"/>
        </w:rPr>
        <w:t xml:space="preserve">mediante una </w:t>
      </w:r>
      <w:r w:rsidRPr="00227E4D">
        <w:rPr>
          <w:lang w:val="es-AR"/>
        </w:rPr>
        <w:t>declaración y permiso en línea</w:t>
      </w:r>
      <w:r>
        <w:rPr>
          <w:lang w:val="es-AR"/>
        </w:rPr>
        <w:t xml:space="preserve">, tras una </w:t>
      </w:r>
      <w:r w:rsidRPr="00227E4D">
        <w:rPr>
          <w:lang w:val="es-AR"/>
        </w:rPr>
        <w:t>orden aduan</w:t>
      </w:r>
      <w:r>
        <w:rPr>
          <w:lang w:val="es-AR"/>
        </w:rPr>
        <w:t>era</w:t>
      </w:r>
      <w:r w:rsidRPr="00227E4D">
        <w:rPr>
          <w:lang w:val="es-AR"/>
        </w:rPr>
        <w:t xml:space="preserve"> establecid</w:t>
      </w:r>
      <w:r>
        <w:rPr>
          <w:lang w:val="es-AR"/>
        </w:rPr>
        <w:t>a</w:t>
      </w:r>
      <w:r w:rsidRPr="00227E4D">
        <w:rPr>
          <w:lang w:val="es-AR"/>
        </w:rPr>
        <w:t xml:space="preserve"> en 2005; </w:t>
      </w:r>
      <w:r>
        <w:rPr>
          <w:lang w:val="es-AR"/>
        </w:rPr>
        <w:t>el sistema de cuotas de los HCFC</w:t>
      </w:r>
      <w:r w:rsidRPr="00227E4D">
        <w:rPr>
          <w:lang w:val="es-AR"/>
        </w:rPr>
        <w:t xml:space="preserve"> </w:t>
      </w:r>
      <w:r>
        <w:rPr>
          <w:lang w:val="es-AR"/>
        </w:rPr>
        <w:t xml:space="preserve">se introdujo </w:t>
      </w:r>
      <w:r w:rsidRPr="00227E4D">
        <w:rPr>
          <w:lang w:val="es-AR"/>
        </w:rPr>
        <w:t xml:space="preserve">en 2013. El gobierno </w:t>
      </w:r>
      <w:r>
        <w:rPr>
          <w:lang w:val="es-AR"/>
        </w:rPr>
        <w:t xml:space="preserve">aplica la </w:t>
      </w:r>
      <w:r w:rsidRPr="00227E4D">
        <w:rPr>
          <w:lang w:val="es-AR"/>
        </w:rPr>
        <w:t xml:space="preserve">inspección obligatoria y </w:t>
      </w:r>
      <w:r>
        <w:rPr>
          <w:lang w:val="es-AR"/>
        </w:rPr>
        <w:t xml:space="preserve">el </w:t>
      </w:r>
      <w:r w:rsidRPr="00227E4D">
        <w:rPr>
          <w:lang w:val="es-AR"/>
        </w:rPr>
        <w:t>etiqueta</w:t>
      </w:r>
      <w:r>
        <w:rPr>
          <w:lang w:val="es-AR"/>
        </w:rPr>
        <w:t xml:space="preserve">do de </w:t>
      </w:r>
      <w:r w:rsidRPr="00227E4D">
        <w:rPr>
          <w:lang w:val="es-AR"/>
        </w:rPr>
        <w:t>los envases</w:t>
      </w:r>
      <w:r>
        <w:rPr>
          <w:lang w:val="es-AR"/>
        </w:rPr>
        <w:t xml:space="preserve"> del</w:t>
      </w:r>
      <w:r w:rsidRPr="00227E4D">
        <w:rPr>
          <w:lang w:val="es-AR"/>
        </w:rPr>
        <w:t xml:space="preserve"> HCFC-22 desde 2013, el Procurador General de la República</w:t>
      </w:r>
      <w:r>
        <w:rPr>
          <w:lang w:val="es-AR"/>
        </w:rPr>
        <w:t xml:space="preserve"> y </w:t>
      </w:r>
      <w:r w:rsidRPr="00227E4D">
        <w:rPr>
          <w:lang w:val="es-AR"/>
        </w:rPr>
        <w:t xml:space="preserve">el Ministerio de Finanzas y </w:t>
      </w:r>
      <w:r>
        <w:rPr>
          <w:lang w:val="es-AR"/>
        </w:rPr>
        <w:t>E</w:t>
      </w:r>
      <w:r w:rsidRPr="00227E4D">
        <w:rPr>
          <w:lang w:val="es-AR"/>
        </w:rPr>
        <w:t>conomía</w:t>
      </w:r>
      <w:r>
        <w:rPr>
          <w:lang w:val="es-AR"/>
        </w:rPr>
        <w:t xml:space="preserve"> examinaron </w:t>
      </w:r>
      <w:r w:rsidRPr="00227E4D">
        <w:rPr>
          <w:lang w:val="es-AR"/>
        </w:rPr>
        <w:t xml:space="preserve">la formalización de la </w:t>
      </w:r>
      <w:r>
        <w:rPr>
          <w:lang w:val="es-AR"/>
        </w:rPr>
        <w:t xml:space="preserve">licencia </w:t>
      </w:r>
      <w:r w:rsidRPr="00227E4D">
        <w:rPr>
          <w:lang w:val="es-AR"/>
        </w:rPr>
        <w:t>de</w:t>
      </w:r>
      <w:r>
        <w:rPr>
          <w:lang w:val="es-AR"/>
        </w:rPr>
        <w:t xml:space="preserve"> los</w:t>
      </w:r>
      <w:r w:rsidRPr="00227E4D">
        <w:rPr>
          <w:lang w:val="es-AR"/>
        </w:rPr>
        <w:t xml:space="preserve"> HFC, esperando la firma de </w:t>
      </w:r>
      <w:r>
        <w:rPr>
          <w:lang w:val="es-AR"/>
        </w:rPr>
        <w:t xml:space="preserve">las </w:t>
      </w:r>
      <w:r w:rsidRPr="00227E4D">
        <w:rPr>
          <w:lang w:val="es-AR"/>
        </w:rPr>
        <w:t xml:space="preserve">autoridades pertinentes. </w:t>
      </w:r>
      <w:r>
        <w:rPr>
          <w:lang w:val="es-AR"/>
        </w:rPr>
        <w:t xml:space="preserve">Para </w:t>
      </w:r>
      <w:r w:rsidRPr="00227E4D">
        <w:rPr>
          <w:lang w:val="es-AR"/>
        </w:rPr>
        <w:t>finales de diciembre de 2021</w:t>
      </w:r>
      <w:r>
        <w:rPr>
          <w:lang w:val="es-AR"/>
        </w:rPr>
        <w:t xml:space="preserve"> se programó u</w:t>
      </w:r>
      <w:r w:rsidRPr="00227E4D">
        <w:rPr>
          <w:lang w:val="es-AR"/>
        </w:rPr>
        <w:t xml:space="preserve">na prohibición </w:t>
      </w:r>
      <w:r>
        <w:rPr>
          <w:lang w:val="es-AR"/>
        </w:rPr>
        <w:t>de</w:t>
      </w:r>
      <w:r w:rsidRPr="00227E4D">
        <w:rPr>
          <w:lang w:val="es-AR"/>
        </w:rPr>
        <w:t xml:space="preserve"> la importación y exportación de </w:t>
      </w:r>
      <w:r>
        <w:rPr>
          <w:lang w:val="es-AR"/>
        </w:rPr>
        <w:t xml:space="preserve">los aparatos de climatización </w:t>
      </w:r>
      <w:r w:rsidRPr="00227E4D">
        <w:rPr>
          <w:lang w:val="es-AR"/>
        </w:rPr>
        <w:t>que utilizan HCFC (</w:t>
      </w:r>
      <w:r>
        <w:rPr>
          <w:lang w:val="es-AR"/>
        </w:rPr>
        <w:t xml:space="preserve">hasta </w:t>
      </w:r>
      <w:r w:rsidRPr="00227E4D">
        <w:rPr>
          <w:lang w:val="es-AR"/>
        </w:rPr>
        <w:t>2,5</w:t>
      </w:r>
      <w:r>
        <w:rPr>
          <w:lang w:val="es-AR"/>
        </w:rPr>
        <w:t xml:space="preserve"> de </w:t>
      </w:r>
      <w:r w:rsidRPr="00227E4D">
        <w:rPr>
          <w:lang w:val="es-AR"/>
        </w:rPr>
        <w:t>HP); y para 1 de enero de 2026</w:t>
      </w:r>
      <w:r>
        <w:rPr>
          <w:lang w:val="es-AR"/>
        </w:rPr>
        <w:t xml:space="preserve"> se programa </w:t>
      </w:r>
      <w:r w:rsidRPr="00227E4D">
        <w:rPr>
          <w:lang w:val="es-AR"/>
        </w:rPr>
        <w:t xml:space="preserve">una prohibición </w:t>
      </w:r>
      <w:r>
        <w:rPr>
          <w:lang w:val="es-AR"/>
        </w:rPr>
        <w:t>de</w:t>
      </w:r>
      <w:r w:rsidRPr="00227E4D">
        <w:rPr>
          <w:lang w:val="es-AR"/>
        </w:rPr>
        <w:t xml:space="preserve"> la importación de todos los tipos de equipos </w:t>
      </w:r>
      <w:r>
        <w:rPr>
          <w:lang w:val="es-AR"/>
        </w:rPr>
        <w:t>que utilizan HCFC</w:t>
      </w:r>
      <w:r w:rsidRPr="00227E4D">
        <w:rPr>
          <w:lang w:val="es-AR"/>
        </w:rPr>
        <w:t xml:space="preserve">. </w:t>
      </w:r>
      <w:r w:rsidRPr="00227E4D">
        <w:rPr>
          <w:bCs/>
          <w:lang w:val="es-AR"/>
        </w:rPr>
        <w:t xml:space="preserve">El </w:t>
      </w:r>
      <w:r>
        <w:rPr>
          <w:bCs/>
          <w:lang w:val="es-AR"/>
        </w:rPr>
        <w:t>D</w:t>
      </w:r>
      <w:r w:rsidRPr="00227E4D">
        <w:rPr>
          <w:bCs/>
          <w:lang w:val="es-AR"/>
        </w:rPr>
        <w:t xml:space="preserve">epartamento de </w:t>
      </w:r>
      <w:r>
        <w:rPr>
          <w:bCs/>
          <w:lang w:val="es-AR"/>
        </w:rPr>
        <w:t>A</w:t>
      </w:r>
      <w:r w:rsidRPr="00227E4D">
        <w:rPr>
          <w:bCs/>
          <w:lang w:val="es-AR"/>
        </w:rPr>
        <w:t xml:space="preserve">duanas </w:t>
      </w:r>
      <w:r>
        <w:rPr>
          <w:bCs/>
          <w:lang w:val="es-AR"/>
        </w:rPr>
        <w:t xml:space="preserve">incluyó </w:t>
      </w:r>
      <w:r w:rsidRPr="00227E4D">
        <w:rPr>
          <w:bCs/>
          <w:lang w:val="es-AR"/>
        </w:rPr>
        <w:t xml:space="preserve">el sistema de otorgamiento de licencias </w:t>
      </w:r>
      <w:r>
        <w:rPr>
          <w:bCs/>
          <w:lang w:val="es-AR"/>
        </w:rPr>
        <w:t xml:space="preserve">de </w:t>
      </w:r>
      <w:r w:rsidRPr="00227E4D">
        <w:rPr>
          <w:bCs/>
          <w:lang w:val="es-AR"/>
        </w:rPr>
        <w:t xml:space="preserve">SAO en el plan de estudios de capacitación </w:t>
      </w:r>
      <w:r>
        <w:rPr>
          <w:bCs/>
          <w:lang w:val="es-AR"/>
        </w:rPr>
        <w:t xml:space="preserve">para empleados de </w:t>
      </w:r>
      <w:r w:rsidRPr="00227E4D">
        <w:rPr>
          <w:bCs/>
          <w:lang w:val="es-AR"/>
        </w:rPr>
        <w:t>aduanas.</w:t>
      </w:r>
      <w:r w:rsidRPr="00227E4D">
        <w:rPr>
          <w:lang w:val="es-AR"/>
        </w:rPr>
        <w:t xml:space="preserve"> </w:t>
      </w:r>
      <w:r>
        <w:rPr>
          <w:lang w:val="es-AR"/>
        </w:rPr>
        <w:t>B</w:t>
      </w:r>
      <w:r w:rsidRPr="00227E4D">
        <w:rPr>
          <w:lang w:val="es-AR"/>
        </w:rPr>
        <w:t>ajo la etapa I</w:t>
      </w:r>
      <w:r>
        <w:rPr>
          <w:lang w:val="es-AR"/>
        </w:rPr>
        <w:t xml:space="preserve"> se ha formado </w:t>
      </w:r>
      <w:r w:rsidRPr="00227E4D">
        <w:rPr>
          <w:bCs/>
          <w:lang w:val="es-AR"/>
        </w:rPr>
        <w:t xml:space="preserve">un total de </w:t>
      </w:r>
      <w:r w:rsidRPr="00227E4D">
        <w:rPr>
          <w:lang w:val="es-AR"/>
        </w:rPr>
        <w:t>36 oficiales de aduanas.</w:t>
      </w:r>
    </w:p>
    <w:p w14:paraId="227408C6" w14:textId="77777777" w:rsidR="00EE6440" w:rsidRPr="00227E4D" w:rsidRDefault="00EE6440" w:rsidP="00EE6440">
      <w:pPr>
        <w:pStyle w:val="Heading1"/>
        <w:spacing w:before="120"/>
        <w:rPr>
          <w:lang w:val="es-AR"/>
        </w:rPr>
      </w:pPr>
      <w:r>
        <w:rPr>
          <w:lang w:val="es-AR"/>
        </w:rPr>
        <w:t xml:space="preserve">Se realizaron </w:t>
      </w:r>
      <w:r w:rsidRPr="00227E4D">
        <w:rPr>
          <w:lang w:val="es-AR"/>
        </w:rPr>
        <w:t xml:space="preserve">talleres de capacitación para 257 técnicos </w:t>
      </w:r>
      <w:r>
        <w:rPr>
          <w:lang w:val="es-AR"/>
        </w:rPr>
        <w:t xml:space="preserve">sobre </w:t>
      </w:r>
      <w:r w:rsidRPr="00227E4D">
        <w:rPr>
          <w:lang w:val="es-AR"/>
        </w:rPr>
        <w:t xml:space="preserve">instalación y servicio de equipos de refrigeración y climatización, y </w:t>
      </w:r>
      <w:r>
        <w:rPr>
          <w:lang w:val="es-AR"/>
        </w:rPr>
        <w:t xml:space="preserve">se formó a </w:t>
      </w:r>
      <w:r w:rsidRPr="00227E4D">
        <w:rPr>
          <w:lang w:val="es-AR"/>
        </w:rPr>
        <w:t xml:space="preserve">dos instructores principales en China </w:t>
      </w:r>
      <w:r>
        <w:rPr>
          <w:lang w:val="es-AR"/>
        </w:rPr>
        <w:t>sobre el manejo</w:t>
      </w:r>
      <w:r w:rsidRPr="00227E4D">
        <w:rPr>
          <w:lang w:val="es-AR"/>
        </w:rPr>
        <w:t xml:space="preserve"> seguro de refrigerantes inflamables. </w:t>
      </w:r>
      <w:r>
        <w:rPr>
          <w:lang w:val="es-AR"/>
        </w:rPr>
        <w:t>Se adquirieron d</w:t>
      </w:r>
      <w:r w:rsidRPr="00227E4D">
        <w:rPr>
          <w:lang w:val="es-AR"/>
        </w:rPr>
        <w:t>iez sistemas de equipos de recuperación para</w:t>
      </w:r>
      <w:r>
        <w:rPr>
          <w:lang w:val="es-AR"/>
        </w:rPr>
        <w:t xml:space="preserve"> el programa de</w:t>
      </w:r>
      <w:r w:rsidRPr="00227E4D">
        <w:rPr>
          <w:lang w:val="es-AR"/>
        </w:rPr>
        <w:t xml:space="preserve"> recuperación, </w:t>
      </w:r>
      <w:r>
        <w:rPr>
          <w:lang w:val="es-AR"/>
        </w:rPr>
        <w:t>reciclado</w:t>
      </w:r>
      <w:r w:rsidRPr="00227E4D">
        <w:rPr>
          <w:lang w:val="es-AR"/>
        </w:rPr>
        <w:t xml:space="preserve"> y reutilización, cinco </w:t>
      </w:r>
      <w:r>
        <w:rPr>
          <w:lang w:val="es-AR"/>
        </w:rPr>
        <w:t xml:space="preserve">de los cuales se distribuyeron entre </w:t>
      </w:r>
      <w:r w:rsidRPr="00227E4D">
        <w:rPr>
          <w:lang w:val="es-AR"/>
        </w:rPr>
        <w:t xml:space="preserve">empresas seleccionadas </w:t>
      </w:r>
      <w:r>
        <w:rPr>
          <w:lang w:val="es-AR"/>
        </w:rPr>
        <w:t>de refrigeración</w:t>
      </w:r>
      <w:r w:rsidRPr="00227E4D">
        <w:rPr>
          <w:lang w:val="es-AR"/>
        </w:rPr>
        <w:t xml:space="preserve"> y climatización</w:t>
      </w:r>
      <w:r>
        <w:rPr>
          <w:lang w:val="es-AR"/>
        </w:rPr>
        <w:t>,</w:t>
      </w:r>
      <w:r w:rsidRPr="00227E4D">
        <w:rPr>
          <w:lang w:val="es-AR"/>
        </w:rPr>
        <w:t xml:space="preserve"> después de </w:t>
      </w:r>
      <w:r>
        <w:rPr>
          <w:lang w:val="es-AR"/>
        </w:rPr>
        <w:t xml:space="preserve">terminada </w:t>
      </w:r>
      <w:r w:rsidRPr="00227E4D">
        <w:rPr>
          <w:lang w:val="es-AR"/>
        </w:rPr>
        <w:t xml:space="preserve">la capacitación </w:t>
      </w:r>
      <w:r>
        <w:rPr>
          <w:lang w:val="es-AR"/>
        </w:rPr>
        <w:t xml:space="preserve">sobre </w:t>
      </w:r>
      <w:r w:rsidRPr="00227E4D">
        <w:rPr>
          <w:lang w:val="es-AR"/>
        </w:rPr>
        <w:t xml:space="preserve">prácticas idóneas. </w:t>
      </w:r>
      <w:r>
        <w:rPr>
          <w:lang w:val="es-AR"/>
        </w:rPr>
        <w:t xml:space="preserve">Los </w:t>
      </w:r>
      <w:r w:rsidRPr="00227E4D">
        <w:rPr>
          <w:lang w:val="es-AR"/>
        </w:rPr>
        <w:t xml:space="preserve">cinco </w:t>
      </w:r>
      <w:r>
        <w:rPr>
          <w:lang w:val="es-AR"/>
        </w:rPr>
        <w:t>juegos restantes</w:t>
      </w:r>
      <w:r w:rsidRPr="00227E4D">
        <w:rPr>
          <w:lang w:val="es-AR"/>
        </w:rPr>
        <w:t xml:space="preserve"> se planean </w:t>
      </w:r>
      <w:r>
        <w:rPr>
          <w:lang w:val="es-AR"/>
        </w:rPr>
        <w:t xml:space="preserve">distribuir </w:t>
      </w:r>
      <w:r w:rsidRPr="00227E4D">
        <w:rPr>
          <w:lang w:val="es-AR"/>
        </w:rPr>
        <w:t xml:space="preserve">en la segunda mitad de 2021; </w:t>
      </w:r>
      <w:r>
        <w:rPr>
          <w:lang w:val="es-AR"/>
        </w:rPr>
        <w:t xml:space="preserve">se firmó </w:t>
      </w:r>
      <w:r w:rsidRPr="00227E4D">
        <w:rPr>
          <w:lang w:val="es-AR"/>
        </w:rPr>
        <w:t xml:space="preserve">un acuerdo </w:t>
      </w:r>
      <w:r>
        <w:rPr>
          <w:lang w:val="es-AR"/>
        </w:rPr>
        <w:t xml:space="preserve">para crear </w:t>
      </w:r>
      <w:r w:rsidRPr="00227E4D">
        <w:rPr>
          <w:lang w:val="es-AR"/>
        </w:rPr>
        <w:t xml:space="preserve">un </w:t>
      </w:r>
      <w:r>
        <w:rPr>
          <w:lang w:val="es-AR"/>
        </w:rPr>
        <w:t>c</w:t>
      </w:r>
      <w:r w:rsidRPr="00227E4D">
        <w:rPr>
          <w:lang w:val="es-AR"/>
        </w:rPr>
        <w:t xml:space="preserve">entro de regeneración (que ha recibido un aparato de </w:t>
      </w:r>
      <w:proofErr w:type="spellStart"/>
      <w:r w:rsidRPr="00227E4D">
        <w:rPr>
          <w:lang w:val="es-AR"/>
        </w:rPr>
        <w:t>mini</w:t>
      </w:r>
      <w:r>
        <w:rPr>
          <w:lang w:val="es-AR"/>
        </w:rPr>
        <w:t>r</w:t>
      </w:r>
      <w:r w:rsidRPr="00227E4D">
        <w:rPr>
          <w:lang w:val="es-AR"/>
        </w:rPr>
        <w:t>egeneración</w:t>
      </w:r>
      <w:proofErr w:type="spellEnd"/>
      <w:r w:rsidRPr="00227E4D">
        <w:rPr>
          <w:lang w:val="es-AR"/>
        </w:rPr>
        <w:t xml:space="preserve"> y herramientas </w:t>
      </w:r>
      <w:r>
        <w:rPr>
          <w:lang w:val="es-AR"/>
        </w:rPr>
        <w:t>conexas</w:t>
      </w:r>
      <w:r w:rsidRPr="00227E4D">
        <w:rPr>
          <w:lang w:val="es-AR"/>
        </w:rPr>
        <w:t xml:space="preserve">); </w:t>
      </w:r>
      <w:r>
        <w:rPr>
          <w:lang w:val="es-AR"/>
        </w:rPr>
        <w:t xml:space="preserve">se planificó </w:t>
      </w:r>
      <w:r w:rsidRPr="00227E4D">
        <w:rPr>
          <w:lang w:val="es-AR"/>
        </w:rPr>
        <w:t xml:space="preserve">la capacitación </w:t>
      </w:r>
      <w:r>
        <w:rPr>
          <w:lang w:val="es-AR"/>
        </w:rPr>
        <w:t>d</w:t>
      </w:r>
      <w:r w:rsidRPr="00227E4D">
        <w:rPr>
          <w:lang w:val="es-AR"/>
        </w:rPr>
        <w:t xml:space="preserve">el personal del </w:t>
      </w:r>
      <w:r>
        <w:rPr>
          <w:lang w:val="es-AR"/>
        </w:rPr>
        <w:t>c</w:t>
      </w:r>
      <w:r w:rsidRPr="00227E4D">
        <w:rPr>
          <w:lang w:val="es-AR"/>
        </w:rPr>
        <w:t>entro de regeneración; y</w:t>
      </w:r>
      <w:r>
        <w:rPr>
          <w:lang w:val="es-AR"/>
        </w:rPr>
        <w:t xml:space="preserve"> se terminaron</w:t>
      </w:r>
      <w:r w:rsidRPr="00227E4D">
        <w:rPr>
          <w:lang w:val="es-AR"/>
        </w:rPr>
        <w:t xml:space="preserve"> los requisitos de </w:t>
      </w:r>
      <w:r>
        <w:rPr>
          <w:lang w:val="es-AR"/>
        </w:rPr>
        <w:t xml:space="preserve">las </w:t>
      </w:r>
      <w:r w:rsidRPr="00227E4D">
        <w:rPr>
          <w:lang w:val="es-AR"/>
        </w:rPr>
        <w:t>adquisici</w:t>
      </w:r>
      <w:r>
        <w:rPr>
          <w:lang w:val="es-AR"/>
        </w:rPr>
        <w:t>ones</w:t>
      </w:r>
      <w:r w:rsidRPr="00227E4D">
        <w:rPr>
          <w:lang w:val="es-AR"/>
        </w:rPr>
        <w:t xml:space="preserve"> para </w:t>
      </w:r>
      <w:r>
        <w:rPr>
          <w:lang w:val="es-AR"/>
        </w:rPr>
        <w:t>que funcionen eficazmente</w:t>
      </w:r>
      <w:r w:rsidRPr="00227E4D">
        <w:rPr>
          <w:lang w:val="es-AR"/>
        </w:rPr>
        <w:t>.</w:t>
      </w:r>
    </w:p>
    <w:p w14:paraId="588163F4" w14:textId="77777777" w:rsidR="00EE6440" w:rsidRPr="00227E4D" w:rsidRDefault="00EE6440" w:rsidP="00EE6440">
      <w:pPr>
        <w:pStyle w:val="Heading1"/>
        <w:rPr>
          <w:color w:val="000000" w:themeColor="text1"/>
          <w:spacing w:val="-4"/>
          <w:lang w:val="es-AR"/>
        </w:rPr>
      </w:pPr>
      <w:r w:rsidRPr="00227E4D">
        <w:rPr>
          <w:lang w:val="es-AR"/>
        </w:rPr>
        <w:t>D</w:t>
      </w:r>
      <w:r>
        <w:rPr>
          <w:lang w:val="es-AR"/>
        </w:rPr>
        <w:t xml:space="preserve">esde </w:t>
      </w:r>
      <w:r w:rsidRPr="00227E4D">
        <w:rPr>
          <w:lang w:val="es-AR"/>
        </w:rPr>
        <w:t>la aprobación del cuarto tramo</w:t>
      </w:r>
      <w:r>
        <w:rPr>
          <w:lang w:val="es-AR"/>
        </w:rPr>
        <w:t>,</w:t>
      </w:r>
      <w:r w:rsidRPr="00227E4D">
        <w:rPr>
          <w:lang w:val="es-AR"/>
        </w:rPr>
        <w:t xml:space="preserve"> en la </w:t>
      </w:r>
      <w:r>
        <w:rPr>
          <w:lang w:val="es-AR"/>
        </w:rPr>
        <w:t xml:space="preserve">85ª </w:t>
      </w:r>
      <w:r w:rsidRPr="00227E4D">
        <w:rPr>
          <w:lang w:val="es-AR"/>
        </w:rPr>
        <w:t xml:space="preserve">reunión, el PNUMA y el PNUD </w:t>
      </w:r>
      <w:r>
        <w:rPr>
          <w:lang w:val="es-AR"/>
        </w:rPr>
        <w:t xml:space="preserve">presentaron </w:t>
      </w:r>
      <w:r w:rsidRPr="00227E4D">
        <w:rPr>
          <w:lang w:val="es-AR"/>
        </w:rPr>
        <w:t xml:space="preserve">respectivamente al gobierno de Brunei Darussalam un acuerdo de financiación a pequeña escala y una carta del </w:t>
      </w:r>
      <w:r>
        <w:rPr>
          <w:lang w:val="es-AR"/>
        </w:rPr>
        <w:t>a</w:t>
      </w:r>
      <w:r w:rsidRPr="00227E4D">
        <w:rPr>
          <w:lang w:val="es-AR"/>
        </w:rPr>
        <w:t xml:space="preserve">cuerdo, especificando las responsabilidades legales de ejecución y </w:t>
      </w:r>
      <w:r>
        <w:rPr>
          <w:lang w:val="es-AR"/>
        </w:rPr>
        <w:t>presentación de informes</w:t>
      </w:r>
      <w:r w:rsidRPr="00227E4D">
        <w:rPr>
          <w:lang w:val="es-AR"/>
        </w:rPr>
        <w:t>. El país</w:t>
      </w:r>
      <w:r>
        <w:rPr>
          <w:lang w:val="es-AR"/>
        </w:rPr>
        <w:t xml:space="preserve"> </w:t>
      </w:r>
      <w:r w:rsidRPr="00227E4D">
        <w:rPr>
          <w:lang w:val="es-AR"/>
        </w:rPr>
        <w:t>tiene procedimientos internos para aprobar</w:t>
      </w:r>
      <w:r>
        <w:rPr>
          <w:lang w:val="es-AR"/>
        </w:rPr>
        <w:t>, proyecto por proyecto,</w:t>
      </w:r>
      <w:r w:rsidRPr="00227E4D">
        <w:rPr>
          <w:lang w:val="es-AR"/>
        </w:rPr>
        <w:t xml:space="preserve"> la firma de acuerdos con una </w:t>
      </w:r>
      <w:r w:rsidRPr="00227E4D">
        <w:rPr>
          <w:lang w:val="es-AR"/>
        </w:rPr>
        <w:lastRenderedPageBreak/>
        <w:t xml:space="preserve">organización internacional Las restricciones </w:t>
      </w:r>
      <w:r>
        <w:rPr>
          <w:lang w:val="es-AR"/>
        </w:rPr>
        <w:t>de desplazamientos,</w:t>
      </w:r>
      <w:r w:rsidRPr="00227E4D">
        <w:rPr>
          <w:lang w:val="es-AR"/>
        </w:rPr>
        <w:t xml:space="preserve"> impuest</w:t>
      </w:r>
      <w:r>
        <w:rPr>
          <w:lang w:val="es-AR"/>
        </w:rPr>
        <w:t>as</w:t>
      </w:r>
      <w:r w:rsidRPr="00227E4D">
        <w:rPr>
          <w:lang w:val="es-AR"/>
        </w:rPr>
        <w:t xml:space="preserve"> por el gobierno debido a la pandemia del COVID-19</w:t>
      </w:r>
      <w:r>
        <w:rPr>
          <w:lang w:val="es-AR"/>
        </w:rPr>
        <w:t>,</w:t>
      </w:r>
      <w:r w:rsidRPr="00227E4D">
        <w:rPr>
          <w:lang w:val="es-AR"/>
        </w:rPr>
        <w:t xml:space="preserve"> </w:t>
      </w:r>
      <w:r>
        <w:rPr>
          <w:lang w:val="es-AR"/>
        </w:rPr>
        <w:t xml:space="preserve">retrasaron </w:t>
      </w:r>
      <w:r w:rsidRPr="00227E4D">
        <w:rPr>
          <w:lang w:val="es-AR"/>
        </w:rPr>
        <w:t>la consulta y el proceso de aprobación internos. El proceso de</w:t>
      </w:r>
      <w:r>
        <w:rPr>
          <w:lang w:val="es-AR"/>
        </w:rPr>
        <w:t xml:space="preserve"> examen </w:t>
      </w:r>
      <w:r w:rsidRPr="00227E4D">
        <w:rPr>
          <w:lang w:val="es-AR"/>
        </w:rPr>
        <w:t xml:space="preserve">interno </w:t>
      </w:r>
      <w:r>
        <w:rPr>
          <w:lang w:val="es-AR"/>
        </w:rPr>
        <w:t xml:space="preserve">se encuentra </w:t>
      </w:r>
      <w:r w:rsidRPr="00227E4D">
        <w:rPr>
          <w:lang w:val="es-AR"/>
        </w:rPr>
        <w:t xml:space="preserve">actualmente en </w:t>
      </w:r>
      <w:r>
        <w:rPr>
          <w:lang w:val="es-AR"/>
        </w:rPr>
        <w:t xml:space="preserve">la última etapa </w:t>
      </w:r>
      <w:r w:rsidRPr="00227E4D">
        <w:rPr>
          <w:lang w:val="es-AR"/>
        </w:rPr>
        <w:t xml:space="preserve">para la aprobación </w:t>
      </w:r>
      <w:r>
        <w:rPr>
          <w:lang w:val="es-AR"/>
        </w:rPr>
        <w:t>por la oficina del Primer Ministro</w:t>
      </w:r>
      <w:r w:rsidRPr="00227E4D">
        <w:rPr>
          <w:color w:val="000000" w:themeColor="text1"/>
          <w:lang w:val="es-AR"/>
        </w:rPr>
        <w:t>.</w:t>
      </w:r>
      <w:r w:rsidRPr="00227E4D">
        <w:rPr>
          <w:lang w:val="es-AR"/>
        </w:rPr>
        <w:t xml:space="preserve"> </w:t>
      </w:r>
      <w:r>
        <w:rPr>
          <w:lang w:val="es-AR"/>
        </w:rPr>
        <w:t>E</w:t>
      </w:r>
      <w:r w:rsidRPr="00227E4D">
        <w:rPr>
          <w:color w:val="000000" w:themeColor="text1"/>
          <w:lang w:val="es-AR"/>
        </w:rPr>
        <w:t>l PNUMA estim</w:t>
      </w:r>
      <w:r>
        <w:rPr>
          <w:color w:val="000000" w:themeColor="text1"/>
          <w:lang w:val="es-AR"/>
        </w:rPr>
        <w:t xml:space="preserve">ó </w:t>
      </w:r>
      <w:r w:rsidRPr="00227E4D">
        <w:rPr>
          <w:color w:val="000000" w:themeColor="text1"/>
          <w:lang w:val="es-AR"/>
        </w:rPr>
        <w:t>que estos acuerdos se</w:t>
      </w:r>
      <w:r>
        <w:rPr>
          <w:color w:val="000000" w:themeColor="text1"/>
          <w:lang w:val="es-AR"/>
        </w:rPr>
        <w:t xml:space="preserve"> firmarían </w:t>
      </w:r>
      <w:r w:rsidRPr="00227E4D">
        <w:rPr>
          <w:color w:val="000000" w:themeColor="text1"/>
          <w:lang w:val="es-AR"/>
        </w:rPr>
        <w:t>en junio de 2021</w:t>
      </w:r>
      <w:r>
        <w:rPr>
          <w:color w:val="000000" w:themeColor="text1"/>
          <w:lang w:val="es-AR"/>
        </w:rPr>
        <w:t xml:space="preserve"> y que </w:t>
      </w:r>
      <w:r w:rsidRPr="00227E4D">
        <w:rPr>
          <w:color w:val="000000" w:themeColor="text1"/>
          <w:lang w:val="es-AR"/>
        </w:rPr>
        <w:t>la ejecución comenza</w:t>
      </w:r>
      <w:r>
        <w:rPr>
          <w:color w:val="000000" w:themeColor="text1"/>
          <w:lang w:val="es-AR"/>
        </w:rPr>
        <w:t>ría</w:t>
      </w:r>
      <w:r w:rsidRPr="00227E4D">
        <w:rPr>
          <w:color w:val="000000" w:themeColor="text1"/>
          <w:lang w:val="es-AR"/>
        </w:rPr>
        <w:t xml:space="preserve"> después de firma.</w:t>
      </w:r>
    </w:p>
    <w:p w14:paraId="76E4612D" w14:textId="77777777" w:rsidR="00EE6440" w:rsidRPr="00227E4D" w:rsidRDefault="00EE6440" w:rsidP="00EE6440">
      <w:pPr>
        <w:keepNext/>
        <w:keepLines/>
        <w:spacing w:after="240"/>
        <w:outlineLvl w:val="0"/>
        <w:rPr>
          <w:color w:val="000000" w:themeColor="text1"/>
          <w:u w:val="single"/>
          <w:lang w:val="es-AR"/>
        </w:rPr>
      </w:pPr>
      <w:r>
        <w:rPr>
          <w:color w:val="000000" w:themeColor="text1"/>
          <w:u w:val="single"/>
          <w:lang w:val="es-AR"/>
        </w:rPr>
        <w:t>D</w:t>
      </w:r>
      <w:r w:rsidRPr="00227E4D">
        <w:rPr>
          <w:color w:val="000000" w:themeColor="text1"/>
          <w:u w:val="single"/>
          <w:lang w:val="es-AR"/>
        </w:rPr>
        <w:t>esembolso de fondo</w:t>
      </w:r>
      <w:r>
        <w:rPr>
          <w:color w:val="000000" w:themeColor="text1"/>
          <w:u w:val="single"/>
          <w:lang w:val="es-AR"/>
        </w:rPr>
        <w:t>s</w:t>
      </w:r>
    </w:p>
    <w:p w14:paraId="3270FDE0" w14:textId="77777777" w:rsidR="00EE6440" w:rsidRPr="00227E4D" w:rsidRDefault="00EE6440" w:rsidP="00EE6440">
      <w:pPr>
        <w:numPr>
          <w:ilvl w:val="0"/>
          <w:numId w:val="1"/>
        </w:numPr>
        <w:spacing w:after="240"/>
        <w:outlineLvl w:val="0"/>
        <w:rPr>
          <w:color w:val="000000" w:themeColor="text1"/>
          <w:lang w:val="es-AR"/>
        </w:rPr>
      </w:pPr>
      <w:r w:rsidRPr="00227E4D">
        <w:rPr>
          <w:color w:val="000000" w:themeColor="text1"/>
          <w:lang w:val="es-AR"/>
        </w:rPr>
        <w:t>En abril de 2020, de</w:t>
      </w:r>
      <w:r>
        <w:rPr>
          <w:color w:val="000000" w:themeColor="text1"/>
          <w:lang w:val="es-AR"/>
        </w:rPr>
        <w:t xml:space="preserve"> los</w:t>
      </w:r>
      <w:r w:rsidRPr="00227E4D">
        <w:rPr>
          <w:color w:val="000000" w:themeColor="text1"/>
          <w:lang w:val="es-AR"/>
        </w:rPr>
        <w:t xml:space="preserve"> $EUA 315 000 aprobados hasta el momento,</w:t>
      </w:r>
      <w:r>
        <w:rPr>
          <w:color w:val="000000" w:themeColor="text1"/>
          <w:lang w:val="es-AR"/>
        </w:rPr>
        <w:t xml:space="preserve"> el PNUMA había desembolsado</w:t>
      </w:r>
      <w:r w:rsidRPr="00227E4D">
        <w:rPr>
          <w:color w:val="000000" w:themeColor="text1"/>
          <w:lang w:val="es-AR"/>
        </w:rPr>
        <w:t xml:space="preserve"> $EUA 151 523 y </w:t>
      </w:r>
      <w:r>
        <w:rPr>
          <w:color w:val="000000" w:themeColor="text1"/>
          <w:lang w:val="es-AR"/>
        </w:rPr>
        <w:t xml:space="preserve">el PNUD, </w:t>
      </w:r>
      <w:r w:rsidRPr="00227E4D">
        <w:rPr>
          <w:color w:val="000000" w:themeColor="text1"/>
          <w:lang w:val="es-AR"/>
        </w:rPr>
        <w:t>$EUA 120 710.</w:t>
      </w:r>
      <w:r w:rsidRPr="00227E4D">
        <w:rPr>
          <w:lang w:val="es-AR"/>
        </w:rPr>
        <w:t xml:space="preserve"> </w:t>
      </w:r>
    </w:p>
    <w:p w14:paraId="33C83E09" w14:textId="77777777" w:rsidR="00EE6440" w:rsidRPr="00227E4D" w:rsidRDefault="00EE6440" w:rsidP="00EE6440">
      <w:pPr>
        <w:keepNext/>
        <w:spacing w:after="240"/>
        <w:rPr>
          <w:b/>
          <w:lang w:val="es-AR"/>
        </w:rPr>
      </w:pPr>
      <w:r>
        <w:rPr>
          <w:b/>
          <w:lang w:val="es-AR"/>
        </w:rPr>
        <w:t>O</w:t>
      </w:r>
      <w:r w:rsidRPr="00227E4D">
        <w:rPr>
          <w:b/>
          <w:lang w:val="es-AR"/>
        </w:rPr>
        <w:t>bservaciones de la Secretaría</w:t>
      </w:r>
    </w:p>
    <w:p w14:paraId="2400B9EF" w14:textId="77777777" w:rsidR="00EE6440" w:rsidRPr="00227E4D" w:rsidRDefault="00EE6440" w:rsidP="00EE6440">
      <w:pPr>
        <w:numPr>
          <w:ilvl w:val="0"/>
          <w:numId w:val="1"/>
        </w:numPr>
        <w:spacing w:after="240"/>
        <w:outlineLvl w:val="0"/>
        <w:rPr>
          <w:lang w:val="es-AR"/>
        </w:rPr>
      </w:pPr>
      <w:r w:rsidRPr="00227E4D">
        <w:rPr>
          <w:lang w:val="es-AR"/>
        </w:rPr>
        <w:t xml:space="preserve">La Secretaría </w:t>
      </w:r>
      <w:r>
        <w:rPr>
          <w:lang w:val="es-AR"/>
        </w:rPr>
        <w:t xml:space="preserve">toma nota de </w:t>
      </w:r>
      <w:r w:rsidRPr="00227E4D">
        <w:rPr>
          <w:lang w:val="es-AR"/>
        </w:rPr>
        <w:t xml:space="preserve">los esfuerzos emprendidos por el gobierno de Brunei Darussalam, el PNUMA y el PNUD </w:t>
      </w:r>
      <w:r>
        <w:rPr>
          <w:lang w:val="es-AR"/>
        </w:rPr>
        <w:t xml:space="preserve">para </w:t>
      </w:r>
      <w:r w:rsidRPr="00227E4D">
        <w:rPr>
          <w:lang w:val="es-AR"/>
        </w:rPr>
        <w:t>ejecutar las actividades previstas en el cuarto tramo de la etapa I del plan de gestión de eliminación de los HCFC</w:t>
      </w:r>
      <w:r>
        <w:rPr>
          <w:lang w:val="es-AR"/>
        </w:rPr>
        <w:t xml:space="preserve"> para </w:t>
      </w:r>
      <w:r w:rsidRPr="00227E4D">
        <w:rPr>
          <w:lang w:val="es-AR"/>
        </w:rPr>
        <w:t xml:space="preserve">el 31 de diciembre 2021. </w:t>
      </w:r>
      <w:r>
        <w:rPr>
          <w:lang w:val="es-AR"/>
        </w:rPr>
        <w:t xml:space="preserve">No </w:t>
      </w:r>
      <w:proofErr w:type="gramStart"/>
      <w:r>
        <w:rPr>
          <w:lang w:val="es-AR"/>
        </w:rPr>
        <w:t>obstante</w:t>
      </w:r>
      <w:proofErr w:type="gramEnd"/>
      <w:r>
        <w:rPr>
          <w:lang w:val="es-AR"/>
        </w:rPr>
        <w:t xml:space="preserve"> </w:t>
      </w:r>
      <w:r w:rsidRPr="00227E4D">
        <w:rPr>
          <w:lang w:val="es-AR"/>
        </w:rPr>
        <w:t xml:space="preserve">esos esfuerzos, </w:t>
      </w:r>
      <w:r>
        <w:rPr>
          <w:lang w:val="es-AR"/>
        </w:rPr>
        <w:t xml:space="preserve">se anticipa </w:t>
      </w:r>
      <w:r w:rsidRPr="00227E4D">
        <w:rPr>
          <w:lang w:val="es-AR"/>
        </w:rPr>
        <w:t>que el proyecto no se</w:t>
      </w:r>
      <w:r>
        <w:rPr>
          <w:lang w:val="es-AR"/>
        </w:rPr>
        <w:t xml:space="preserve"> terminará para</w:t>
      </w:r>
      <w:r w:rsidRPr="00227E4D">
        <w:rPr>
          <w:lang w:val="es-AR"/>
        </w:rPr>
        <w:t xml:space="preserve"> fines de 2021</w:t>
      </w:r>
      <w:r>
        <w:rPr>
          <w:lang w:val="es-AR"/>
        </w:rPr>
        <w:t>,</w:t>
      </w:r>
      <w:r w:rsidRPr="00227E4D">
        <w:rPr>
          <w:lang w:val="es-AR"/>
        </w:rPr>
        <w:t xml:space="preserve"> debido a los retrasos asociados a la pandemia del COVID-19. </w:t>
      </w:r>
      <w:r>
        <w:rPr>
          <w:lang w:val="es-AR"/>
        </w:rPr>
        <w:t>E</w:t>
      </w:r>
      <w:r w:rsidRPr="00227E4D">
        <w:rPr>
          <w:lang w:val="es-AR"/>
        </w:rPr>
        <w:t>l PNUMA explicó que durante el pico de COVID-19, Brunei Darussalam no p</w:t>
      </w:r>
      <w:r>
        <w:rPr>
          <w:lang w:val="es-AR"/>
        </w:rPr>
        <w:t xml:space="preserve">udo tener grandes reuniones </w:t>
      </w:r>
      <w:r w:rsidRPr="00227E4D">
        <w:rPr>
          <w:lang w:val="es-AR"/>
        </w:rPr>
        <w:t xml:space="preserve">según </w:t>
      </w:r>
      <w:r>
        <w:rPr>
          <w:lang w:val="es-AR"/>
        </w:rPr>
        <w:t>las directrices de</w:t>
      </w:r>
      <w:r w:rsidRPr="00227E4D">
        <w:rPr>
          <w:lang w:val="es-AR"/>
        </w:rPr>
        <w:t xml:space="preserve">l </w:t>
      </w:r>
      <w:r>
        <w:rPr>
          <w:lang w:val="es-AR"/>
        </w:rPr>
        <w:t>M</w:t>
      </w:r>
      <w:r w:rsidRPr="00227E4D">
        <w:rPr>
          <w:lang w:val="es-AR"/>
        </w:rPr>
        <w:t xml:space="preserve">inisterio de </w:t>
      </w:r>
      <w:r>
        <w:rPr>
          <w:lang w:val="es-AR"/>
        </w:rPr>
        <w:t>S</w:t>
      </w:r>
      <w:r w:rsidRPr="00227E4D">
        <w:rPr>
          <w:lang w:val="es-AR"/>
        </w:rPr>
        <w:t xml:space="preserve">alud, </w:t>
      </w:r>
      <w:r>
        <w:rPr>
          <w:lang w:val="es-AR"/>
        </w:rPr>
        <w:t xml:space="preserve">lo que retrasó </w:t>
      </w:r>
      <w:r w:rsidRPr="00227E4D">
        <w:rPr>
          <w:lang w:val="es-AR"/>
        </w:rPr>
        <w:t xml:space="preserve">la ejecución de las actividades previstas. Por otra parte, las restricciones de viaje bloquearon </w:t>
      </w:r>
      <w:r>
        <w:rPr>
          <w:lang w:val="es-AR"/>
        </w:rPr>
        <w:t xml:space="preserve">la contratación </w:t>
      </w:r>
      <w:r w:rsidRPr="00227E4D">
        <w:rPr>
          <w:lang w:val="es-AR"/>
        </w:rPr>
        <w:t>del experto regional para</w:t>
      </w:r>
      <w:r>
        <w:rPr>
          <w:lang w:val="es-AR"/>
        </w:rPr>
        <w:t xml:space="preserve"> llevar a cabo</w:t>
      </w:r>
      <w:r w:rsidRPr="00227E4D">
        <w:rPr>
          <w:lang w:val="es-AR"/>
        </w:rPr>
        <w:t xml:space="preserve"> la capacitación de técnico</w:t>
      </w:r>
      <w:r>
        <w:rPr>
          <w:lang w:val="es-AR"/>
        </w:rPr>
        <w:t>s</w:t>
      </w:r>
      <w:r w:rsidRPr="00227E4D">
        <w:rPr>
          <w:lang w:val="es-AR"/>
        </w:rPr>
        <w:t xml:space="preserve"> en </w:t>
      </w:r>
      <w:r>
        <w:rPr>
          <w:lang w:val="es-AR"/>
        </w:rPr>
        <w:t>el manejo</w:t>
      </w:r>
      <w:r w:rsidRPr="00227E4D">
        <w:rPr>
          <w:lang w:val="es-AR"/>
        </w:rPr>
        <w:t xml:space="preserve"> de refrigerantes inflamables y los módulos</w:t>
      </w:r>
      <w:r>
        <w:rPr>
          <w:lang w:val="es-AR"/>
        </w:rPr>
        <w:t xml:space="preserve"> de regeneración de</w:t>
      </w:r>
      <w:r w:rsidRPr="00227E4D">
        <w:rPr>
          <w:lang w:val="es-AR"/>
        </w:rPr>
        <w:t xml:space="preserve"> refrigerantes. Además, los acuerdos de financiación a pequeña escala se</w:t>
      </w:r>
      <w:r>
        <w:rPr>
          <w:lang w:val="es-AR"/>
        </w:rPr>
        <w:t xml:space="preserve"> firmarían </w:t>
      </w:r>
      <w:r w:rsidRPr="00227E4D">
        <w:rPr>
          <w:lang w:val="es-AR"/>
        </w:rPr>
        <w:t xml:space="preserve">en junio de 2021. </w:t>
      </w:r>
      <w:r>
        <w:rPr>
          <w:lang w:val="es-AR"/>
        </w:rPr>
        <w:t>Una p</w:t>
      </w:r>
      <w:r w:rsidRPr="00227E4D">
        <w:rPr>
          <w:lang w:val="es-AR"/>
        </w:rPr>
        <w:t xml:space="preserve">rórroga de un año </w:t>
      </w:r>
      <w:r>
        <w:rPr>
          <w:lang w:val="es-AR"/>
        </w:rPr>
        <w:t xml:space="preserve">más </w:t>
      </w:r>
      <w:r w:rsidRPr="00227E4D">
        <w:rPr>
          <w:lang w:val="es-AR"/>
        </w:rPr>
        <w:t xml:space="preserve">permitiría al gobierno, el PNUMA y el PNUD terminar las actividades restantes en el cuarto tramo. </w:t>
      </w:r>
    </w:p>
    <w:p w14:paraId="4AE9D76C" w14:textId="77777777" w:rsidR="00EE6440" w:rsidRPr="00227E4D" w:rsidRDefault="00EE6440" w:rsidP="00EE6440">
      <w:pPr>
        <w:spacing w:after="240"/>
        <w:rPr>
          <w:b/>
          <w:lang w:val="es-AR"/>
        </w:rPr>
      </w:pPr>
      <w:r w:rsidRPr="00227E4D">
        <w:rPr>
          <w:b/>
          <w:lang w:val="es-AR"/>
        </w:rPr>
        <w:t>Recomendación</w:t>
      </w:r>
    </w:p>
    <w:p w14:paraId="07FA1CA9" w14:textId="77777777" w:rsidR="00EE6440" w:rsidRPr="00227E4D" w:rsidRDefault="00EE6440" w:rsidP="00EE6440">
      <w:pPr>
        <w:numPr>
          <w:ilvl w:val="0"/>
          <w:numId w:val="1"/>
        </w:numPr>
        <w:spacing w:after="240"/>
        <w:outlineLvl w:val="0"/>
        <w:rPr>
          <w:lang w:val="es-AR"/>
        </w:rPr>
      </w:pPr>
      <w:r w:rsidRPr="00227E4D">
        <w:rPr>
          <w:lang w:val="es-AR"/>
        </w:rPr>
        <w:t>El Comité Ejecutivo podría:</w:t>
      </w:r>
    </w:p>
    <w:p w14:paraId="212A2B61" w14:textId="77777777" w:rsidR="00EE6440" w:rsidRPr="00227E4D" w:rsidRDefault="00EE6440" w:rsidP="00EE6440">
      <w:pPr>
        <w:widowControl w:val="0"/>
        <w:numPr>
          <w:ilvl w:val="1"/>
          <w:numId w:val="1"/>
        </w:numPr>
        <w:tabs>
          <w:tab w:val="num" w:pos="557"/>
        </w:tabs>
        <w:spacing w:after="240"/>
        <w:outlineLvl w:val="1"/>
        <w:rPr>
          <w:lang w:val="es-AR"/>
        </w:rPr>
      </w:pPr>
      <w:r>
        <w:rPr>
          <w:lang w:val="es-AR"/>
        </w:rPr>
        <w:t>Tomar nota d</w:t>
      </w:r>
      <w:r w:rsidRPr="00227E4D">
        <w:rPr>
          <w:lang w:val="es-AR"/>
        </w:rPr>
        <w:t xml:space="preserve">el informe sobre la marcha de las actividades relativo a la ejecución del programa de trabajo asociado a la etapa I </w:t>
      </w:r>
      <w:r>
        <w:rPr>
          <w:lang w:val="es-AR"/>
        </w:rPr>
        <w:t>d</w:t>
      </w:r>
      <w:r w:rsidRPr="00227E4D">
        <w:rPr>
          <w:lang w:val="es-AR"/>
        </w:rPr>
        <w:t>el plan de gestión de eliminación de los HCFC para Brunei Darussalam y la petición de prórroga presentada por el PNUMA, que figura en el documento UNEP/OzL.Pro/ExCom/87/9;</w:t>
      </w:r>
    </w:p>
    <w:p w14:paraId="69CEF39D" w14:textId="77777777" w:rsidR="00EE6440" w:rsidRPr="00227E4D" w:rsidRDefault="00EE6440" w:rsidP="00EE6440">
      <w:pPr>
        <w:widowControl w:val="0"/>
        <w:numPr>
          <w:ilvl w:val="1"/>
          <w:numId w:val="1"/>
        </w:numPr>
        <w:tabs>
          <w:tab w:val="num" w:pos="557"/>
        </w:tabs>
        <w:spacing w:after="240"/>
        <w:outlineLvl w:val="1"/>
        <w:rPr>
          <w:lang w:val="es-AR"/>
        </w:rPr>
      </w:pPr>
      <w:r w:rsidRPr="00227E4D">
        <w:rPr>
          <w:lang w:val="es-AR"/>
        </w:rPr>
        <w:t>P</w:t>
      </w:r>
      <w:r>
        <w:rPr>
          <w:lang w:val="es-AR"/>
        </w:rPr>
        <w:t>rorrogar</w:t>
      </w:r>
      <w:r w:rsidRPr="00227E4D">
        <w:rPr>
          <w:lang w:val="es-AR"/>
        </w:rPr>
        <w:t xml:space="preserve"> </w:t>
      </w:r>
      <w:r>
        <w:rPr>
          <w:lang w:val="es-AR"/>
        </w:rPr>
        <w:t xml:space="preserve">excepcionalmente, </w:t>
      </w:r>
      <w:r w:rsidRPr="00227E4D">
        <w:rPr>
          <w:lang w:val="es-AR"/>
        </w:rPr>
        <w:t xml:space="preserve">debido a los retrasos impuestos por la pandemia del COVID-19, la fecha de terminación de la etapa I del plan de gestión de eliminación de los HCFC para Brunei Darussalam hasta el 31 de diciembre 2022, </w:t>
      </w:r>
      <w:r>
        <w:rPr>
          <w:lang w:val="es-AR"/>
        </w:rPr>
        <w:t xml:space="preserve">destacando </w:t>
      </w:r>
      <w:r w:rsidRPr="00227E4D">
        <w:rPr>
          <w:lang w:val="es-AR"/>
        </w:rPr>
        <w:t xml:space="preserve">que </w:t>
      </w:r>
      <w:r>
        <w:rPr>
          <w:lang w:val="es-AR"/>
        </w:rPr>
        <w:t xml:space="preserve">no se pediría ninguna otra </w:t>
      </w:r>
      <w:r w:rsidRPr="00227E4D">
        <w:rPr>
          <w:lang w:val="es-AR"/>
        </w:rPr>
        <w:t xml:space="preserve">prórroga; y </w:t>
      </w:r>
    </w:p>
    <w:p w14:paraId="4364C3E6" w14:textId="77777777" w:rsidR="00EE6440" w:rsidRPr="00227E4D" w:rsidRDefault="00EE6440" w:rsidP="00EE6440">
      <w:pPr>
        <w:keepNext/>
        <w:numPr>
          <w:ilvl w:val="1"/>
          <w:numId w:val="1"/>
        </w:numPr>
        <w:tabs>
          <w:tab w:val="num" w:pos="557"/>
        </w:tabs>
        <w:spacing w:after="240"/>
        <w:outlineLvl w:val="1"/>
        <w:rPr>
          <w:lang w:val="es-AR"/>
        </w:rPr>
      </w:pPr>
      <w:r w:rsidRPr="00227E4D">
        <w:rPr>
          <w:lang w:val="es-AR"/>
        </w:rPr>
        <w:t xml:space="preserve">Pedir al gobierno de Brunei Darussalam, el PNUMA y el PNUD </w:t>
      </w:r>
      <w:r>
        <w:rPr>
          <w:lang w:val="es-AR"/>
        </w:rPr>
        <w:t xml:space="preserve">que presenten </w:t>
      </w:r>
      <w:r w:rsidRPr="00227E4D">
        <w:rPr>
          <w:lang w:val="es-AR"/>
        </w:rPr>
        <w:t>un informe de terminación del proyecto a la primera reunión de 2023.</w:t>
      </w:r>
    </w:p>
    <w:p w14:paraId="27A63BC5" w14:textId="77777777" w:rsidR="0050128D" w:rsidRPr="006F2AE0" w:rsidRDefault="0050128D" w:rsidP="0050128D">
      <w:pPr>
        <w:spacing w:after="240"/>
        <w:ind w:left="1440" w:hanging="1440"/>
        <w:rPr>
          <w:b/>
          <w:lang w:val="es-ES"/>
        </w:rPr>
      </w:pPr>
      <w:r>
        <w:rPr>
          <w:b/>
          <w:bCs/>
          <w:lang w:val="es-PE"/>
        </w:rPr>
        <w:t>Antecedentes</w:t>
      </w:r>
    </w:p>
    <w:p w14:paraId="2F4FB30F" w14:textId="05BD06B2" w:rsidR="0050128D" w:rsidRPr="006F2AE0" w:rsidRDefault="0050128D" w:rsidP="0050128D">
      <w:pPr>
        <w:numPr>
          <w:ilvl w:val="0"/>
          <w:numId w:val="1"/>
        </w:numPr>
        <w:spacing w:after="240"/>
        <w:outlineLvl w:val="0"/>
        <w:rPr>
          <w:lang w:val="es-ES"/>
        </w:rPr>
      </w:pPr>
      <w:r>
        <w:rPr>
          <w:lang w:val="es-PE"/>
        </w:rPr>
        <w:t xml:space="preserve">En nombre del Gobierno de Chile, el PNUD, en calidad de organismo de ejecución principal, </w:t>
      </w:r>
      <w:r w:rsidRPr="0050128D">
        <w:rPr>
          <w:lang w:val="es-AR"/>
        </w:rPr>
        <w:t>presentó</w:t>
      </w:r>
      <w:r>
        <w:rPr>
          <w:lang w:val="es-PE"/>
        </w:rPr>
        <w:t xml:space="preserve"> el informe anual sobre la marcha de las actividades relativo a la ejecución del programa de trabajo relacionado con el tercer y último tramo de la etapa II del plan de gestión de la eliminación de los HCFC y un informe de verificación sobre el consumo de HCFC para 2019 y 2020, conforme a lo solicitado por el Comité Ejecutivo en el marco del proceso de aprobación entre períodos de sesiones para la 85ª reunión</w:t>
      </w:r>
      <w:r w:rsidR="009A2CFD">
        <w:rPr>
          <w:rStyle w:val="FootnoteReference"/>
          <w:lang w:val="es-PE"/>
        </w:rPr>
        <w:footnoteReference w:id="12"/>
      </w:r>
      <w:r>
        <w:rPr>
          <w:lang w:val="es-PE"/>
        </w:rPr>
        <w:t xml:space="preserve"> en mayo de 2020.</w:t>
      </w:r>
    </w:p>
    <w:p w14:paraId="1F950CA9" w14:textId="77777777" w:rsidR="0050128D" w:rsidRPr="006F2AE0" w:rsidRDefault="0050128D" w:rsidP="0050128D">
      <w:pPr>
        <w:spacing w:after="240"/>
        <w:jc w:val="left"/>
        <w:rPr>
          <w:i/>
          <w:lang w:val="es-ES"/>
        </w:rPr>
      </w:pPr>
      <w:r>
        <w:rPr>
          <w:i/>
          <w:iCs/>
          <w:lang w:val="es-PE"/>
        </w:rPr>
        <w:lastRenderedPageBreak/>
        <w:t>Consumo de HCFC</w:t>
      </w:r>
    </w:p>
    <w:p w14:paraId="34136A70" w14:textId="68140A5A" w:rsidR="0050128D" w:rsidRPr="006F2AE0" w:rsidRDefault="0050128D" w:rsidP="0050128D">
      <w:pPr>
        <w:numPr>
          <w:ilvl w:val="0"/>
          <w:numId w:val="1"/>
        </w:numPr>
        <w:spacing w:after="240"/>
        <w:outlineLvl w:val="0"/>
        <w:rPr>
          <w:rFonts w:eastAsia="SimSun"/>
          <w:lang w:val="es-ES" w:eastAsia="zh-CN"/>
        </w:rPr>
      </w:pPr>
      <w:r>
        <w:rPr>
          <w:lang w:val="es-PE"/>
        </w:rPr>
        <w:t xml:space="preserve">El Gobierno de Chile notificó un consumo de 27,0 toneladas PAO de HCFC en 2020, un 69 por ciento por debajo del nivel básico de cumplimiento de los HCFC y el 44 por ciento por debajo del nivel de consumo permitido en el Acuerdo con el Comité Ejecutivo. </w:t>
      </w:r>
    </w:p>
    <w:p w14:paraId="67E7299F" w14:textId="77777777" w:rsidR="0050128D" w:rsidRPr="006F2AE0" w:rsidRDefault="0050128D" w:rsidP="0050128D">
      <w:pPr>
        <w:keepNext/>
        <w:keepLines/>
        <w:tabs>
          <w:tab w:val="left" w:pos="6360"/>
        </w:tabs>
        <w:spacing w:after="240"/>
        <w:rPr>
          <w:i/>
          <w:lang w:val="es-ES"/>
        </w:rPr>
      </w:pPr>
      <w:r>
        <w:rPr>
          <w:i/>
          <w:iCs/>
          <w:lang w:val="es-PE"/>
        </w:rPr>
        <w:t>Informe de verificación</w:t>
      </w:r>
    </w:p>
    <w:p w14:paraId="2A3497EC" w14:textId="5C727867" w:rsidR="0050128D" w:rsidRPr="006F2AE0" w:rsidRDefault="0050128D" w:rsidP="0050128D">
      <w:pPr>
        <w:numPr>
          <w:ilvl w:val="0"/>
          <w:numId w:val="1"/>
        </w:numPr>
        <w:spacing w:after="240"/>
        <w:outlineLvl w:val="0"/>
        <w:rPr>
          <w:lang w:val="es-ES"/>
        </w:rPr>
      </w:pPr>
      <w:r>
        <w:rPr>
          <w:lang w:val="es-PE"/>
        </w:rPr>
        <w:t xml:space="preserve">En el informe de verificación se confirmó que el Gobierno de Chile estaba aplicando un sistema de otorgamiento de licencias y cupos para la importación y exportación de HCFC.  El consumo total de HCFC notificado con arreglo al artículo 7 del Protocolo de Montreal para 2019, de 32,21 toneladas PAO, fue 3,03 toneladas PAO inferior al consumo verificado de 35,24 toneladas PAO; la diferencia se debió a la inclusión de HCFC-141b contenido en los </w:t>
      </w:r>
      <w:proofErr w:type="spellStart"/>
      <w:r>
        <w:rPr>
          <w:lang w:val="es-PE"/>
        </w:rPr>
        <w:t>polioles</w:t>
      </w:r>
      <w:proofErr w:type="spellEnd"/>
      <w:r>
        <w:rPr>
          <w:lang w:val="es-PE"/>
        </w:rPr>
        <w:t xml:space="preserve"> premezclados importados en el consumo verificado. El consumo total notificado con arreglo al artículo 7, de 27,01 toneladas PAO de HCFC para 2020, fue conforme al consumo verificado. En el informe de verificación también se indicó que el Gobierno tenía una regulación sólida para el control de la importación de los HCFC y de todas las demás SAO.</w:t>
      </w:r>
    </w:p>
    <w:p w14:paraId="3EB5066F" w14:textId="77777777" w:rsidR="0050128D" w:rsidRPr="006F2AE0" w:rsidRDefault="0050128D" w:rsidP="0050128D">
      <w:pPr>
        <w:keepNext/>
        <w:spacing w:after="240"/>
        <w:jc w:val="left"/>
        <w:rPr>
          <w:i/>
          <w:lang w:val="es-ES"/>
        </w:rPr>
      </w:pPr>
      <w:r>
        <w:rPr>
          <w:i/>
          <w:iCs/>
          <w:lang w:val="es-PE"/>
        </w:rPr>
        <w:t>Marco jurídico</w:t>
      </w:r>
    </w:p>
    <w:p w14:paraId="41C4B806" w14:textId="4F439D1B" w:rsidR="0050128D" w:rsidRPr="006F2AE0" w:rsidRDefault="0050128D" w:rsidP="0050128D">
      <w:pPr>
        <w:numPr>
          <w:ilvl w:val="0"/>
          <w:numId w:val="1"/>
        </w:numPr>
        <w:spacing w:after="240"/>
        <w:outlineLvl w:val="0"/>
        <w:rPr>
          <w:lang w:val="es-ES"/>
        </w:rPr>
      </w:pPr>
      <w:r>
        <w:rPr>
          <w:lang w:val="es-PE"/>
        </w:rPr>
        <w:t xml:space="preserve">La prohibición de la importación y utilización de HCFC-141b en el sector de fabricación de espuma de poliuretano y de la importación y exportación de HCFC-141b contenido en </w:t>
      </w:r>
      <w:proofErr w:type="spellStart"/>
      <w:r>
        <w:rPr>
          <w:lang w:val="es-PE"/>
        </w:rPr>
        <w:t>polioles</w:t>
      </w:r>
      <w:proofErr w:type="spellEnd"/>
      <w:r>
        <w:rPr>
          <w:lang w:val="es-PE"/>
        </w:rPr>
        <w:t xml:space="preserve"> premezclados ha estado en vigor desde el 1º de enero de 2020. En el informe de verificación se ha informado sobre la ejecución de dicha prohibición, y en </w:t>
      </w:r>
      <w:proofErr w:type="spellStart"/>
      <w:r>
        <w:rPr>
          <w:lang w:val="es-PE"/>
        </w:rPr>
        <w:t>el</w:t>
      </w:r>
      <w:proofErr w:type="spellEnd"/>
      <w:r>
        <w:rPr>
          <w:lang w:val="es-PE"/>
        </w:rPr>
        <w:t xml:space="preserve"> se observó que no se había registrado ninguna importación de esa sustancia y que en las aduanas no se había detectado ningún posible intento de contrabando.</w:t>
      </w:r>
    </w:p>
    <w:p w14:paraId="32D4A701" w14:textId="4A2D9377" w:rsidR="0050128D" w:rsidRPr="006F2AE0" w:rsidRDefault="0050128D" w:rsidP="0050128D">
      <w:pPr>
        <w:numPr>
          <w:ilvl w:val="0"/>
          <w:numId w:val="1"/>
        </w:numPr>
        <w:spacing w:after="240"/>
        <w:outlineLvl w:val="0"/>
        <w:rPr>
          <w:lang w:val="es-ES"/>
        </w:rPr>
      </w:pPr>
      <w:r>
        <w:rPr>
          <w:lang w:val="es-PE"/>
        </w:rPr>
        <w:t xml:space="preserve">La actualización del código aduanero nacional de los HCFC, los HFC y sus alternativas, de sustancias puras, mezclas y </w:t>
      </w:r>
      <w:proofErr w:type="spellStart"/>
      <w:r>
        <w:rPr>
          <w:lang w:val="es-PE"/>
        </w:rPr>
        <w:t>polioles</w:t>
      </w:r>
      <w:proofErr w:type="spellEnd"/>
      <w:r>
        <w:rPr>
          <w:lang w:val="es-PE"/>
        </w:rPr>
        <w:t xml:space="preserve"> plenamente formulados culminó en 2020 y, a partir de enero de 2022, en la importación de esas sustancias controladas se utilizarán los códigos del Sistema Armonizado. La capacitación para los oficiales de aduanas no pudo impartirse en 2020, debido a la situación de pandemia.  En 2021, se facilitará en línea la parte teórica de la formación y, en el primer semestre de 2022, la capacitación será presencial.  </w:t>
      </w:r>
    </w:p>
    <w:p w14:paraId="2317AFA0" w14:textId="77777777" w:rsidR="0050128D" w:rsidRPr="006F2AE0" w:rsidRDefault="0050128D" w:rsidP="0050128D">
      <w:pPr>
        <w:pStyle w:val="Heading1"/>
        <w:widowControl w:val="0"/>
        <w:numPr>
          <w:ilvl w:val="0"/>
          <w:numId w:val="0"/>
        </w:numPr>
        <w:tabs>
          <w:tab w:val="left" w:pos="720"/>
        </w:tabs>
        <w:rPr>
          <w:lang w:val="es-ES"/>
        </w:rPr>
      </w:pPr>
      <w:r>
        <w:rPr>
          <w:i/>
          <w:iCs/>
          <w:lang w:val="es-PE"/>
        </w:rPr>
        <w:t>Sector de fabricación de espuma de poliuretano</w:t>
      </w:r>
    </w:p>
    <w:p w14:paraId="5EB953EE" w14:textId="5FC7E9CB" w:rsidR="0050128D" w:rsidRPr="006F2AE0" w:rsidRDefault="0050128D" w:rsidP="0050128D">
      <w:pPr>
        <w:numPr>
          <w:ilvl w:val="0"/>
          <w:numId w:val="1"/>
        </w:numPr>
        <w:spacing w:after="240"/>
        <w:outlineLvl w:val="0"/>
        <w:rPr>
          <w:lang w:val="es-ES"/>
        </w:rPr>
      </w:pPr>
      <w:r>
        <w:rPr>
          <w:lang w:val="es-PE"/>
        </w:rPr>
        <w:t xml:space="preserve">Antes de la presentación del tercer tramo, se procedió a la conversión </w:t>
      </w:r>
      <w:proofErr w:type="gramStart"/>
      <w:r>
        <w:rPr>
          <w:lang w:val="es-PE"/>
        </w:rPr>
        <w:t>de  los</w:t>
      </w:r>
      <w:proofErr w:type="gramEnd"/>
      <w:r>
        <w:rPr>
          <w:lang w:val="es-PE"/>
        </w:rPr>
        <w:t xml:space="preserve"> fabricantes de espumas a tecnologías alternativas siguientes: </w:t>
      </w:r>
    </w:p>
    <w:p w14:paraId="06D5C441" w14:textId="77777777" w:rsidR="0050128D" w:rsidRPr="0050128D" w:rsidRDefault="0050128D" w:rsidP="008E0FC9">
      <w:pPr>
        <w:pStyle w:val="Heading2"/>
        <w:numPr>
          <w:ilvl w:val="1"/>
          <w:numId w:val="8"/>
        </w:numPr>
        <w:tabs>
          <w:tab w:val="clear" w:pos="0"/>
        </w:tabs>
        <w:rPr>
          <w:lang w:val="es-ES"/>
        </w:rPr>
      </w:pPr>
      <w:r w:rsidRPr="0050128D">
        <w:rPr>
          <w:lang w:val="es-PE"/>
        </w:rPr>
        <w:t xml:space="preserve">dos empresas: </w:t>
      </w:r>
      <w:proofErr w:type="spellStart"/>
      <w:r w:rsidRPr="0050128D">
        <w:rPr>
          <w:lang w:val="es-PE"/>
        </w:rPr>
        <w:t>Inema</w:t>
      </w:r>
      <w:proofErr w:type="spellEnd"/>
      <w:r w:rsidRPr="0050128D">
        <w:rPr>
          <w:lang w:val="es-PE"/>
        </w:rPr>
        <w:t xml:space="preserve">, a </w:t>
      </w:r>
      <w:proofErr w:type="spellStart"/>
      <w:r w:rsidRPr="0050128D">
        <w:rPr>
          <w:lang w:val="es-PE"/>
        </w:rPr>
        <w:t>ciclopentano</w:t>
      </w:r>
      <w:proofErr w:type="spellEnd"/>
      <w:r w:rsidRPr="0050128D">
        <w:rPr>
          <w:lang w:val="es-PE"/>
        </w:rPr>
        <w:t xml:space="preserve">/HFO, y </w:t>
      </w:r>
      <w:proofErr w:type="spellStart"/>
      <w:r w:rsidRPr="0050128D">
        <w:rPr>
          <w:lang w:val="es-PE"/>
        </w:rPr>
        <w:t>Polchile</w:t>
      </w:r>
      <w:proofErr w:type="spellEnd"/>
      <w:r w:rsidRPr="0050128D">
        <w:rPr>
          <w:lang w:val="es-PE"/>
        </w:rPr>
        <w:t xml:space="preserve"> y Claudia Letelier F&amp;C, a tecnología de HFO, con una eliminación de 7,22 toneladas PAO (77,36 toneladas) de HCFC-141b; </w:t>
      </w:r>
    </w:p>
    <w:p w14:paraId="51D6AF94" w14:textId="77777777" w:rsidR="0050128D" w:rsidRPr="006F2AE0" w:rsidRDefault="0050128D" w:rsidP="0050128D">
      <w:pPr>
        <w:pStyle w:val="Heading2"/>
        <w:tabs>
          <w:tab w:val="clear" w:pos="0"/>
        </w:tabs>
        <w:rPr>
          <w:lang w:val="es-ES"/>
        </w:rPr>
      </w:pPr>
      <w:r>
        <w:rPr>
          <w:lang w:val="es-PE"/>
        </w:rPr>
        <w:t>dos pequeñas y medianas empresas (pymes) (</w:t>
      </w:r>
      <w:proofErr w:type="spellStart"/>
      <w:r>
        <w:rPr>
          <w:lang w:val="es-PE"/>
        </w:rPr>
        <w:t>Ingepur</w:t>
      </w:r>
      <w:proofErr w:type="spellEnd"/>
      <w:r>
        <w:rPr>
          <w:lang w:val="es-PE"/>
        </w:rPr>
        <w:t xml:space="preserve"> y Sociedad Aislaciones Térmicas), que antes formaron parte del grupo apoyado por Austral, con un consumo total de 1,03 toneladas PAO (9,36 toneladas) de HCFC-141b y una pequeña y mediana empresa (Fidel Valenzuela), que antes perteneció al grupo apoyado por </w:t>
      </w:r>
      <w:proofErr w:type="spellStart"/>
      <w:r>
        <w:rPr>
          <w:lang w:val="es-PE"/>
        </w:rPr>
        <w:t>Ixom</w:t>
      </w:r>
      <w:proofErr w:type="spellEnd"/>
      <w:r>
        <w:rPr>
          <w:lang w:val="es-PE"/>
        </w:rPr>
        <w:t>, con un consumo total de 0,26 toneladas PAO (2,36 toneladas) de HCFC-141b, completaron su conversión a la tecnología de HFO en calidad de “empresas independientes”, sin financiación adicional del Fondo Multilateral, y</w:t>
      </w:r>
    </w:p>
    <w:p w14:paraId="341AA2EC" w14:textId="77777777" w:rsidR="0050128D" w:rsidRPr="006F2AE0" w:rsidRDefault="0050128D" w:rsidP="0050128D">
      <w:pPr>
        <w:pStyle w:val="Heading2"/>
        <w:tabs>
          <w:tab w:val="clear" w:pos="0"/>
        </w:tabs>
        <w:rPr>
          <w:lang w:val="es-ES"/>
        </w:rPr>
      </w:pPr>
      <w:r>
        <w:rPr>
          <w:lang w:val="es-PE"/>
        </w:rPr>
        <w:t xml:space="preserve">veintisiete pequeñas y medianas empresas apoyadas por Austral (una de ellas, </w:t>
      </w:r>
      <w:proofErr w:type="spellStart"/>
      <w:r>
        <w:rPr>
          <w:lang w:val="es-PE"/>
        </w:rPr>
        <w:t>Victor</w:t>
      </w:r>
      <w:proofErr w:type="spellEnd"/>
      <w:r>
        <w:rPr>
          <w:lang w:val="es-PE"/>
        </w:rPr>
        <w:t xml:space="preserve"> </w:t>
      </w:r>
      <w:proofErr w:type="spellStart"/>
      <w:r>
        <w:rPr>
          <w:lang w:val="es-PE"/>
        </w:rPr>
        <w:t>Himmers</w:t>
      </w:r>
      <w:proofErr w:type="spellEnd"/>
      <w:r>
        <w:rPr>
          <w:lang w:val="es-PE"/>
        </w:rPr>
        <w:t xml:space="preserve">) pasaron de </w:t>
      </w:r>
      <w:proofErr w:type="spellStart"/>
      <w:r>
        <w:rPr>
          <w:lang w:val="es-PE"/>
        </w:rPr>
        <w:t>Ixom</w:t>
      </w:r>
      <w:proofErr w:type="spellEnd"/>
      <w:r>
        <w:rPr>
          <w:lang w:val="es-PE"/>
        </w:rPr>
        <w:t xml:space="preserve"> a Austral durante la ejecución del proyecto a la tecnología de HFO con una eliminación total de 6,37 toneladas PAO (57,91 toneladas) de HCFC-141b.</w:t>
      </w:r>
    </w:p>
    <w:p w14:paraId="7CE90F9F" w14:textId="36F97E9E" w:rsidR="0050128D" w:rsidRPr="006F2AE0" w:rsidRDefault="0050128D" w:rsidP="0050128D">
      <w:pPr>
        <w:numPr>
          <w:ilvl w:val="0"/>
          <w:numId w:val="1"/>
        </w:numPr>
        <w:spacing w:after="240"/>
        <w:outlineLvl w:val="0"/>
        <w:rPr>
          <w:lang w:val="es-ES"/>
        </w:rPr>
      </w:pPr>
      <w:r>
        <w:rPr>
          <w:lang w:val="es-PE"/>
        </w:rPr>
        <w:lastRenderedPageBreak/>
        <w:t>La conversión de las tres empresas restantes (</w:t>
      </w:r>
      <w:proofErr w:type="spellStart"/>
      <w:r>
        <w:rPr>
          <w:lang w:val="es-PE"/>
        </w:rPr>
        <w:t>Danica</w:t>
      </w:r>
      <w:proofErr w:type="spellEnd"/>
      <w:r>
        <w:rPr>
          <w:lang w:val="es-PE"/>
        </w:rPr>
        <w:t xml:space="preserve">, </w:t>
      </w:r>
      <w:proofErr w:type="spellStart"/>
      <w:r>
        <w:rPr>
          <w:lang w:val="es-PE"/>
        </w:rPr>
        <w:t>Refricentro</w:t>
      </w:r>
      <w:proofErr w:type="spellEnd"/>
      <w:r>
        <w:rPr>
          <w:lang w:val="es-PE"/>
        </w:rPr>
        <w:t xml:space="preserve"> y </w:t>
      </w:r>
      <w:proofErr w:type="spellStart"/>
      <w:r>
        <w:rPr>
          <w:lang w:val="es-PE"/>
        </w:rPr>
        <w:t>Superfrigo</w:t>
      </w:r>
      <w:proofErr w:type="spellEnd"/>
      <w:r>
        <w:rPr>
          <w:lang w:val="es-PE"/>
        </w:rPr>
        <w:t>) y un proveedor de sistemas (</w:t>
      </w:r>
      <w:proofErr w:type="spellStart"/>
      <w:r>
        <w:rPr>
          <w:lang w:val="es-PE"/>
        </w:rPr>
        <w:t>Ixom</w:t>
      </w:r>
      <w:proofErr w:type="spellEnd"/>
      <w:r>
        <w:rPr>
          <w:lang w:val="es-PE"/>
        </w:rPr>
        <w:t>, que en un principio abarcó la conversión de ocho pequeñas y medianas empresas</w:t>
      </w:r>
      <w:r>
        <w:rPr>
          <w:rStyle w:val="FootnoteReference"/>
          <w:lang w:val="es-PE"/>
        </w:rPr>
        <w:footnoteReference w:id="13"/>
      </w:r>
      <w:r>
        <w:rPr>
          <w:lang w:val="es-PE"/>
        </w:rPr>
        <w:t xml:space="preserve">) debía realizarse durante la ejecución del tercer tramo. En mayo de 2020, </w:t>
      </w:r>
      <w:proofErr w:type="spellStart"/>
      <w:r>
        <w:rPr>
          <w:lang w:val="es-PE"/>
        </w:rPr>
        <w:t>Superfrigo</w:t>
      </w:r>
      <w:proofErr w:type="spellEnd"/>
      <w:r>
        <w:rPr>
          <w:lang w:val="es-PE"/>
        </w:rPr>
        <w:t xml:space="preserve"> </w:t>
      </w:r>
      <w:r>
        <w:rPr>
          <w:color w:val="000000"/>
          <w:lang w:val="es-PE"/>
        </w:rPr>
        <w:t xml:space="preserve">envió una carta a la dependencia nacional del ozono en la que le comunicaba que se retiraba del proyecto; </w:t>
      </w:r>
      <w:proofErr w:type="spellStart"/>
      <w:r>
        <w:rPr>
          <w:lang w:val="es-PE"/>
        </w:rPr>
        <w:t>Danica</w:t>
      </w:r>
      <w:proofErr w:type="spellEnd"/>
      <w:r>
        <w:rPr>
          <w:lang w:val="es-PE"/>
        </w:rPr>
        <w:t xml:space="preserve"> y </w:t>
      </w:r>
      <w:proofErr w:type="spellStart"/>
      <w:r>
        <w:rPr>
          <w:lang w:val="es-PE"/>
        </w:rPr>
        <w:t>Refricentro</w:t>
      </w:r>
      <w:proofErr w:type="spellEnd"/>
      <w:r>
        <w:rPr>
          <w:lang w:val="es-PE"/>
        </w:rPr>
        <w:t xml:space="preserve"> finalizaron sus conversiones a </w:t>
      </w:r>
      <w:proofErr w:type="spellStart"/>
      <w:r>
        <w:rPr>
          <w:lang w:val="es-PE"/>
        </w:rPr>
        <w:t>hidrofluoroolefinas</w:t>
      </w:r>
      <w:proofErr w:type="spellEnd"/>
      <w:r>
        <w:rPr>
          <w:lang w:val="es-PE"/>
        </w:rPr>
        <w:t xml:space="preserve"> (HFO) en octubre y diciembre de 2020, respectivamente, con la eliminación de 4,16 toneladas PAO (37,82 toneladas) de HCFC-141b y, en julio de 2020, </w:t>
      </w:r>
      <w:proofErr w:type="spellStart"/>
      <w:r>
        <w:rPr>
          <w:lang w:val="es-PE"/>
        </w:rPr>
        <w:t>Ixom</w:t>
      </w:r>
      <w:proofErr w:type="spellEnd"/>
      <w:r>
        <w:rPr>
          <w:lang w:val="es-PE"/>
        </w:rPr>
        <w:t xml:space="preserve"> firmó un acuerdo con siete pequeñas y medianas empresas transformadoras, debiendo finalizar la conversión a la tecnología de HFO durante el segundo semestre de 2021.</w:t>
      </w:r>
    </w:p>
    <w:p w14:paraId="14094971" w14:textId="77777777" w:rsidR="0050128D" w:rsidRPr="006F2AE0" w:rsidRDefault="0050128D" w:rsidP="0050128D">
      <w:pPr>
        <w:keepNext/>
        <w:keepLines/>
        <w:jc w:val="left"/>
        <w:rPr>
          <w:i/>
          <w:lang w:val="es-ES"/>
        </w:rPr>
      </w:pPr>
      <w:r>
        <w:rPr>
          <w:i/>
          <w:iCs/>
          <w:lang w:val="es-PE"/>
        </w:rPr>
        <w:t>Sector de servicio y mantenimiento de equipos de refrigeración</w:t>
      </w:r>
    </w:p>
    <w:p w14:paraId="43531F22" w14:textId="77777777" w:rsidR="0050128D" w:rsidRPr="006F2AE0" w:rsidRDefault="0050128D" w:rsidP="0050128D">
      <w:pPr>
        <w:keepNext/>
        <w:keepLines/>
        <w:jc w:val="left"/>
        <w:rPr>
          <w:i/>
          <w:lang w:val="es-ES"/>
        </w:rPr>
      </w:pPr>
    </w:p>
    <w:p w14:paraId="66DE4632" w14:textId="7320B7C4" w:rsidR="0050128D" w:rsidRPr="006F2AE0" w:rsidRDefault="0050128D" w:rsidP="0050128D">
      <w:pPr>
        <w:numPr>
          <w:ilvl w:val="0"/>
          <w:numId w:val="1"/>
        </w:numPr>
        <w:spacing w:after="240"/>
        <w:outlineLvl w:val="0"/>
        <w:rPr>
          <w:lang w:val="es-ES"/>
        </w:rPr>
      </w:pPr>
      <w:r>
        <w:rPr>
          <w:lang w:val="es-PE"/>
        </w:rPr>
        <w:t>Se realizaron las actividades siguientes:</w:t>
      </w:r>
    </w:p>
    <w:p w14:paraId="7837ED1D" w14:textId="7ACB70EE" w:rsidR="0050128D" w:rsidRPr="0050128D" w:rsidRDefault="0050128D" w:rsidP="008E0FC9">
      <w:pPr>
        <w:pStyle w:val="Heading2"/>
        <w:numPr>
          <w:ilvl w:val="1"/>
          <w:numId w:val="8"/>
        </w:numPr>
        <w:tabs>
          <w:tab w:val="clear" w:pos="0"/>
        </w:tabs>
        <w:rPr>
          <w:lang w:val="es-PE"/>
        </w:rPr>
      </w:pPr>
      <w:r>
        <w:rPr>
          <w:lang w:val="es-ES"/>
        </w:rPr>
        <w:t>C</w:t>
      </w:r>
      <w:proofErr w:type="spellStart"/>
      <w:r>
        <w:rPr>
          <w:lang w:val="es-PE"/>
        </w:rPr>
        <w:t>inco</w:t>
      </w:r>
      <w:proofErr w:type="spellEnd"/>
      <w:r>
        <w:rPr>
          <w:lang w:val="es-PE"/>
        </w:rPr>
        <w:t xml:space="preserve"> cursos de capacitación en línea en buenas prácticas de refrigeración para 83 técnicos de refrigeración y climatización (entre ellos, 13 mujeres); la finalización y publicación de manuales de formación en buenas prácticas de refrigeración, y una formación en línea sobre alternativas al HCFC-141b para la descarga impartida a 100 participantes. Desde enero de 2020, cinco técnicos de refrigeración y climatización recibieron una certificación en la instalación de sistemas de refrigeración, y 101 técnicos recibieron una certificación en la instalación y el mantenimiento de equipos de refrigeración y aire acondicionado;</w:t>
      </w:r>
    </w:p>
    <w:p w14:paraId="14906288" w14:textId="31A75270" w:rsidR="0050128D" w:rsidRPr="0050128D" w:rsidRDefault="0050128D" w:rsidP="008E0FC9">
      <w:pPr>
        <w:pStyle w:val="Heading2"/>
        <w:numPr>
          <w:ilvl w:val="1"/>
          <w:numId w:val="8"/>
        </w:numPr>
        <w:tabs>
          <w:tab w:val="clear" w:pos="0"/>
        </w:tabs>
        <w:rPr>
          <w:lang w:val="es-PE"/>
        </w:rPr>
      </w:pPr>
      <w:r>
        <w:rPr>
          <w:lang w:val="es-PE"/>
        </w:rPr>
        <w:t>Se prosiguió con la elaboración de un sistema de registro de productos que contienen sustancias controladas.  Se prevé que, para fines de 2021, el sistema esté operativo en línea y se aplique para supervisar la importación de productos y equipos que utilizan sustancias controladas;</w:t>
      </w:r>
    </w:p>
    <w:p w14:paraId="0220AB97" w14:textId="270A7E52" w:rsidR="0050128D" w:rsidRPr="0050128D" w:rsidRDefault="0050128D" w:rsidP="008E0FC9">
      <w:pPr>
        <w:pStyle w:val="Heading2"/>
        <w:numPr>
          <w:ilvl w:val="1"/>
          <w:numId w:val="8"/>
        </w:numPr>
        <w:tabs>
          <w:tab w:val="clear" w:pos="0"/>
        </w:tabs>
        <w:rPr>
          <w:lang w:val="es-PE"/>
        </w:rPr>
      </w:pPr>
      <w:r>
        <w:rPr>
          <w:lang w:val="es-PE"/>
        </w:rPr>
        <w:t>Se emprendió la labor para establecer los centros de recuperación y reciclado, entre otras cosas, la contratación de un consultor para prestar asistencia con las especificaciones técnicas de los equipos necesarios para iniciar el proceso de compra y para seleccionar a los beneficiarios. Se prevé que dichos centros entren en funcionamiento a más tardar a fines de 2021 o principios de 2022;</w:t>
      </w:r>
    </w:p>
    <w:p w14:paraId="3A636B77" w14:textId="702A2C1C" w:rsidR="0050128D" w:rsidRPr="0050128D" w:rsidRDefault="0050128D" w:rsidP="008E0FC9">
      <w:pPr>
        <w:pStyle w:val="Heading2"/>
        <w:numPr>
          <w:ilvl w:val="1"/>
          <w:numId w:val="8"/>
        </w:numPr>
        <w:tabs>
          <w:tab w:val="clear" w:pos="0"/>
        </w:tabs>
        <w:rPr>
          <w:lang w:val="es-PE"/>
        </w:rPr>
      </w:pPr>
      <w:r>
        <w:rPr>
          <w:lang w:val="es-PE"/>
        </w:rPr>
        <w:t>Especificaciones técnicas para la determinación de las empresas beneficiarias para un proyecto de demostración de la conversión de cámaras frigoríficas y acondicionadores de aire a CO</w:t>
      </w:r>
      <w:r w:rsidRPr="0050128D">
        <w:rPr>
          <w:lang w:val="es-PE"/>
        </w:rPr>
        <w:t>2</w:t>
      </w:r>
      <w:r>
        <w:rPr>
          <w:lang w:val="es-PE"/>
        </w:rPr>
        <w:t xml:space="preserve"> </w:t>
      </w:r>
      <w:proofErr w:type="spellStart"/>
      <w:r>
        <w:rPr>
          <w:lang w:val="es-PE"/>
        </w:rPr>
        <w:t>transcrítico</w:t>
      </w:r>
      <w:proofErr w:type="spellEnd"/>
      <w:r>
        <w:rPr>
          <w:lang w:val="es-PE"/>
        </w:rPr>
        <w:t>, CO</w:t>
      </w:r>
      <w:r w:rsidRPr="0050128D">
        <w:rPr>
          <w:lang w:val="es-PE"/>
        </w:rPr>
        <w:t>2</w:t>
      </w:r>
      <w:r>
        <w:rPr>
          <w:lang w:val="es-PE"/>
        </w:rPr>
        <w:t xml:space="preserve">/amoníaco </w:t>
      </w:r>
      <w:proofErr w:type="spellStart"/>
      <w:r>
        <w:rPr>
          <w:lang w:val="es-PE"/>
        </w:rPr>
        <w:t>transcrítico</w:t>
      </w:r>
      <w:proofErr w:type="spellEnd"/>
      <w:r>
        <w:rPr>
          <w:lang w:val="es-PE"/>
        </w:rPr>
        <w:t xml:space="preserve"> y amoníaco, que se finalizará con la ayuda de un consultor internacional, y</w:t>
      </w:r>
    </w:p>
    <w:p w14:paraId="131E8323" w14:textId="7D72F7AC" w:rsidR="0050128D" w:rsidRPr="006F2AE0" w:rsidRDefault="0050128D" w:rsidP="008E0FC9">
      <w:pPr>
        <w:pStyle w:val="Heading2"/>
        <w:numPr>
          <w:ilvl w:val="1"/>
          <w:numId w:val="8"/>
        </w:numPr>
        <w:tabs>
          <w:tab w:val="clear" w:pos="0"/>
        </w:tabs>
        <w:rPr>
          <w:rFonts w:eastAsia="SimSun"/>
          <w:lang w:val="es-ES" w:eastAsia="zh-CN"/>
        </w:rPr>
      </w:pPr>
      <w:r>
        <w:rPr>
          <w:lang w:val="es-PE"/>
        </w:rPr>
        <w:t>Actividades de sensibilización pública, entre ellas, la publicación de varios videos en línea sobre buenas prácticas de refrigeración, el centro de regeneración de refrigerantes y la Enmienda de Kigali, dirigidos a técnicos de refrigeración y climatización; la publicación de boletines</w:t>
      </w:r>
      <w:r>
        <w:rPr>
          <w:lang w:val="es-PE" w:eastAsia="zh-CN"/>
        </w:rPr>
        <w:t xml:space="preserve"> mensuales y de información en diversos medios de comunicación en línea, a fin de promover el cambio a tecnologías libres de HCFC. </w:t>
      </w:r>
    </w:p>
    <w:p w14:paraId="14998419" w14:textId="77777777" w:rsidR="0050128D" w:rsidRPr="006F2AE0" w:rsidRDefault="0050128D" w:rsidP="0050128D">
      <w:pPr>
        <w:pStyle w:val="Heading1"/>
        <w:widowControl w:val="0"/>
        <w:numPr>
          <w:ilvl w:val="0"/>
          <w:numId w:val="0"/>
        </w:numPr>
        <w:tabs>
          <w:tab w:val="num" w:pos="360"/>
        </w:tabs>
        <w:jc w:val="left"/>
        <w:rPr>
          <w:i/>
          <w:lang w:val="es-ES"/>
        </w:rPr>
      </w:pPr>
      <w:r>
        <w:rPr>
          <w:i/>
          <w:iCs/>
          <w:lang w:val="es-PE"/>
        </w:rPr>
        <w:t xml:space="preserve">Dependencia de </w:t>
      </w:r>
      <w:proofErr w:type="spellStart"/>
      <w:r>
        <w:rPr>
          <w:i/>
          <w:iCs/>
          <w:lang w:val="es-PE"/>
        </w:rPr>
        <w:t>ejecución</w:t>
      </w:r>
      <w:proofErr w:type="spellEnd"/>
      <w:r>
        <w:rPr>
          <w:i/>
          <w:iCs/>
          <w:lang w:val="es-PE"/>
        </w:rPr>
        <w:t xml:space="preserve"> y </w:t>
      </w:r>
      <w:proofErr w:type="spellStart"/>
      <w:r>
        <w:rPr>
          <w:i/>
          <w:iCs/>
          <w:lang w:val="es-PE"/>
        </w:rPr>
        <w:t>supervisión</w:t>
      </w:r>
      <w:proofErr w:type="spellEnd"/>
      <w:r>
        <w:rPr>
          <w:i/>
          <w:iCs/>
          <w:lang w:val="es-PE"/>
        </w:rPr>
        <w:t xml:space="preserve"> de proyectos</w:t>
      </w:r>
    </w:p>
    <w:p w14:paraId="606D7744" w14:textId="3826A988" w:rsidR="0050128D" w:rsidRPr="006F2AE0" w:rsidRDefault="0050128D" w:rsidP="0050128D">
      <w:pPr>
        <w:numPr>
          <w:ilvl w:val="0"/>
          <w:numId w:val="1"/>
        </w:numPr>
        <w:spacing w:after="240"/>
        <w:outlineLvl w:val="0"/>
        <w:rPr>
          <w:lang w:val="es-ES"/>
        </w:rPr>
      </w:pPr>
      <w:r>
        <w:rPr>
          <w:lang w:val="es-PE"/>
        </w:rPr>
        <w:t xml:space="preserve">De los 14 200 $EUA (4 830 $EUA para el PNUD y 9 370 $EUA para la ONUDI) aprobados para la supervisión y ejecución de proyectos del tercer tramo, se contrató a un consultor para la verificación del </w:t>
      </w:r>
      <w:r>
        <w:rPr>
          <w:lang w:val="es-PE"/>
        </w:rPr>
        <w:lastRenderedPageBreak/>
        <w:t>consumo de HCFC y a expertos para prestar apoyo técnico a la dependencia nacional del ozono, así como a un asistente.</w:t>
      </w:r>
    </w:p>
    <w:p w14:paraId="628550C8" w14:textId="77777777" w:rsidR="0050128D" w:rsidRPr="006F2AE0" w:rsidRDefault="0050128D" w:rsidP="0050128D">
      <w:pPr>
        <w:keepNext/>
        <w:keepLines/>
        <w:spacing w:after="240"/>
        <w:jc w:val="left"/>
        <w:rPr>
          <w:i/>
          <w:lang w:val="es-ES"/>
        </w:rPr>
      </w:pPr>
      <w:r>
        <w:rPr>
          <w:i/>
          <w:iCs/>
          <w:lang w:val="es-PE"/>
        </w:rPr>
        <w:t>Situación de los desembolsos</w:t>
      </w:r>
    </w:p>
    <w:p w14:paraId="2F78E3C5" w14:textId="6E7A97C7" w:rsidR="0050128D" w:rsidRPr="006F2AE0" w:rsidRDefault="0050128D" w:rsidP="0050128D">
      <w:pPr>
        <w:numPr>
          <w:ilvl w:val="0"/>
          <w:numId w:val="1"/>
        </w:numPr>
        <w:spacing w:after="240"/>
        <w:outlineLvl w:val="0"/>
        <w:rPr>
          <w:lang w:val="es-ES"/>
        </w:rPr>
      </w:pPr>
      <w:r>
        <w:rPr>
          <w:lang w:val="es-PE"/>
        </w:rPr>
        <w:t xml:space="preserve">En mayo de 2021, de los 3 394 017 $EUA aprobados para la etapa II, se habían desembolsado 2 079 621 $EUA (61 por ciento), (esto es, </w:t>
      </w:r>
      <w:r>
        <w:rPr>
          <w:color w:val="000000"/>
          <w:lang w:val="es-PE"/>
        </w:rPr>
        <w:t>1 634 991 $EUA</w:t>
      </w:r>
      <w:r>
        <w:rPr>
          <w:lang w:val="es-PE"/>
        </w:rPr>
        <w:t xml:space="preserve"> para el PNUD, 12 635 $EUA, para el PNUMA y 431 995 $EUA para la ONUDI), como se indica en el Cuadro 3.</w:t>
      </w:r>
    </w:p>
    <w:p w14:paraId="4BC6D19C" w14:textId="77777777" w:rsidR="0050128D" w:rsidRPr="006F2AE0" w:rsidRDefault="0050128D" w:rsidP="0050128D">
      <w:pPr>
        <w:keepNext/>
        <w:rPr>
          <w:lang w:val="es-ES"/>
        </w:rPr>
      </w:pPr>
      <w:r>
        <w:rPr>
          <w:b/>
          <w:bCs/>
          <w:lang w:val="es-PE"/>
        </w:rPr>
        <w:t>Cuadro 3. Informe financiero de la etapa II del plan de gestión de la eliminación de los HCFC para Chile ($EUA).</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045"/>
        <w:gridCol w:w="2047"/>
        <w:gridCol w:w="2044"/>
        <w:gridCol w:w="2046"/>
      </w:tblGrid>
      <w:tr w:rsidR="0050128D" w14:paraId="1F4D4E64" w14:textId="77777777" w:rsidTr="0050128D">
        <w:tc>
          <w:tcPr>
            <w:tcW w:w="1165" w:type="dxa"/>
            <w:shd w:val="clear" w:color="auto" w:fill="auto"/>
            <w:vAlign w:val="center"/>
            <w:hideMark/>
          </w:tcPr>
          <w:p w14:paraId="25642DBB" w14:textId="77777777" w:rsidR="0050128D" w:rsidRPr="007C529B" w:rsidRDefault="0050128D" w:rsidP="0050128D">
            <w:pPr>
              <w:rPr>
                <w:b/>
                <w:bCs/>
                <w:color w:val="000000"/>
                <w:sz w:val="20"/>
                <w:szCs w:val="20"/>
                <w:lang w:val="en-US"/>
              </w:rPr>
            </w:pPr>
            <w:r>
              <w:rPr>
                <w:b/>
                <w:bCs/>
                <w:color w:val="000000"/>
                <w:sz w:val="20"/>
                <w:szCs w:val="20"/>
                <w:lang w:val="es-PE" w:eastAsia="en-CA"/>
              </w:rPr>
              <w:t>Organismo</w:t>
            </w:r>
          </w:p>
        </w:tc>
        <w:tc>
          <w:tcPr>
            <w:tcW w:w="2047" w:type="dxa"/>
            <w:shd w:val="clear" w:color="auto" w:fill="auto"/>
            <w:vAlign w:val="center"/>
            <w:hideMark/>
          </w:tcPr>
          <w:p w14:paraId="0F3B3388" w14:textId="77777777" w:rsidR="0050128D" w:rsidRPr="007C529B" w:rsidRDefault="0050128D" w:rsidP="0050128D">
            <w:pPr>
              <w:jc w:val="center"/>
              <w:rPr>
                <w:b/>
                <w:bCs/>
                <w:color w:val="000000"/>
                <w:sz w:val="20"/>
                <w:szCs w:val="20"/>
                <w:lang w:val="en-US"/>
              </w:rPr>
            </w:pPr>
            <w:r>
              <w:rPr>
                <w:b/>
                <w:bCs/>
                <w:color w:val="000000"/>
                <w:sz w:val="20"/>
                <w:szCs w:val="20"/>
                <w:lang w:val="es-PE"/>
              </w:rPr>
              <w:t>Fondos aprobados</w:t>
            </w:r>
          </w:p>
        </w:tc>
        <w:tc>
          <w:tcPr>
            <w:tcW w:w="2048" w:type="dxa"/>
            <w:shd w:val="clear" w:color="auto" w:fill="auto"/>
            <w:vAlign w:val="center"/>
            <w:hideMark/>
          </w:tcPr>
          <w:p w14:paraId="6D349EA7" w14:textId="77777777" w:rsidR="0050128D" w:rsidRPr="007C529B" w:rsidRDefault="0050128D" w:rsidP="0050128D">
            <w:pPr>
              <w:jc w:val="center"/>
              <w:rPr>
                <w:b/>
                <w:bCs/>
                <w:color w:val="000000"/>
                <w:sz w:val="20"/>
                <w:szCs w:val="20"/>
                <w:lang w:val="en-US"/>
              </w:rPr>
            </w:pPr>
            <w:r>
              <w:rPr>
                <w:b/>
                <w:bCs/>
                <w:color w:val="000000"/>
                <w:sz w:val="20"/>
                <w:szCs w:val="20"/>
                <w:lang w:val="es-PE"/>
              </w:rPr>
              <w:t>Fondos desembolsados</w:t>
            </w:r>
          </w:p>
        </w:tc>
        <w:tc>
          <w:tcPr>
            <w:tcW w:w="2047" w:type="dxa"/>
            <w:vAlign w:val="center"/>
          </w:tcPr>
          <w:p w14:paraId="16B759FE" w14:textId="77777777" w:rsidR="0050128D" w:rsidRPr="009836EB" w:rsidRDefault="0050128D" w:rsidP="0050128D">
            <w:pPr>
              <w:jc w:val="center"/>
              <w:rPr>
                <w:b/>
                <w:sz w:val="20"/>
                <w:szCs w:val="20"/>
                <w:lang w:val="en-CA"/>
              </w:rPr>
            </w:pPr>
            <w:r>
              <w:rPr>
                <w:b/>
                <w:bCs/>
                <w:color w:val="000000"/>
                <w:sz w:val="20"/>
                <w:szCs w:val="20"/>
                <w:lang w:val="es-PE"/>
              </w:rPr>
              <w:t>Saldo</w:t>
            </w:r>
          </w:p>
        </w:tc>
        <w:tc>
          <w:tcPr>
            <w:tcW w:w="2048" w:type="dxa"/>
            <w:shd w:val="clear" w:color="auto" w:fill="auto"/>
            <w:vAlign w:val="center"/>
          </w:tcPr>
          <w:p w14:paraId="1304195A" w14:textId="77777777" w:rsidR="0050128D" w:rsidRPr="007C529B" w:rsidRDefault="0050128D" w:rsidP="0050128D">
            <w:pPr>
              <w:jc w:val="center"/>
              <w:rPr>
                <w:b/>
                <w:bCs/>
                <w:color w:val="000000"/>
                <w:sz w:val="20"/>
                <w:szCs w:val="20"/>
                <w:lang w:val="en-US"/>
              </w:rPr>
            </w:pPr>
            <w:r>
              <w:rPr>
                <w:b/>
                <w:bCs/>
                <w:sz w:val="20"/>
                <w:szCs w:val="20"/>
                <w:lang w:val="es-PE"/>
              </w:rPr>
              <w:t>Tasa de desembolso (%)</w:t>
            </w:r>
          </w:p>
        </w:tc>
      </w:tr>
      <w:tr w:rsidR="0050128D" w14:paraId="256C9C49" w14:textId="77777777" w:rsidTr="0050128D">
        <w:tc>
          <w:tcPr>
            <w:tcW w:w="1165" w:type="dxa"/>
            <w:shd w:val="clear" w:color="auto" w:fill="auto"/>
            <w:vAlign w:val="center"/>
            <w:hideMark/>
          </w:tcPr>
          <w:p w14:paraId="73C50ABF" w14:textId="77777777" w:rsidR="0050128D" w:rsidRPr="007C529B" w:rsidRDefault="0050128D" w:rsidP="0050128D">
            <w:pPr>
              <w:jc w:val="left"/>
              <w:rPr>
                <w:color w:val="000000"/>
                <w:sz w:val="20"/>
                <w:szCs w:val="20"/>
                <w:lang w:val="en-US"/>
              </w:rPr>
            </w:pPr>
            <w:r>
              <w:rPr>
                <w:color w:val="000000"/>
                <w:sz w:val="20"/>
                <w:szCs w:val="20"/>
                <w:lang w:val="es-PE"/>
              </w:rPr>
              <w:t>PNUD</w:t>
            </w:r>
          </w:p>
        </w:tc>
        <w:tc>
          <w:tcPr>
            <w:tcW w:w="2047" w:type="dxa"/>
            <w:shd w:val="clear" w:color="auto" w:fill="auto"/>
            <w:tcMar>
              <w:left w:w="115" w:type="dxa"/>
              <w:right w:w="216" w:type="dxa"/>
            </w:tcMar>
            <w:vAlign w:val="center"/>
            <w:hideMark/>
          </w:tcPr>
          <w:p w14:paraId="693A38F8" w14:textId="77777777" w:rsidR="0050128D" w:rsidRPr="007C529B" w:rsidRDefault="0050128D" w:rsidP="0050128D">
            <w:pPr>
              <w:jc w:val="right"/>
              <w:rPr>
                <w:color w:val="000000"/>
                <w:sz w:val="20"/>
                <w:szCs w:val="20"/>
                <w:lang w:val="en-US"/>
              </w:rPr>
            </w:pPr>
            <w:r>
              <w:rPr>
                <w:color w:val="000000"/>
                <w:sz w:val="20"/>
                <w:szCs w:val="20"/>
                <w:lang w:val="es-PE"/>
              </w:rPr>
              <w:t>2 145 047</w:t>
            </w:r>
          </w:p>
        </w:tc>
        <w:tc>
          <w:tcPr>
            <w:tcW w:w="2048" w:type="dxa"/>
            <w:shd w:val="clear" w:color="auto" w:fill="auto"/>
            <w:tcMar>
              <w:left w:w="115" w:type="dxa"/>
              <w:right w:w="216" w:type="dxa"/>
            </w:tcMar>
            <w:vAlign w:val="center"/>
            <w:hideMark/>
          </w:tcPr>
          <w:p w14:paraId="79A87E66" w14:textId="77777777" w:rsidR="0050128D" w:rsidRPr="007C529B" w:rsidRDefault="0050128D" w:rsidP="0050128D">
            <w:pPr>
              <w:jc w:val="right"/>
              <w:rPr>
                <w:color w:val="000000"/>
                <w:sz w:val="20"/>
                <w:szCs w:val="20"/>
                <w:lang w:val="en-US"/>
              </w:rPr>
            </w:pPr>
            <w:r>
              <w:rPr>
                <w:color w:val="000000"/>
                <w:sz w:val="20"/>
                <w:szCs w:val="20"/>
                <w:lang w:val="es-PE"/>
              </w:rPr>
              <w:t>1 634 991</w:t>
            </w:r>
          </w:p>
        </w:tc>
        <w:tc>
          <w:tcPr>
            <w:tcW w:w="2047" w:type="dxa"/>
            <w:tcMar>
              <w:left w:w="115" w:type="dxa"/>
              <w:right w:w="216" w:type="dxa"/>
            </w:tcMar>
            <w:vAlign w:val="center"/>
          </w:tcPr>
          <w:p w14:paraId="5005F601" w14:textId="77777777" w:rsidR="0050128D" w:rsidRPr="007C529B" w:rsidRDefault="0050128D" w:rsidP="0050128D">
            <w:pPr>
              <w:jc w:val="right"/>
              <w:rPr>
                <w:color w:val="000000"/>
                <w:sz w:val="20"/>
                <w:szCs w:val="20"/>
                <w:lang w:val="en-US"/>
              </w:rPr>
            </w:pPr>
            <w:r>
              <w:rPr>
                <w:color w:val="000000"/>
                <w:sz w:val="20"/>
                <w:szCs w:val="20"/>
                <w:lang w:val="es-PE"/>
              </w:rPr>
              <w:t>510 056</w:t>
            </w:r>
          </w:p>
        </w:tc>
        <w:tc>
          <w:tcPr>
            <w:tcW w:w="2048" w:type="dxa"/>
            <w:shd w:val="clear" w:color="auto" w:fill="auto"/>
            <w:vAlign w:val="center"/>
            <w:hideMark/>
          </w:tcPr>
          <w:p w14:paraId="0FBB7462" w14:textId="77777777" w:rsidR="0050128D" w:rsidRPr="007C529B" w:rsidRDefault="0050128D" w:rsidP="0050128D">
            <w:pPr>
              <w:ind w:right="796"/>
              <w:jc w:val="right"/>
              <w:rPr>
                <w:color w:val="000000"/>
                <w:sz w:val="20"/>
                <w:szCs w:val="20"/>
                <w:lang w:val="en-US"/>
              </w:rPr>
            </w:pPr>
            <w:r>
              <w:rPr>
                <w:color w:val="000000"/>
                <w:sz w:val="20"/>
                <w:szCs w:val="20"/>
                <w:lang w:val="es-PE"/>
              </w:rPr>
              <w:t>76</w:t>
            </w:r>
          </w:p>
        </w:tc>
      </w:tr>
      <w:tr w:rsidR="0050128D" w14:paraId="1CC74EF4" w14:textId="77777777" w:rsidTr="0050128D">
        <w:tc>
          <w:tcPr>
            <w:tcW w:w="1165" w:type="dxa"/>
            <w:shd w:val="clear" w:color="auto" w:fill="auto"/>
            <w:vAlign w:val="center"/>
            <w:hideMark/>
          </w:tcPr>
          <w:p w14:paraId="52B45756" w14:textId="77777777" w:rsidR="0050128D" w:rsidRPr="007C529B" w:rsidRDefault="0050128D" w:rsidP="0050128D">
            <w:pPr>
              <w:jc w:val="left"/>
              <w:rPr>
                <w:color w:val="000000"/>
                <w:sz w:val="20"/>
                <w:szCs w:val="20"/>
                <w:lang w:val="en-US"/>
              </w:rPr>
            </w:pPr>
            <w:r>
              <w:rPr>
                <w:color w:val="000000"/>
                <w:sz w:val="20"/>
                <w:szCs w:val="20"/>
                <w:lang w:val="es-PE"/>
              </w:rPr>
              <w:t>PNUMA</w:t>
            </w:r>
          </w:p>
        </w:tc>
        <w:tc>
          <w:tcPr>
            <w:tcW w:w="2047" w:type="dxa"/>
            <w:shd w:val="clear" w:color="auto" w:fill="auto"/>
            <w:tcMar>
              <w:left w:w="115" w:type="dxa"/>
              <w:right w:w="216" w:type="dxa"/>
            </w:tcMar>
            <w:vAlign w:val="center"/>
            <w:hideMark/>
          </w:tcPr>
          <w:p w14:paraId="6B876EA2" w14:textId="77777777" w:rsidR="0050128D" w:rsidRPr="007C529B" w:rsidRDefault="0050128D" w:rsidP="0050128D">
            <w:pPr>
              <w:jc w:val="right"/>
              <w:rPr>
                <w:color w:val="000000"/>
                <w:sz w:val="20"/>
                <w:szCs w:val="20"/>
                <w:lang w:val="en-US"/>
              </w:rPr>
            </w:pPr>
            <w:r>
              <w:rPr>
                <w:color w:val="000000"/>
                <w:sz w:val="20"/>
                <w:szCs w:val="20"/>
                <w:lang w:val="es-PE"/>
              </w:rPr>
              <w:t>218 270</w:t>
            </w:r>
          </w:p>
        </w:tc>
        <w:tc>
          <w:tcPr>
            <w:tcW w:w="2048" w:type="dxa"/>
            <w:shd w:val="clear" w:color="auto" w:fill="auto"/>
            <w:tcMar>
              <w:left w:w="115" w:type="dxa"/>
              <w:right w:w="216" w:type="dxa"/>
            </w:tcMar>
            <w:vAlign w:val="center"/>
            <w:hideMark/>
          </w:tcPr>
          <w:p w14:paraId="45AC2860" w14:textId="77777777" w:rsidR="0050128D" w:rsidRPr="007C529B" w:rsidRDefault="0050128D" w:rsidP="0050128D">
            <w:pPr>
              <w:jc w:val="right"/>
              <w:rPr>
                <w:color w:val="000000"/>
                <w:sz w:val="20"/>
                <w:szCs w:val="20"/>
                <w:lang w:val="en-US"/>
              </w:rPr>
            </w:pPr>
            <w:r>
              <w:rPr>
                <w:color w:val="000000"/>
                <w:sz w:val="20"/>
                <w:szCs w:val="20"/>
                <w:lang w:val="es-PE"/>
              </w:rPr>
              <w:t>12 635</w:t>
            </w:r>
          </w:p>
        </w:tc>
        <w:tc>
          <w:tcPr>
            <w:tcW w:w="2047" w:type="dxa"/>
            <w:tcMar>
              <w:left w:w="115" w:type="dxa"/>
              <w:right w:w="216" w:type="dxa"/>
            </w:tcMar>
            <w:vAlign w:val="center"/>
          </w:tcPr>
          <w:p w14:paraId="7895B786" w14:textId="77777777" w:rsidR="0050128D" w:rsidRPr="007C529B" w:rsidRDefault="0050128D" w:rsidP="0050128D">
            <w:pPr>
              <w:jc w:val="right"/>
              <w:rPr>
                <w:color w:val="000000"/>
                <w:sz w:val="20"/>
                <w:szCs w:val="20"/>
                <w:lang w:val="en-US"/>
              </w:rPr>
            </w:pPr>
            <w:r>
              <w:rPr>
                <w:color w:val="000000"/>
                <w:sz w:val="20"/>
                <w:szCs w:val="20"/>
                <w:lang w:val="es-PE"/>
              </w:rPr>
              <w:t>205 635</w:t>
            </w:r>
          </w:p>
        </w:tc>
        <w:tc>
          <w:tcPr>
            <w:tcW w:w="2048" w:type="dxa"/>
            <w:shd w:val="clear" w:color="auto" w:fill="auto"/>
            <w:vAlign w:val="center"/>
            <w:hideMark/>
          </w:tcPr>
          <w:p w14:paraId="22AE88EA" w14:textId="77777777" w:rsidR="0050128D" w:rsidRPr="007C529B" w:rsidRDefault="0050128D" w:rsidP="0050128D">
            <w:pPr>
              <w:ind w:right="796"/>
              <w:jc w:val="right"/>
              <w:rPr>
                <w:color w:val="000000"/>
                <w:sz w:val="20"/>
                <w:szCs w:val="20"/>
                <w:lang w:val="en-US"/>
              </w:rPr>
            </w:pPr>
            <w:r>
              <w:rPr>
                <w:color w:val="000000"/>
                <w:sz w:val="20"/>
                <w:szCs w:val="20"/>
                <w:lang w:val="es-PE"/>
              </w:rPr>
              <w:t>6</w:t>
            </w:r>
          </w:p>
        </w:tc>
      </w:tr>
      <w:tr w:rsidR="0050128D" w14:paraId="65206767" w14:textId="77777777" w:rsidTr="0050128D">
        <w:tc>
          <w:tcPr>
            <w:tcW w:w="1165" w:type="dxa"/>
            <w:shd w:val="clear" w:color="auto" w:fill="auto"/>
            <w:vAlign w:val="center"/>
            <w:hideMark/>
          </w:tcPr>
          <w:p w14:paraId="252CA73B" w14:textId="77777777" w:rsidR="0050128D" w:rsidRPr="007C529B" w:rsidRDefault="0050128D" w:rsidP="0050128D">
            <w:pPr>
              <w:jc w:val="left"/>
              <w:rPr>
                <w:color w:val="000000"/>
                <w:sz w:val="20"/>
                <w:szCs w:val="20"/>
                <w:lang w:val="en-US"/>
              </w:rPr>
            </w:pPr>
            <w:r>
              <w:rPr>
                <w:color w:val="000000"/>
                <w:sz w:val="20"/>
                <w:szCs w:val="20"/>
                <w:lang w:val="es-PE"/>
              </w:rPr>
              <w:t>ONUDI</w:t>
            </w:r>
          </w:p>
        </w:tc>
        <w:tc>
          <w:tcPr>
            <w:tcW w:w="2047" w:type="dxa"/>
            <w:shd w:val="clear" w:color="auto" w:fill="auto"/>
            <w:tcMar>
              <w:left w:w="115" w:type="dxa"/>
              <w:right w:w="216" w:type="dxa"/>
            </w:tcMar>
            <w:vAlign w:val="center"/>
            <w:hideMark/>
          </w:tcPr>
          <w:p w14:paraId="3D184BF0" w14:textId="77777777" w:rsidR="0050128D" w:rsidRPr="007C529B" w:rsidRDefault="0050128D" w:rsidP="0050128D">
            <w:pPr>
              <w:jc w:val="right"/>
              <w:rPr>
                <w:color w:val="000000"/>
                <w:sz w:val="20"/>
                <w:szCs w:val="20"/>
                <w:lang w:val="en-US"/>
              </w:rPr>
            </w:pPr>
            <w:r>
              <w:rPr>
                <w:color w:val="000000"/>
                <w:sz w:val="20"/>
                <w:szCs w:val="20"/>
                <w:lang w:val="es-PE"/>
              </w:rPr>
              <w:t>1 030 700</w:t>
            </w:r>
          </w:p>
        </w:tc>
        <w:tc>
          <w:tcPr>
            <w:tcW w:w="2048" w:type="dxa"/>
            <w:shd w:val="clear" w:color="auto" w:fill="auto"/>
            <w:tcMar>
              <w:left w:w="115" w:type="dxa"/>
              <w:right w:w="216" w:type="dxa"/>
            </w:tcMar>
            <w:vAlign w:val="center"/>
            <w:hideMark/>
          </w:tcPr>
          <w:p w14:paraId="6826174B" w14:textId="77777777" w:rsidR="0050128D" w:rsidRPr="007C529B" w:rsidRDefault="0050128D" w:rsidP="0050128D">
            <w:pPr>
              <w:jc w:val="right"/>
              <w:rPr>
                <w:color w:val="000000"/>
                <w:sz w:val="20"/>
                <w:szCs w:val="20"/>
                <w:lang w:val="en-US"/>
              </w:rPr>
            </w:pPr>
            <w:r>
              <w:rPr>
                <w:color w:val="000000"/>
                <w:sz w:val="20"/>
                <w:szCs w:val="20"/>
                <w:lang w:val="es-PE"/>
              </w:rPr>
              <w:t>431 995</w:t>
            </w:r>
          </w:p>
        </w:tc>
        <w:tc>
          <w:tcPr>
            <w:tcW w:w="2047" w:type="dxa"/>
            <w:tcMar>
              <w:left w:w="115" w:type="dxa"/>
              <w:right w:w="216" w:type="dxa"/>
            </w:tcMar>
            <w:vAlign w:val="center"/>
          </w:tcPr>
          <w:p w14:paraId="185881AC" w14:textId="77777777" w:rsidR="0050128D" w:rsidRPr="007C529B" w:rsidRDefault="0050128D" w:rsidP="0050128D">
            <w:pPr>
              <w:jc w:val="right"/>
              <w:rPr>
                <w:color w:val="000000"/>
                <w:sz w:val="20"/>
                <w:szCs w:val="20"/>
                <w:lang w:val="en-US"/>
              </w:rPr>
            </w:pPr>
            <w:r>
              <w:rPr>
                <w:color w:val="000000"/>
                <w:sz w:val="20"/>
                <w:szCs w:val="20"/>
                <w:lang w:val="es-PE"/>
              </w:rPr>
              <w:t>598 705</w:t>
            </w:r>
          </w:p>
        </w:tc>
        <w:tc>
          <w:tcPr>
            <w:tcW w:w="2048" w:type="dxa"/>
            <w:shd w:val="clear" w:color="auto" w:fill="auto"/>
            <w:vAlign w:val="center"/>
            <w:hideMark/>
          </w:tcPr>
          <w:p w14:paraId="16736CC4" w14:textId="77777777" w:rsidR="0050128D" w:rsidRPr="007C529B" w:rsidRDefault="0050128D" w:rsidP="0050128D">
            <w:pPr>
              <w:ind w:right="796"/>
              <w:jc w:val="right"/>
              <w:rPr>
                <w:color w:val="000000"/>
                <w:sz w:val="20"/>
                <w:szCs w:val="20"/>
                <w:lang w:val="en-US"/>
              </w:rPr>
            </w:pPr>
            <w:r>
              <w:rPr>
                <w:color w:val="000000"/>
                <w:sz w:val="20"/>
                <w:szCs w:val="20"/>
                <w:lang w:val="es-PE"/>
              </w:rPr>
              <w:t>42</w:t>
            </w:r>
          </w:p>
        </w:tc>
      </w:tr>
      <w:tr w:rsidR="0050128D" w14:paraId="7D0DCA35" w14:textId="77777777" w:rsidTr="0050128D">
        <w:tc>
          <w:tcPr>
            <w:tcW w:w="1165" w:type="dxa"/>
            <w:shd w:val="clear" w:color="auto" w:fill="auto"/>
            <w:vAlign w:val="center"/>
            <w:hideMark/>
          </w:tcPr>
          <w:p w14:paraId="272BD035" w14:textId="77777777" w:rsidR="0050128D" w:rsidRPr="007C529B" w:rsidRDefault="0050128D" w:rsidP="0050128D">
            <w:pPr>
              <w:jc w:val="left"/>
              <w:rPr>
                <w:b/>
                <w:bCs/>
                <w:color w:val="000000"/>
                <w:sz w:val="20"/>
                <w:szCs w:val="20"/>
                <w:lang w:val="en-US"/>
              </w:rPr>
            </w:pPr>
            <w:r>
              <w:rPr>
                <w:b/>
                <w:bCs/>
                <w:color w:val="000000"/>
                <w:sz w:val="20"/>
                <w:szCs w:val="20"/>
                <w:lang w:val="es-PE"/>
              </w:rPr>
              <w:t>Total</w:t>
            </w:r>
          </w:p>
        </w:tc>
        <w:tc>
          <w:tcPr>
            <w:tcW w:w="2047" w:type="dxa"/>
            <w:shd w:val="clear" w:color="auto" w:fill="auto"/>
            <w:tcMar>
              <w:left w:w="115" w:type="dxa"/>
              <w:right w:w="216" w:type="dxa"/>
            </w:tcMar>
            <w:vAlign w:val="center"/>
            <w:hideMark/>
          </w:tcPr>
          <w:p w14:paraId="56DF4969" w14:textId="77777777" w:rsidR="0050128D" w:rsidRPr="007C529B" w:rsidRDefault="0050128D" w:rsidP="0050128D">
            <w:pPr>
              <w:jc w:val="right"/>
              <w:rPr>
                <w:b/>
                <w:bCs/>
                <w:color w:val="000000"/>
                <w:sz w:val="20"/>
                <w:szCs w:val="20"/>
                <w:lang w:val="en-US"/>
              </w:rPr>
            </w:pPr>
            <w:r>
              <w:rPr>
                <w:b/>
                <w:bCs/>
                <w:color w:val="000000"/>
                <w:sz w:val="20"/>
                <w:szCs w:val="20"/>
                <w:lang w:val="es-PE"/>
              </w:rPr>
              <w:t>3 394 017</w:t>
            </w:r>
          </w:p>
        </w:tc>
        <w:tc>
          <w:tcPr>
            <w:tcW w:w="2048" w:type="dxa"/>
            <w:shd w:val="clear" w:color="auto" w:fill="auto"/>
            <w:tcMar>
              <w:left w:w="115" w:type="dxa"/>
              <w:right w:w="216" w:type="dxa"/>
            </w:tcMar>
            <w:vAlign w:val="center"/>
            <w:hideMark/>
          </w:tcPr>
          <w:p w14:paraId="4F1017E9" w14:textId="77777777" w:rsidR="0050128D" w:rsidRPr="007C529B" w:rsidRDefault="0050128D" w:rsidP="0050128D">
            <w:pPr>
              <w:jc w:val="right"/>
              <w:rPr>
                <w:b/>
                <w:bCs/>
                <w:color w:val="000000"/>
                <w:sz w:val="20"/>
                <w:szCs w:val="20"/>
                <w:lang w:val="en-US"/>
              </w:rPr>
            </w:pPr>
            <w:r>
              <w:rPr>
                <w:b/>
                <w:bCs/>
                <w:color w:val="000000"/>
                <w:sz w:val="20"/>
                <w:szCs w:val="20"/>
                <w:lang w:val="es-PE"/>
              </w:rPr>
              <w:t>2 079 621</w:t>
            </w:r>
          </w:p>
        </w:tc>
        <w:tc>
          <w:tcPr>
            <w:tcW w:w="2047" w:type="dxa"/>
            <w:tcMar>
              <w:left w:w="115" w:type="dxa"/>
              <w:right w:w="216" w:type="dxa"/>
            </w:tcMar>
            <w:vAlign w:val="center"/>
          </w:tcPr>
          <w:p w14:paraId="37722C86" w14:textId="77777777" w:rsidR="0050128D" w:rsidRPr="007C529B" w:rsidRDefault="0050128D" w:rsidP="0050128D">
            <w:pPr>
              <w:jc w:val="right"/>
              <w:rPr>
                <w:b/>
                <w:color w:val="000000"/>
                <w:sz w:val="20"/>
                <w:szCs w:val="20"/>
                <w:lang w:val="en-US"/>
              </w:rPr>
            </w:pPr>
            <w:r>
              <w:rPr>
                <w:b/>
                <w:bCs/>
                <w:color w:val="000000"/>
                <w:sz w:val="20"/>
                <w:szCs w:val="20"/>
                <w:lang w:val="es-PE"/>
              </w:rPr>
              <w:t>1 314 396</w:t>
            </w:r>
          </w:p>
        </w:tc>
        <w:tc>
          <w:tcPr>
            <w:tcW w:w="2048" w:type="dxa"/>
            <w:shd w:val="clear" w:color="auto" w:fill="auto"/>
            <w:vAlign w:val="center"/>
            <w:hideMark/>
          </w:tcPr>
          <w:p w14:paraId="3222D338" w14:textId="77777777" w:rsidR="0050128D" w:rsidRPr="007C529B" w:rsidRDefault="0050128D" w:rsidP="0050128D">
            <w:pPr>
              <w:ind w:right="796"/>
              <w:jc w:val="right"/>
              <w:rPr>
                <w:b/>
                <w:color w:val="000000"/>
                <w:sz w:val="20"/>
                <w:szCs w:val="20"/>
                <w:lang w:val="en-US"/>
              </w:rPr>
            </w:pPr>
            <w:r>
              <w:rPr>
                <w:b/>
                <w:bCs/>
                <w:color w:val="000000"/>
                <w:sz w:val="20"/>
                <w:szCs w:val="20"/>
                <w:lang w:val="es-PE"/>
              </w:rPr>
              <w:t>61</w:t>
            </w:r>
          </w:p>
        </w:tc>
      </w:tr>
    </w:tbl>
    <w:p w14:paraId="15133C4E" w14:textId="77777777" w:rsidR="0050128D" w:rsidRDefault="0050128D" w:rsidP="0050128D">
      <w:pPr>
        <w:keepNext/>
        <w:spacing w:before="240"/>
        <w:rPr>
          <w:i/>
          <w:lang w:val="en-CA"/>
        </w:rPr>
      </w:pPr>
      <w:r>
        <w:rPr>
          <w:b/>
          <w:bCs/>
          <w:lang w:val="es-PE"/>
        </w:rPr>
        <w:t>Observaciones de la Secretaría</w:t>
      </w:r>
    </w:p>
    <w:p w14:paraId="1DFD494A" w14:textId="77777777" w:rsidR="0050128D" w:rsidRDefault="0050128D" w:rsidP="0050128D">
      <w:pPr>
        <w:keepNext/>
        <w:rPr>
          <w:i/>
          <w:lang w:val="en-CA"/>
        </w:rPr>
      </w:pPr>
    </w:p>
    <w:p w14:paraId="18F16444" w14:textId="77777777" w:rsidR="0050128D" w:rsidRPr="006F2AE0" w:rsidRDefault="0050128D" w:rsidP="0050128D">
      <w:pPr>
        <w:keepNext/>
        <w:rPr>
          <w:i/>
          <w:lang w:val="es-ES"/>
        </w:rPr>
      </w:pPr>
      <w:r>
        <w:rPr>
          <w:i/>
          <w:iCs/>
          <w:lang w:val="es-PE"/>
        </w:rPr>
        <w:t>Sector de fabricación de espuma de poliuretano</w:t>
      </w:r>
    </w:p>
    <w:p w14:paraId="7FA04A02" w14:textId="77777777" w:rsidR="0050128D" w:rsidRPr="006F2AE0" w:rsidRDefault="0050128D" w:rsidP="0050128D">
      <w:pPr>
        <w:keepNext/>
        <w:rPr>
          <w:i/>
          <w:lang w:val="es-ES"/>
        </w:rPr>
      </w:pPr>
    </w:p>
    <w:p w14:paraId="43442F9A" w14:textId="25717C40" w:rsidR="0050128D" w:rsidRPr="006F2AE0" w:rsidRDefault="0050128D" w:rsidP="0050128D">
      <w:pPr>
        <w:numPr>
          <w:ilvl w:val="0"/>
          <w:numId w:val="1"/>
        </w:numPr>
        <w:spacing w:after="240"/>
        <w:outlineLvl w:val="0"/>
        <w:rPr>
          <w:lang w:val="es-ES"/>
        </w:rPr>
      </w:pPr>
      <w:r>
        <w:rPr>
          <w:lang w:val="es-PE"/>
        </w:rPr>
        <w:t xml:space="preserve">Tras una solicitud de aclaración acerca de la anulación del proyecto individual de </w:t>
      </w:r>
      <w:proofErr w:type="spellStart"/>
      <w:r>
        <w:rPr>
          <w:lang w:val="es-PE"/>
        </w:rPr>
        <w:t>Superfrigo</w:t>
      </w:r>
      <w:proofErr w:type="spellEnd"/>
      <w:r>
        <w:rPr>
          <w:lang w:val="es-PE"/>
        </w:rPr>
        <w:t xml:space="preserve">, el PNUD explicó que la empresa había procedido a la conversión a un sistema de poliuretano que utiliza HFC (esto es, la mezcla de HFC-365mfc (93 por ciento) y HFC-227ea (7 por ciento), y confirmó que se devolverán los fondos vinculados a esa empresa (103 201 $EUA) en la 89ª reunión. </w:t>
      </w:r>
    </w:p>
    <w:p w14:paraId="29E310F8" w14:textId="57496F48" w:rsidR="0050128D" w:rsidRPr="006F2AE0" w:rsidRDefault="0050128D" w:rsidP="0050128D">
      <w:pPr>
        <w:numPr>
          <w:ilvl w:val="0"/>
          <w:numId w:val="1"/>
        </w:numPr>
        <w:spacing w:after="240"/>
        <w:outlineLvl w:val="0"/>
        <w:rPr>
          <w:lang w:val="es-ES"/>
        </w:rPr>
      </w:pPr>
      <w:r>
        <w:rPr>
          <w:lang w:val="es-PE"/>
        </w:rPr>
        <w:t xml:space="preserve">El PNUD también confirmó que el proyecto de grupo para </w:t>
      </w:r>
      <w:proofErr w:type="spellStart"/>
      <w:r>
        <w:rPr>
          <w:lang w:val="es-PE"/>
        </w:rPr>
        <w:t>Ixom</w:t>
      </w:r>
      <w:proofErr w:type="spellEnd"/>
      <w:r>
        <w:rPr>
          <w:lang w:val="es-PE"/>
        </w:rPr>
        <w:t xml:space="preserve"> culminará a más tardar el 31 de diciembre de 2021. </w:t>
      </w:r>
    </w:p>
    <w:p w14:paraId="070ED4C3" w14:textId="77777777" w:rsidR="0050128D" w:rsidRPr="006F2AE0" w:rsidRDefault="0050128D" w:rsidP="0050128D">
      <w:pPr>
        <w:keepNext/>
        <w:keepLines/>
        <w:rPr>
          <w:i/>
          <w:lang w:val="es-ES"/>
        </w:rPr>
      </w:pPr>
      <w:r>
        <w:rPr>
          <w:i/>
          <w:iCs/>
          <w:lang w:val="es-PE"/>
        </w:rPr>
        <w:t>Sector de servicio y mantenimiento de equipos de refrigeración</w:t>
      </w:r>
    </w:p>
    <w:p w14:paraId="5F04E812" w14:textId="77777777" w:rsidR="0050128D" w:rsidRPr="006F2AE0" w:rsidRDefault="0050128D" w:rsidP="0050128D">
      <w:pPr>
        <w:keepNext/>
        <w:keepLines/>
        <w:rPr>
          <w:lang w:val="es-ES"/>
        </w:rPr>
      </w:pPr>
    </w:p>
    <w:p w14:paraId="5A47F352" w14:textId="15EE3097" w:rsidR="0050128D" w:rsidRPr="006F2AE0" w:rsidRDefault="0050128D" w:rsidP="0050128D">
      <w:pPr>
        <w:numPr>
          <w:ilvl w:val="0"/>
          <w:numId w:val="1"/>
        </w:numPr>
        <w:spacing w:after="240"/>
        <w:outlineLvl w:val="0"/>
        <w:rPr>
          <w:lang w:val="es-ES"/>
        </w:rPr>
      </w:pPr>
      <w:r>
        <w:rPr>
          <w:lang w:val="es-PE"/>
        </w:rPr>
        <w:t xml:space="preserve">Al aportar una clarificación sobre la fecha prevista para el establecimiento de centros de recuperación y reciclado, que probablemente no se concretará hasta principios de 2022, el PNUD explicó que está haciendo todo lo posible por garantizar la puesta en marcha de los equipos antes de esa fecha, a fin de que esos centros puedan entrar en funcionamiento antes de finales de año; se indicó una fecha posterior en caso de retrasos en la compra y el proceso de distribución.  </w:t>
      </w:r>
    </w:p>
    <w:p w14:paraId="154E8980" w14:textId="77777777" w:rsidR="0050128D" w:rsidRPr="006F2AE0" w:rsidRDefault="0050128D" w:rsidP="0050128D">
      <w:pPr>
        <w:spacing w:after="240"/>
        <w:jc w:val="left"/>
        <w:rPr>
          <w:b/>
          <w:lang w:val="es-ES"/>
        </w:rPr>
      </w:pPr>
      <w:r>
        <w:rPr>
          <w:b/>
          <w:bCs/>
          <w:lang w:val="es-PE"/>
        </w:rPr>
        <w:t>Recomendación</w:t>
      </w:r>
    </w:p>
    <w:p w14:paraId="00FDBEE2" w14:textId="36F2C2D8" w:rsidR="0050128D" w:rsidRPr="006F2AE0" w:rsidRDefault="0050128D" w:rsidP="0050128D">
      <w:pPr>
        <w:numPr>
          <w:ilvl w:val="0"/>
          <w:numId w:val="1"/>
        </w:numPr>
        <w:spacing w:after="240"/>
        <w:outlineLvl w:val="0"/>
        <w:rPr>
          <w:lang w:val="es-ES"/>
        </w:rPr>
      </w:pPr>
      <w:r>
        <w:rPr>
          <w:lang w:val="es-PE"/>
        </w:rPr>
        <w:t xml:space="preserve">El Comité Ejecutivo podría considerar: </w:t>
      </w:r>
    </w:p>
    <w:p w14:paraId="21908D3D" w14:textId="7A42AA3B" w:rsidR="0050128D" w:rsidRPr="0050128D" w:rsidRDefault="0050128D" w:rsidP="008E0FC9">
      <w:pPr>
        <w:pStyle w:val="Heading2"/>
        <w:numPr>
          <w:ilvl w:val="1"/>
          <w:numId w:val="8"/>
        </w:numPr>
        <w:tabs>
          <w:tab w:val="clear" w:pos="0"/>
        </w:tabs>
        <w:rPr>
          <w:lang w:val="es-PE"/>
        </w:rPr>
      </w:pPr>
      <w:r>
        <w:rPr>
          <w:lang w:val="es-PE"/>
        </w:rPr>
        <w:t>Tomar nota del informe anual sobre la marcha de las actividades relativo a la ejecución del tercer y último tramo de la etapa II del plan de gestión de la eliminación de los HCFC (PGEH) para Chile y del informe de verificación sobre el consumo de HCFC de 2019 a 2020 presentados por el PNUD, que figuran en el documento UNEP/OzL.Pro/ExCom/87/9;</w:t>
      </w:r>
    </w:p>
    <w:p w14:paraId="41872C49" w14:textId="0E682F6A" w:rsidR="0050128D" w:rsidRPr="0050128D" w:rsidRDefault="0050128D" w:rsidP="008E0FC9">
      <w:pPr>
        <w:pStyle w:val="Heading2"/>
        <w:numPr>
          <w:ilvl w:val="1"/>
          <w:numId w:val="8"/>
        </w:numPr>
        <w:tabs>
          <w:tab w:val="clear" w:pos="0"/>
        </w:tabs>
        <w:rPr>
          <w:lang w:val="es-PE"/>
        </w:rPr>
      </w:pPr>
      <w:r>
        <w:rPr>
          <w:lang w:val="es-PE"/>
        </w:rPr>
        <w:t xml:space="preserve">Tomar nota de que la empresa </w:t>
      </w:r>
      <w:proofErr w:type="spellStart"/>
      <w:r>
        <w:rPr>
          <w:lang w:val="es-PE"/>
        </w:rPr>
        <w:t>Superfrigo</w:t>
      </w:r>
      <w:proofErr w:type="spellEnd"/>
      <w:r>
        <w:rPr>
          <w:lang w:val="es-PE"/>
        </w:rPr>
        <w:t xml:space="preserve"> ha resuelto no participar en la etapa II del PGEH y que el PNUD devolverá al Fondo los fondos aprobados de 103 210 $EUA vinculados a esa empresa, más gastos de apoyo del organismo de 7 225 $EUA, a más tardar en la 89ª reunión, y</w:t>
      </w:r>
    </w:p>
    <w:p w14:paraId="79BACAAA" w14:textId="3575AD62" w:rsidR="0050128D" w:rsidRPr="006F2AE0" w:rsidRDefault="0050128D" w:rsidP="008E0FC9">
      <w:pPr>
        <w:pStyle w:val="Heading2"/>
        <w:numPr>
          <w:ilvl w:val="1"/>
          <w:numId w:val="8"/>
        </w:numPr>
        <w:tabs>
          <w:tab w:val="clear" w:pos="0"/>
        </w:tabs>
        <w:rPr>
          <w:lang w:val="es-ES"/>
        </w:rPr>
      </w:pPr>
      <w:r>
        <w:rPr>
          <w:lang w:val="es-PE"/>
        </w:rPr>
        <w:t xml:space="preserve">Pedir al Gobierno de Chile que, por medio del PNUD en calidad de organismo de ejecución </w:t>
      </w:r>
      <w:r>
        <w:rPr>
          <w:lang w:val="es-PE"/>
        </w:rPr>
        <w:lastRenderedPageBreak/>
        <w:t xml:space="preserve">principal, presente informes anuales sobre la marcha de las actividades relativos a la ejecución del programa de trabajo vinculado al último tramo hasta la terminación del proyecto; informes de verificación hasta la aprobación de la etapa III, y el informe de terminación de proyectos a la primera reunión en 2023. </w:t>
      </w:r>
    </w:p>
    <w:p w14:paraId="0DFDD1B3" w14:textId="77777777" w:rsidR="0050128D" w:rsidRPr="006F2AE0" w:rsidRDefault="0050128D" w:rsidP="0050128D">
      <w:pPr>
        <w:pStyle w:val="Heading1"/>
        <w:numPr>
          <w:ilvl w:val="0"/>
          <w:numId w:val="0"/>
        </w:numPr>
        <w:rPr>
          <w:u w:val="single"/>
          <w:lang w:val="es-ES"/>
        </w:rPr>
      </w:pPr>
      <w:proofErr w:type="spellStart"/>
      <w:r w:rsidRPr="006F2AE0">
        <w:rPr>
          <w:u w:val="single"/>
          <w:lang w:val="es-PE"/>
        </w:rPr>
        <w:t>Côte</w:t>
      </w:r>
      <w:proofErr w:type="spellEnd"/>
      <w:r w:rsidRPr="006F2AE0">
        <w:rPr>
          <w:u w:val="single"/>
          <w:lang w:val="es-PE"/>
        </w:rPr>
        <w:t xml:space="preserve"> </w:t>
      </w:r>
      <w:proofErr w:type="spellStart"/>
      <w:r w:rsidRPr="006F2AE0">
        <w:rPr>
          <w:u w:val="single"/>
          <w:lang w:val="es-PE"/>
        </w:rPr>
        <w:t>d’Ivoire</w:t>
      </w:r>
      <w:proofErr w:type="spellEnd"/>
      <w:r>
        <w:rPr>
          <w:u w:val="single"/>
          <w:lang w:val="es-PE"/>
        </w:rPr>
        <w:t>: Plan de gestión de la eliminación de los HCFC (etapa I -Informe de aprobación del decreto interministerial (“</w:t>
      </w:r>
      <w:proofErr w:type="spellStart"/>
      <w:r>
        <w:rPr>
          <w:i/>
          <w:iCs/>
          <w:u w:val="single"/>
          <w:lang w:val="es-PE"/>
        </w:rPr>
        <w:t>arrêté</w:t>
      </w:r>
      <w:proofErr w:type="spellEnd"/>
      <w:r>
        <w:rPr>
          <w:i/>
          <w:iCs/>
          <w:u w:val="single"/>
          <w:lang w:val="es-PE"/>
        </w:rPr>
        <w:t xml:space="preserve"> </w:t>
      </w:r>
      <w:proofErr w:type="spellStart"/>
      <w:r>
        <w:rPr>
          <w:i/>
          <w:iCs/>
          <w:u w:val="single"/>
          <w:lang w:val="es-PE"/>
        </w:rPr>
        <w:t>interministériel</w:t>
      </w:r>
      <w:proofErr w:type="spellEnd"/>
      <w:r>
        <w:rPr>
          <w:u w:val="single"/>
          <w:lang w:val="es-PE"/>
        </w:rPr>
        <w:t>”) para la regulación de la importación, la exportación, el tránsito, la reexportación y el comercio de SAO, así como otras medidas para reforzar los sistemas de supervisión y presentación de informes en lo relativo a la importación y exportación de HCFC (PNUMA).</w:t>
      </w:r>
    </w:p>
    <w:p w14:paraId="5D626FE8" w14:textId="77777777" w:rsidR="0050128D" w:rsidRPr="006F2AE0" w:rsidRDefault="0050128D" w:rsidP="0050128D">
      <w:pPr>
        <w:pStyle w:val="Heading1"/>
        <w:numPr>
          <w:ilvl w:val="0"/>
          <w:numId w:val="0"/>
        </w:numPr>
        <w:rPr>
          <w:b/>
          <w:lang w:val="es-ES"/>
        </w:rPr>
      </w:pPr>
      <w:r>
        <w:rPr>
          <w:b/>
          <w:bCs/>
          <w:lang w:val="es-PE"/>
        </w:rPr>
        <w:t>Antecedentes</w:t>
      </w:r>
    </w:p>
    <w:p w14:paraId="246BF3BF" w14:textId="17B0D96C" w:rsidR="0050128D" w:rsidRPr="0050128D" w:rsidRDefault="0050128D" w:rsidP="0050128D">
      <w:pPr>
        <w:numPr>
          <w:ilvl w:val="0"/>
          <w:numId w:val="1"/>
        </w:numPr>
        <w:spacing w:after="240"/>
        <w:outlineLvl w:val="0"/>
        <w:rPr>
          <w:lang w:val="es-PE"/>
        </w:rPr>
      </w:pPr>
      <w:r>
        <w:rPr>
          <w:lang w:val="es-PE"/>
        </w:rPr>
        <w:t xml:space="preserve">En su 84ª reunión, al aprobar el tercer tramo de la etapa I del PGEH para </w:t>
      </w:r>
      <w:proofErr w:type="spellStart"/>
      <w:r>
        <w:rPr>
          <w:lang w:val="es-PE"/>
        </w:rPr>
        <w:t>Côte</w:t>
      </w:r>
      <w:proofErr w:type="spellEnd"/>
      <w:r>
        <w:rPr>
          <w:lang w:val="es-PE"/>
        </w:rPr>
        <w:t xml:space="preserve"> </w:t>
      </w:r>
      <w:proofErr w:type="spellStart"/>
      <w:r>
        <w:rPr>
          <w:lang w:val="es-PE"/>
        </w:rPr>
        <w:t>d’Ivoire</w:t>
      </w:r>
      <w:proofErr w:type="spellEnd"/>
      <w:r>
        <w:rPr>
          <w:lang w:val="es-PE"/>
        </w:rPr>
        <w:t>, el Comité Ejecutivo pidió al Gobierno y al PNUMA que aplicaran las medidas recomendadas en el informe de verificación presentado a la 84ª reunión y que, por medio del PNUMA, informaran en la 86ª reunión sobre la aprobación del decreto interministerial (</w:t>
      </w:r>
      <w:r w:rsidRPr="0050128D">
        <w:rPr>
          <w:lang w:val="es-PE"/>
        </w:rPr>
        <w:t>“</w:t>
      </w:r>
      <w:proofErr w:type="spellStart"/>
      <w:r w:rsidRPr="0050128D">
        <w:rPr>
          <w:lang w:val="es-PE"/>
        </w:rPr>
        <w:t>arrêté</w:t>
      </w:r>
      <w:proofErr w:type="spellEnd"/>
      <w:r w:rsidRPr="0050128D">
        <w:rPr>
          <w:lang w:val="es-PE"/>
        </w:rPr>
        <w:t xml:space="preserve"> </w:t>
      </w:r>
      <w:proofErr w:type="spellStart"/>
      <w:r w:rsidRPr="0050128D">
        <w:rPr>
          <w:lang w:val="es-PE"/>
        </w:rPr>
        <w:t>interministériel</w:t>
      </w:r>
      <w:proofErr w:type="spellEnd"/>
      <w:r w:rsidRPr="0050128D">
        <w:rPr>
          <w:lang w:val="es-PE"/>
        </w:rPr>
        <w:t>”</w:t>
      </w:r>
      <w:r>
        <w:rPr>
          <w:lang w:val="es-PE"/>
        </w:rPr>
        <w:t>) para la regulación de la importación, la exportación, el tránsito, la reexportación y el comercio de SAO, así como otras medidas para el fortalecimiento de sistemas de supervisión y presentación de informes relativos a la importación y exportación de HCFC (decisión 84/71 e)).</w:t>
      </w:r>
    </w:p>
    <w:p w14:paraId="5C729F68" w14:textId="50F2D60D" w:rsidR="0050128D" w:rsidRPr="0050128D" w:rsidRDefault="0050128D" w:rsidP="0050128D">
      <w:pPr>
        <w:numPr>
          <w:ilvl w:val="0"/>
          <w:numId w:val="1"/>
        </w:numPr>
        <w:spacing w:after="240"/>
        <w:outlineLvl w:val="0"/>
        <w:rPr>
          <w:lang w:val="es-PE"/>
        </w:rPr>
      </w:pPr>
      <w:r>
        <w:rPr>
          <w:lang w:val="es-PE"/>
        </w:rPr>
        <w:t xml:space="preserve">De conformidad con la decisión 84/71 e), en la 86ª reunión, el PNUMA informó de que el Comité Nacional del Ozono había aprobado el </w:t>
      </w:r>
      <w:r w:rsidRPr="0050128D">
        <w:rPr>
          <w:lang w:val="es-PE"/>
        </w:rPr>
        <w:t>“</w:t>
      </w:r>
      <w:proofErr w:type="spellStart"/>
      <w:r w:rsidRPr="0050128D">
        <w:rPr>
          <w:lang w:val="es-PE"/>
        </w:rPr>
        <w:t>arrêté</w:t>
      </w:r>
      <w:proofErr w:type="spellEnd"/>
      <w:r w:rsidRPr="0050128D">
        <w:rPr>
          <w:lang w:val="es-PE"/>
        </w:rPr>
        <w:t xml:space="preserve"> </w:t>
      </w:r>
      <w:proofErr w:type="spellStart"/>
      <w:r w:rsidRPr="0050128D">
        <w:rPr>
          <w:lang w:val="es-PE"/>
        </w:rPr>
        <w:t>interministériel</w:t>
      </w:r>
      <w:proofErr w:type="spellEnd"/>
      <w:r w:rsidRPr="0050128D">
        <w:rPr>
          <w:lang w:val="es-PE"/>
        </w:rPr>
        <w:t>”</w:t>
      </w:r>
      <w:r>
        <w:rPr>
          <w:lang w:val="es-PE"/>
        </w:rPr>
        <w:t xml:space="preserve"> (decreto interministerial) en enero de 2020 y que, en abril de 2020, lo habían firmado los ministros de Medio Ambiente y Desarrollo Sostenible y de Comercio e Industria, si bien seguía pendiente la firma del Ministro de Economía y Finanzas.  El Primer Ministro solo podrá promulgar el </w:t>
      </w:r>
      <w:r w:rsidRPr="0050128D">
        <w:rPr>
          <w:lang w:val="es-PE"/>
        </w:rPr>
        <w:t>“</w:t>
      </w:r>
      <w:proofErr w:type="spellStart"/>
      <w:r w:rsidRPr="0050128D">
        <w:rPr>
          <w:lang w:val="es-PE"/>
        </w:rPr>
        <w:t>arrêté</w:t>
      </w:r>
      <w:proofErr w:type="spellEnd"/>
      <w:r w:rsidRPr="0050128D">
        <w:rPr>
          <w:lang w:val="es-PE"/>
        </w:rPr>
        <w:t xml:space="preserve"> </w:t>
      </w:r>
      <w:proofErr w:type="spellStart"/>
      <w:r w:rsidRPr="0050128D">
        <w:rPr>
          <w:lang w:val="es-PE"/>
        </w:rPr>
        <w:t>interministériel</w:t>
      </w:r>
      <w:proofErr w:type="spellEnd"/>
      <w:r w:rsidRPr="0050128D">
        <w:rPr>
          <w:lang w:val="es-PE"/>
        </w:rPr>
        <w:t>”</w:t>
      </w:r>
      <w:r>
        <w:rPr>
          <w:lang w:val="es-PE"/>
        </w:rPr>
        <w:t xml:space="preserve"> cuando lo hayan firmado todos los ministros pertinentes.  Lamentablemente, el Primer Ministro de </w:t>
      </w:r>
      <w:proofErr w:type="spellStart"/>
      <w:r>
        <w:rPr>
          <w:lang w:val="es-PE"/>
        </w:rPr>
        <w:t>Côte</w:t>
      </w:r>
      <w:proofErr w:type="spellEnd"/>
      <w:r>
        <w:rPr>
          <w:lang w:val="es-PE"/>
        </w:rPr>
        <w:t xml:space="preserve"> </w:t>
      </w:r>
      <w:proofErr w:type="spellStart"/>
      <w:r>
        <w:rPr>
          <w:lang w:val="es-PE"/>
        </w:rPr>
        <w:t>d’Ivoire</w:t>
      </w:r>
      <w:proofErr w:type="spellEnd"/>
      <w:r>
        <w:rPr>
          <w:lang w:val="es-PE"/>
        </w:rPr>
        <w:t xml:space="preserve"> falleció en julio de 2020, y se acaba de formar un nuevo gabinete, con un nuevo Ministro de Finanzas; a ello se debe que se haya retrasado el proceso de firma del decreto interministerial. </w:t>
      </w:r>
    </w:p>
    <w:p w14:paraId="345A3B63" w14:textId="06172DE3" w:rsidR="0050128D" w:rsidRPr="0050128D" w:rsidRDefault="0050128D" w:rsidP="0050128D">
      <w:pPr>
        <w:numPr>
          <w:ilvl w:val="0"/>
          <w:numId w:val="1"/>
        </w:numPr>
        <w:spacing w:after="240"/>
        <w:outlineLvl w:val="0"/>
        <w:rPr>
          <w:lang w:val="es-PE"/>
        </w:rPr>
      </w:pPr>
      <w:r>
        <w:rPr>
          <w:lang w:val="es-PE"/>
        </w:rPr>
        <w:t>En cuanto a la aplicación de las recomendaciones en el informe de verificación, el PNUMA suministró información sobre las medidas que había aplicado el Gobierno para la supervisión de las ventas de refrigerantes; la designación de un coordinador del ozono por el Ministerio de Comercio e Industria; los procedimientos para la autorización de las importaciones de SAO; las medidas adoptadas para el control de la calidad de refrigerantes en el mercado, y las responsabilidades de los minoristas para mantener un registro de todos los refrigerantes que compran y utilizan. Además, el PNUMA proporcionó mayor información sobre la formación y las reuniones celebradas para vigilar y controlar los datos sobre los HCFC y los HFC.</w:t>
      </w:r>
    </w:p>
    <w:p w14:paraId="04A5204E" w14:textId="4021479A" w:rsidR="0050128D" w:rsidRPr="006F2AE0" w:rsidRDefault="0050128D" w:rsidP="0050128D">
      <w:pPr>
        <w:numPr>
          <w:ilvl w:val="0"/>
          <w:numId w:val="1"/>
        </w:numPr>
        <w:spacing w:after="240"/>
        <w:outlineLvl w:val="0"/>
        <w:rPr>
          <w:lang w:val="es-ES"/>
        </w:rPr>
      </w:pPr>
      <w:r>
        <w:rPr>
          <w:lang w:val="es-PE"/>
        </w:rPr>
        <w:t xml:space="preserve">Posteriormente, el Comité Ejecutivo tomó nota del informe y pidió al Gobierno de </w:t>
      </w:r>
      <w:proofErr w:type="spellStart"/>
      <w:r>
        <w:rPr>
          <w:lang w:val="es-PE"/>
        </w:rPr>
        <w:t>Côte</w:t>
      </w:r>
      <w:proofErr w:type="spellEnd"/>
      <w:r>
        <w:rPr>
          <w:lang w:val="es-PE"/>
        </w:rPr>
        <w:t xml:space="preserve"> </w:t>
      </w:r>
      <w:proofErr w:type="spellStart"/>
      <w:r>
        <w:rPr>
          <w:lang w:val="es-PE"/>
        </w:rPr>
        <w:t>d’Ivoire</w:t>
      </w:r>
      <w:proofErr w:type="spellEnd"/>
      <w:r>
        <w:rPr>
          <w:lang w:val="es-PE"/>
        </w:rPr>
        <w:t xml:space="preserve"> que facilitara información actualizada, por medio del PNUMA, en la 87ª reunión, sobre la aprobación del </w:t>
      </w:r>
      <w:r w:rsidRPr="006F2AE0">
        <w:rPr>
          <w:i/>
          <w:iCs/>
          <w:lang w:val="es-PE"/>
        </w:rPr>
        <w:t>“</w:t>
      </w:r>
      <w:proofErr w:type="spellStart"/>
      <w:r w:rsidRPr="006F2AE0">
        <w:rPr>
          <w:i/>
          <w:iCs/>
          <w:lang w:val="es-PE"/>
        </w:rPr>
        <w:t>arrêté</w:t>
      </w:r>
      <w:proofErr w:type="spellEnd"/>
      <w:r w:rsidRPr="006F2AE0">
        <w:rPr>
          <w:i/>
          <w:iCs/>
          <w:lang w:val="es-PE"/>
        </w:rPr>
        <w:t xml:space="preserve"> </w:t>
      </w:r>
      <w:proofErr w:type="spellStart"/>
      <w:r w:rsidRPr="006F2AE0">
        <w:rPr>
          <w:i/>
          <w:iCs/>
          <w:lang w:val="es-PE"/>
        </w:rPr>
        <w:t>interministériel</w:t>
      </w:r>
      <w:proofErr w:type="spellEnd"/>
      <w:r w:rsidRPr="006F2AE0">
        <w:rPr>
          <w:i/>
          <w:iCs/>
          <w:lang w:val="es-PE"/>
        </w:rPr>
        <w:t>”</w:t>
      </w:r>
      <w:r>
        <w:rPr>
          <w:lang w:val="es-PE"/>
        </w:rPr>
        <w:t xml:space="preserve"> para la regulación de la importación, la exportación, el tránsito, la reexportación y el comercio de SAO (decisión 86/23 b)).</w:t>
      </w:r>
    </w:p>
    <w:p w14:paraId="4DD513EC" w14:textId="77777777" w:rsidR="0050128D" w:rsidRPr="006F2AE0" w:rsidRDefault="0050128D" w:rsidP="0050128D">
      <w:pPr>
        <w:rPr>
          <w:b/>
          <w:bCs/>
          <w:lang w:val="es-ES"/>
        </w:rPr>
      </w:pPr>
      <w:r>
        <w:rPr>
          <w:b/>
          <w:bCs/>
          <w:lang w:val="es-PE"/>
        </w:rPr>
        <w:t>87ª reunión</w:t>
      </w:r>
    </w:p>
    <w:p w14:paraId="026A186F" w14:textId="77777777" w:rsidR="0050128D" w:rsidRPr="006F2AE0" w:rsidRDefault="0050128D" w:rsidP="0050128D">
      <w:pPr>
        <w:rPr>
          <w:lang w:val="es-ES"/>
        </w:rPr>
      </w:pPr>
    </w:p>
    <w:p w14:paraId="3B3809AE" w14:textId="01FAFDF6" w:rsidR="0050128D" w:rsidRPr="0050128D" w:rsidRDefault="0050128D" w:rsidP="0050128D">
      <w:pPr>
        <w:numPr>
          <w:ilvl w:val="0"/>
          <w:numId w:val="1"/>
        </w:numPr>
        <w:spacing w:after="240"/>
        <w:outlineLvl w:val="0"/>
        <w:rPr>
          <w:lang w:val="es-PE"/>
        </w:rPr>
      </w:pPr>
      <w:r>
        <w:rPr>
          <w:lang w:val="es-PE"/>
        </w:rPr>
        <w:t xml:space="preserve">En su informe a la 87ª reunión, el PNUMA explicó que, en razón de la reestructuración del Gobierno, los cuatro ministros deberán reiniciar el proceso de firma del </w:t>
      </w:r>
      <w:r w:rsidRPr="0050128D">
        <w:rPr>
          <w:lang w:val="es-PE"/>
        </w:rPr>
        <w:t>“</w:t>
      </w:r>
      <w:proofErr w:type="spellStart"/>
      <w:r w:rsidRPr="0050128D">
        <w:rPr>
          <w:lang w:val="es-PE"/>
        </w:rPr>
        <w:t>arrêté</w:t>
      </w:r>
      <w:proofErr w:type="spellEnd"/>
      <w:r w:rsidRPr="0050128D">
        <w:rPr>
          <w:lang w:val="es-PE"/>
        </w:rPr>
        <w:t xml:space="preserve"> </w:t>
      </w:r>
      <w:proofErr w:type="spellStart"/>
      <w:r w:rsidRPr="0050128D">
        <w:rPr>
          <w:lang w:val="es-PE"/>
        </w:rPr>
        <w:t>interministériel</w:t>
      </w:r>
      <w:proofErr w:type="spellEnd"/>
      <w:r w:rsidRPr="0050128D">
        <w:rPr>
          <w:lang w:val="es-PE"/>
        </w:rPr>
        <w:t>”</w:t>
      </w:r>
      <w:r>
        <w:rPr>
          <w:lang w:val="es-PE"/>
        </w:rPr>
        <w:t xml:space="preserve">. Desde el 15 de mayo de 2021, solo el Ministro del Medio Ambiente ha firmado el decreto; se prevé que los otros tres ministros (esto es, el Ministro de Presupuesto y Cartera de Estado, el Ministro de Comercio e Industria y el Ministro de Economía y Finanzas) lo firmen antes del 30 de octubre de 2021. </w:t>
      </w:r>
    </w:p>
    <w:p w14:paraId="6FD82A42" w14:textId="547585D0" w:rsidR="0050128D" w:rsidRPr="006F2AE0" w:rsidRDefault="0050128D" w:rsidP="0050128D">
      <w:pPr>
        <w:numPr>
          <w:ilvl w:val="0"/>
          <w:numId w:val="1"/>
        </w:numPr>
        <w:spacing w:after="240"/>
        <w:outlineLvl w:val="0"/>
        <w:rPr>
          <w:lang w:val="es-ES"/>
        </w:rPr>
      </w:pPr>
      <w:r>
        <w:rPr>
          <w:lang w:val="es-PE"/>
        </w:rPr>
        <w:t xml:space="preserve">El PNUMA se encargará de proseguir el seguimiento con el Gobierno y mantendrá al corriente al Comité Ejecutivo sobre dicha cuestión. </w:t>
      </w:r>
    </w:p>
    <w:p w14:paraId="52DA12D9" w14:textId="77777777" w:rsidR="0050128D" w:rsidRPr="006F2AE0" w:rsidRDefault="0050128D" w:rsidP="0050128D">
      <w:pPr>
        <w:keepNext/>
        <w:rPr>
          <w:b/>
          <w:lang w:val="es-ES"/>
        </w:rPr>
      </w:pPr>
      <w:r>
        <w:rPr>
          <w:b/>
          <w:bCs/>
          <w:lang w:val="es-PE"/>
        </w:rPr>
        <w:lastRenderedPageBreak/>
        <w:t>Observaciones de la Secretaría</w:t>
      </w:r>
    </w:p>
    <w:p w14:paraId="1311E5D4" w14:textId="77777777" w:rsidR="0050128D" w:rsidRPr="006F2AE0" w:rsidRDefault="0050128D" w:rsidP="0050128D">
      <w:pPr>
        <w:keepNext/>
        <w:rPr>
          <w:lang w:val="es-ES"/>
        </w:rPr>
      </w:pPr>
    </w:p>
    <w:p w14:paraId="30AAA512" w14:textId="34739888" w:rsidR="0050128D" w:rsidRPr="006F2AE0" w:rsidRDefault="0050128D" w:rsidP="0050128D">
      <w:pPr>
        <w:numPr>
          <w:ilvl w:val="0"/>
          <w:numId w:val="1"/>
        </w:numPr>
        <w:spacing w:after="240"/>
        <w:outlineLvl w:val="0"/>
        <w:rPr>
          <w:sz w:val="24"/>
          <w:szCs w:val="24"/>
          <w:lang w:val="es-ES"/>
        </w:rPr>
      </w:pPr>
      <w:r>
        <w:rPr>
          <w:lang w:val="es-PE"/>
        </w:rPr>
        <w:t xml:space="preserve">Con base en la información proporcionada por el PNUMA, la Secretaría observa que, a pesar de que todavía no se ha firmado el </w:t>
      </w:r>
      <w:r w:rsidRPr="006F2AE0">
        <w:rPr>
          <w:i/>
          <w:iCs/>
          <w:lang w:val="es-PE"/>
        </w:rPr>
        <w:t>“</w:t>
      </w:r>
      <w:proofErr w:type="spellStart"/>
      <w:r w:rsidRPr="006F2AE0">
        <w:rPr>
          <w:i/>
          <w:iCs/>
          <w:lang w:val="es-PE"/>
        </w:rPr>
        <w:t>arrêté</w:t>
      </w:r>
      <w:proofErr w:type="spellEnd"/>
      <w:r w:rsidRPr="006F2AE0">
        <w:rPr>
          <w:i/>
          <w:iCs/>
          <w:lang w:val="es-PE"/>
        </w:rPr>
        <w:t>”</w:t>
      </w:r>
      <w:r>
        <w:rPr>
          <w:lang w:val="es-PE"/>
        </w:rPr>
        <w:t xml:space="preserve">, la dependencia nacional del ozono, bajo la dirección del Comité Nacional del Ozono, sigue adoptando medidas para reforzar la ejecución y la supervisión de los sistemas de presentación de informes sobre la importación y exportación de SAO; el Comité Nacional del Ozono y la dependencia nacional del ozono también están realizando y supervisando las actividades conexas. </w:t>
      </w:r>
    </w:p>
    <w:p w14:paraId="1D8B8014" w14:textId="77777777" w:rsidR="0050128D" w:rsidRPr="006F2AE0" w:rsidRDefault="0050128D" w:rsidP="0050128D">
      <w:pPr>
        <w:rPr>
          <w:b/>
          <w:lang w:val="es-ES"/>
        </w:rPr>
      </w:pPr>
      <w:r>
        <w:rPr>
          <w:b/>
          <w:bCs/>
          <w:lang w:val="es-PE"/>
        </w:rPr>
        <w:t>Recomendación</w:t>
      </w:r>
    </w:p>
    <w:p w14:paraId="0BBD3F42" w14:textId="77777777" w:rsidR="0050128D" w:rsidRPr="006F2AE0" w:rsidRDefault="0050128D" w:rsidP="0050128D">
      <w:pPr>
        <w:pStyle w:val="Heading1"/>
        <w:numPr>
          <w:ilvl w:val="0"/>
          <w:numId w:val="0"/>
        </w:numPr>
        <w:spacing w:after="0"/>
        <w:rPr>
          <w:lang w:val="es-ES"/>
        </w:rPr>
      </w:pPr>
    </w:p>
    <w:p w14:paraId="76307F18" w14:textId="776117E8" w:rsidR="0050128D" w:rsidRPr="006F2AE0" w:rsidRDefault="0050128D" w:rsidP="0050128D">
      <w:pPr>
        <w:numPr>
          <w:ilvl w:val="0"/>
          <w:numId w:val="1"/>
        </w:numPr>
        <w:spacing w:after="240"/>
        <w:outlineLvl w:val="0"/>
        <w:rPr>
          <w:lang w:val="es-ES"/>
        </w:rPr>
      </w:pPr>
      <w:r>
        <w:rPr>
          <w:lang w:val="es-PE"/>
        </w:rPr>
        <w:t xml:space="preserve">El Comité Ejecutivo podría considerar: </w:t>
      </w:r>
    </w:p>
    <w:p w14:paraId="3D88BDCB" w14:textId="09FE20C6" w:rsidR="0050128D" w:rsidRPr="0050128D" w:rsidRDefault="0050128D" w:rsidP="008E0FC9">
      <w:pPr>
        <w:pStyle w:val="Heading2"/>
        <w:numPr>
          <w:ilvl w:val="1"/>
          <w:numId w:val="8"/>
        </w:numPr>
        <w:tabs>
          <w:tab w:val="clear" w:pos="0"/>
        </w:tabs>
        <w:rPr>
          <w:lang w:val="es-PE"/>
        </w:rPr>
      </w:pPr>
      <w:r>
        <w:rPr>
          <w:lang w:val="es-PE"/>
        </w:rPr>
        <w:t>Tomar nota del informe en lo relativo a la aprobación del decreto interministerial (</w:t>
      </w:r>
      <w:r w:rsidRPr="0050128D">
        <w:rPr>
          <w:lang w:val="es-PE"/>
        </w:rPr>
        <w:t>“</w:t>
      </w:r>
      <w:proofErr w:type="spellStart"/>
      <w:r w:rsidRPr="0050128D">
        <w:rPr>
          <w:lang w:val="es-PE"/>
        </w:rPr>
        <w:t>arrêté</w:t>
      </w:r>
      <w:proofErr w:type="spellEnd"/>
      <w:r w:rsidRPr="0050128D">
        <w:rPr>
          <w:lang w:val="es-PE"/>
        </w:rPr>
        <w:t xml:space="preserve"> </w:t>
      </w:r>
      <w:proofErr w:type="spellStart"/>
      <w:r w:rsidRPr="0050128D">
        <w:rPr>
          <w:lang w:val="es-PE"/>
        </w:rPr>
        <w:t>interministériel</w:t>
      </w:r>
      <w:proofErr w:type="spellEnd"/>
      <w:r w:rsidRPr="0050128D">
        <w:rPr>
          <w:lang w:val="es-PE"/>
        </w:rPr>
        <w:t>”</w:t>
      </w:r>
      <w:r>
        <w:rPr>
          <w:lang w:val="es-PE"/>
        </w:rPr>
        <w:t xml:space="preserve">) para la regulación de la importación, la exportación, el tránsito, la reexportación y el comercio de SAO, así como otras medidas para el reforzamiento de los sistemas de supervisión y presentación de informes en relación con la importación y exportación de HCFC en el marco de la etapa I del plan de gestión de la eliminación de los HCFC para </w:t>
      </w:r>
      <w:proofErr w:type="spellStart"/>
      <w:r>
        <w:rPr>
          <w:lang w:val="es-PE"/>
        </w:rPr>
        <w:t>Côte</w:t>
      </w:r>
      <w:proofErr w:type="spellEnd"/>
      <w:r>
        <w:rPr>
          <w:lang w:val="es-PE"/>
        </w:rPr>
        <w:t xml:space="preserve"> </w:t>
      </w:r>
      <w:proofErr w:type="spellStart"/>
      <w:r>
        <w:rPr>
          <w:lang w:val="es-PE"/>
        </w:rPr>
        <w:t>d’Ivoire</w:t>
      </w:r>
      <w:proofErr w:type="spellEnd"/>
      <w:r>
        <w:rPr>
          <w:lang w:val="es-PE"/>
        </w:rPr>
        <w:t xml:space="preserve">, presentado por el PNUMA y que figura en el documento UNEP/Ozl.Pro/ExCom/87/9, y </w:t>
      </w:r>
    </w:p>
    <w:p w14:paraId="41E5FB2C" w14:textId="261A61D2" w:rsidR="0050128D" w:rsidRPr="006F2AE0" w:rsidRDefault="0050128D" w:rsidP="008E0FC9">
      <w:pPr>
        <w:pStyle w:val="Heading2"/>
        <w:numPr>
          <w:ilvl w:val="1"/>
          <w:numId w:val="8"/>
        </w:numPr>
        <w:tabs>
          <w:tab w:val="clear" w:pos="0"/>
        </w:tabs>
        <w:rPr>
          <w:lang w:val="es-ES"/>
        </w:rPr>
      </w:pPr>
      <w:r>
        <w:rPr>
          <w:lang w:val="es-PE"/>
        </w:rPr>
        <w:t xml:space="preserve">Pedir al Gobierno de </w:t>
      </w:r>
      <w:proofErr w:type="spellStart"/>
      <w:r>
        <w:rPr>
          <w:lang w:val="es-PE"/>
        </w:rPr>
        <w:t>Côte</w:t>
      </w:r>
      <w:proofErr w:type="spellEnd"/>
      <w:r>
        <w:rPr>
          <w:lang w:val="es-PE"/>
        </w:rPr>
        <w:t xml:space="preserve"> </w:t>
      </w:r>
      <w:proofErr w:type="spellStart"/>
      <w:r>
        <w:rPr>
          <w:lang w:val="es-PE"/>
        </w:rPr>
        <w:t>d’Ivoire</w:t>
      </w:r>
      <w:proofErr w:type="spellEnd"/>
      <w:r>
        <w:rPr>
          <w:lang w:val="es-PE"/>
        </w:rPr>
        <w:t xml:space="preserve"> que, por medio del </w:t>
      </w:r>
      <w:proofErr w:type="gramStart"/>
      <w:r>
        <w:rPr>
          <w:lang w:val="es-PE"/>
        </w:rPr>
        <w:t>PNUMA,  proporcione</w:t>
      </w:r>
      <w:proofErr w:type="gramEnd"/>
      <w:r>
        <w:rPr>
          <w:lang w:val="es-PE"/>
        </w:rPr>
        <w:t xml:space="preserve"> información actualizada en la 88ª reunión sobre la aprobación del </w:t>
      </w:r>
      <w:r w:rsidRPr="006F2AE0">
        <w:rPr>
          <w:i/>
          <w:iCs/>
          <w:lang w:val="es-PE"/>
        </w:rPr>
        <w:t>“</w:t>
      </w:r>
      <w:proofErr w:type="spellStart"/>
      <w:r w:rsidRPr="006F2AE0">
        <w:rPr>
          <w:i/>
          <w:iCs/>
          <w:lang w:val="es-PE"/>
        </w:rPr>
        <w:t>arrêté</w:t>
      </w:r>
      <w:proofErr w:type="spellEnd"/>
      <w:r w:rsidRPr="006F2AE0">
        <w:rPr>
          <w:i/>
          <w:iCs/>
          <w:lang w:val="es-PE"/>
        </w:rPr>
        <w:t xml:space="preserve"> </w:t>
      </w:r>
      <w:proofErr w:type="spellStart"/>
      <w:r w:rsidRPr="006F2AE0">
        <w:rPr>
          <w:i/>
          <w:iCs/>
          <w:lang w:val="es-PE"/>
        </w:rPr>
        <w:t>interministériel</w:t>
      </w:r>
      <w:proofErr w:type="spellEnd"/>
      <w:r w:rsidRPr="006F2AE0">
        <w:rPr>
          <w:i/>
          <w:iCs/>
          <w:lang w:val="es-PE"/>
        </w:rPr>
        <w:t>”</w:t>
      </w:r>
      <w:r>
        <w:rPr>
          <w:lang w:val="es-PE"/>
        </w:rPr>
        <w:t xml:space="preserve"> mencionado anteriormente en el inciso a).</w:t>
      </w:r>
    </w:p>
    <w:p w14:paraId="2EE1AC70" w14:textId="77777777" w:rsidR="0050128D" w:rsidRPr="006F2AE0" w:rsidRDefault="0050128D" w:rsidP="0050128D">
      <w:pPr>
        <w:rPr>
          <w:u w:val="single"/>
          <w:lang w:val="es-ES"/>
        </w:rPr>
      </w:pPr>
      <w:r w:rsidRPr="006F2AE0">
        <w:rPr>
          <w:u w:val="single"/>
          <w:lang w:val="es-PE"/>
        </w:rPr>
        <w:t>Ecuador:</w:t>
      </w:r>
      <w:r>
        <w:rPr>
          <w:u w:val="single"/>
          <w:lang w:val="es-PE"/>
        </w:rPr>
        <w:t xml:space="preserve"> Plan de gestión de la eliminación de los HCFC (etapa I - Aplazamiento de la prohibición de la importación de HCFC-141b contenido en los </w:t>
      </w:r>
      <w:proofErr w:type="spellStart"/>
      <w:r>
        <w:rPr>
          <w:u w:val="single"/>
          <w:lang w:val="es-PE"/>
        </w:rPr>
        <w:t>polioles</w:t>
      </w:r>
      <w:proofErr w:type="spellEnd"/>
      <w:r>
        <w:rPr>
          <w:u w:val="single"/>
          <w:lang w:val="es-PE"/>
        </w:rPr>
        <w:t xml:space="preserve"> premezclados (ONUDI y PNUMA).</w:t>
      </w:r>
    </w:p>
    <w:p w14:paraId="22A11C48" w14:textId="77777777" w:rsidR="0050128D" w:rsidRPr="006F2AE0" w:rsidRDefault="0050128D" w:rsidP="0050128D">
      <w:pPr>
        <w:rPr>
          <w:u w:val="single"/>
          <w:lang w:val="es-ES"/>
        </w:rPr>
      </w:pPr>
    </w:p>
    <w:p w14:paraId="19C6B699" w14:textId="77777777" w:rsidR="0050128D" w:rsidRPr="006F2AE0" w:rsidRDefault="0050128D" w:rsidP="0050128D">
      <w:pPr>
        <w:rPr>
          <w:b/>
          <w:lang w:val="es-ES"/>
        </w:rPr>
      </w:pPr>
      <w:r>
        <w:rPr>
          <w:b/>
          <w:bCs/>
          <w:lang w:val="es-PE"/>
        </w:rPr>
        <w:t>Antecedentes</w:t>
      </w:r>
    </w:p>
    <w:p w14:paraId="7757C726" w14:textId="77777777" w:rsidR="0050128D" w:rsidRPr="006F2AE0" w:rsidRDefault="0050128D" w:rsidP="0050128D">
      <w:pPr>
        <w:rPr>
          <w:lang w:val="es-ES"/>
        </w:rPr>
      </w:pPr>
    </w:p>
    <w:p w14:paraId="7D7FE627" w14:textId="0183DEE2" w:rsidR="0050128D" w:rsidRPr="006F2AE0" w:rsidRDefault="0050128D" w:rsidP="0050128D">
      <w:pPr>
        <w:numPr>
          <w:ilvl w:val="0"/>
          <w:numId w:val="1"/>
        </w:numPr>
        <w:spacing w:after="240"/>
        <w:outlineLvl w:val="0"/>
        <w:rPr>
          <w:lang w:val="es-ES"/>
        </w:rPr>
      </w:pPr>
      <w:r>
        <w:rPr>
          <w:lang w:val="es-PE"/>
        </w:rPr>
        <w:t xml:space="preserve">Con posterioridad a la finalización de los documentos para el proceso de aprobación en el período entre sesiones, establecido para la 86ª reunión, en noviembre de 2020, la Secretaría recibió una carta del Gobierno del Ecuador en la que le informaba sobre la necesidad de aplazar la prohibición de la importación de HCFC-141b contenido en los </w:t>
      </w:r>
      <w:proofErr w:type="spellStart"/>
      <w:r>
        <w:rPr>
          <w:lang w:val="es-PE"/>
        </w:rPr>
        <w:t>polioles</w:t>
      </w:r>
      <w:proofErr w:type="spellEnd"/>
      <w:r>
        <w:rPr>
          <w:lang w:val="es-PE"/>
        </w:rPr>
        <w:t xml:space="preserve"> premezclados, del 1º de enero de 2021 al 1º de enero de 2022.</w:t>
      </w:r>
    </w:p>
    <w:p w14:paraId="2EAD4EFE" w14:textId="77777777" w:rsidR="0050128D" w:rsidRPr="006F2AE0" w:rsidRDefault="0050128D" w:rsidP="0050128D">
      <w:pPr>
        <w:keepNext/>
        <w:keepLines/>
        <w:spacing w:after="240"/>
        <w:rPr>
          <w:b/>
          <w:lang w:val="es-ES"/>
        </w:rPr>
      </w:pPr>
      <w:r>
        <w:rPr>
          <w:b/>
          <w:bCs/>
          <w:lang w:val="es-PE"/>
        </w:rPr>
        <w:t>Observaciones de la Secretaría</w:t>
      </w:r>
    </w:p>
    <w:p w14:paraId="49BC449C" w14:textId="19862B2D" w:rsidR="0050128D" w:rsidRPr="0050128D" w:rsidRDefault="0050128D" w:rsidP="0050128D">
      <w:pPr>
        <w:numPr>
          <w:ilvl w:val="0"/>
          <w:numId w:val="1"/>
        </w:numPr>
        <w:spacing w:after="240"/>
        <w:outlineLvl w:val="0"/>
        <w:rPr>
          <w:lang w:val="es-PE"/>
        </w:rPr>
      </w:pPr>
      <w:r>
        <w:rPr>
          <w:lang w:val="es-PE"/>
        </w:rPr>
        <w:t xml:space="preserve">Tomando nota de que la solicitud se había recibido demasiado tarde para someterla a consideración en el proceso de aprobación en el período entre sesiones de la 86ª reunión (esto es, después de que se finalizaran los documentos para la 86ª reunión y durante el proceso de aprobación en el período entre sesiones de esa reunión), la Secretaría informó al Gobierno del Ecuador de que se presentaría la cuestión a la 87ª reunión. Por consiguiente, la petición del Gobierno del Ecuador se presenta al Comité Ejecutivo para examen. </w:t>
      </w:r>
    </w:p>
    <w:p w14:paraId="56A0E272" w14:textId="7E26E51B" w:rsidR="0050128D" w:rsidRPr="006F2AE0" w:rsidRDefault="0050128D" w:rsidP="0050128D">
      <w:pPr>
        <w:numPr>
          <w:ilvl w:val="0"/>
          <w:numId w:val="1"/>
        </w:numPr>
        <w:spacing w:after="240"/>
        <w:outlineLvl w:val="0"/>
        <w:rPr>
          <w:lang w:val="es-ES"/>
        </w:rPr>
      </w:pPr>
      <w:r>
        <w:rPr>
          <w:lang w:val="es-PE"/>
        </w:rPr>
        <w:t xml:space="preserve">En el marco del proyecto del sector de espumas para la eliminación de HCFC-141b contenido en </w:t>
      </w:r>
      <w:proofErr w:type="spellStart"/>
      <w:r>
        <w:rPr>
          <w:lang w:val="es-PE"/>
        </w:rPr>
        <w:t>polioles</w:t>
      </w:r>
      <w:proofErr w:type="spellEnd"/>
      <w:r>
        <w:rPr>
          <w:lang w:val="es-PE"/>
        </w:rPr>
        <w:t xml:space="preserve"> premezclados importados en el Ecuador, en el marco de la etapa I del PGEH, el Gobierno se comprometió a no autorizar cupos de importación de HCFC-141b contenidos en </w:t>
      </w:r>
      <w:proofErr w:type="spellStart"/>
      <w:r>
        <w:rPr>
          <w:lang w:val="es-PE"/>
        </w:rPr>
        <w:t>polioles</w:t>
      </w:r>
      <w:proofErr w:type="spellEnd"/>
      <w:r>
        <w:rPr>
          <w:lang w:val="es-PE"/>
        </w:rPr>
        <w:t xml:space="preserve"> premezclados a partir del 1º de enero de 2020, salvo un máximo de 0,86 toneladas PAO (7,78 toneladas) para el sector de espumas pulverizadas para 2020 y 2021, de conformidad con la decisión 81/47 c) i). </w:t>
      </w:r>
    </w:p>
    <w:p w14:paraId="751C1E15" w14:textId="2846FF8D" w:rsidR="0050128D" w:rsidRPr="0050128D" w:rsidRDefault="0050128D" w:rsidP="0050128D">
      <w:pPr>
        <w:numPr>
          <w:ilvl w:val="0"/>
          <w:numId w:val="1"/>
        </w:numPr>
        <w:spacing w:after="240"/>
        <w:outlineLvl w:val="0"/>
        <w:rPr>
          <w:lang w:val="es-PE"/>
        </w:rPr>
      </w:pPr>
      <w:r>
        <w:rPr>
          <w:lang w:val="es-PE"/>
        </w:rPr>
        <w:t xml:space="preserve">Al presentar el último tramo de la etapa I del PGEH en la 85ª reunión, la ONUDI informó de que el Gobierno debía aplazar la prohibición, del 1º de enero de 2020 al 1º de enero de 2021, a fin de que los fabricantes de espumas de poliuretano que reciben asistencia puedan completar las pruebas con agentes espumantes alternativos de bajo potencial de calentamiento atmosférico (PCA) y emprender las </w:t>
      </w:r>
      <w:r>
        <w:rPr>
          <w:lang w:val="es-PE"/>
        </w:rPr>
        <w:lastRenderedPageBreak/>
        <w:t>conversiones conexas de sus procesos de fabricación. La Secretaría informó al Comité Ejecutivo al respecto</w:t>
      </w:r>
      <w:r>
        <w:rPr>
          <w:rStyle w:val="FootnoteReference"/>
          <w:lang w:val="es-PE"/>
        </w:rPr>
        <w:footnoteReference w:id="14"/>
      </w:r>
      <w:r w:rsidRPr="0050128D">
        <w:rPr>
          <w:lang w:val="es-PE"/>
        </w:rPr>
        <w:t>.</w:t>
      </w:r>
    </w:p>
    <w:p w14:paraId="52BAF055" w14:textId="11A0E94C" w:rsidR="0050128D" w:rsidRPr="0050128D" w:rsidRDefault="0050128D" w:rsidP="0050128D">
      <w:pPr>
        <w:numPr>
          <w:ilvl w:val="0"/>
          <w:numId w:val="1"/>
        </w:numPr>
        <w:spacing w:after="240"/>
        <w:outlineLvl w:val="0"/>
        <w:rPr>
          <w:lang w:val="es-PE"/>
        </w:rPr>
      </w:pPr>
      <w:r>
        <w:rPr>
          <w:lang w:val="es-PE"/>
        </w:rPr>
        <w:t xml:space="preserve">Al justificar el nuevo aplazamiento de la prohibición, del 1º de enero de 2021 al 1º de enero de 2022, el Gobierno del Ecuador, por medio de la ONUDI, explicó que las actividades del proyecto (esto es, las pruebas con agentes espumantes de bajo PCA y la conversión de empresas que reciben asistencia) se habían retrasado debido a las medidas adoptadas por el Gobierno para frenar la propagación de la pandemia de COVID-19. </w:t>
      </w:r>
    </w:p>
    <w:p w14:paraId="68A2CB83" w14:textId="58F94CBB" w:rsidR="0050128D" w:rsidRPr="006F2AE0" w:rsidRDefault="0050128D" w:rsidP="0050128D">
      <w:pPr>
        <w:numPr>
          <w:ilvl w:val="0"/>
          <w:numId w:val="1"/>
        </w:numPr>
        <w:spacing w:after="240"/>
        <w:outlineLvl w:val="0"/>
        <w:rPr>
          <w:lang w:val="es-ES"/>
        </w:rPr>
      </w:pPr>
      <w:r>
        <w:rPr>
          <w:lang w:val="es-PE"/>
        </w:rPr>
        <w:t xml:space="preserve">La Secretaría toma nota de que la nueva prórroga de la prohibición al 1º de enero de 2022 permitirá a los proveedores de sistemas y a los fabricantes de espumas finalizar las pruebas en curso con agentes espumantes de bajo PCA y terminar la conversión de las empresas en la fecha de terminación prevista (31 de diciembre de 2021) de la etapa I del PGEH. </w:t>
      </w:r>
    </w:p>
    <w:p w14:paraId="48664A3D" w14:textId="77777777" w:rsidR="0050128D" w:rsidRPr="006F2AE0" w:rsidRDefault="0050128D" w:rsidP="0050128D">
      <w:pPr>
        <w:rPr>
          <w:b/>
          <w:lang w:val="es-ES"/>
        </w:rPr>
      </w:pPr>
      <w:r>
        <w:rPr>
          <w:b/>
          <w:bCs/>
          <w:lang w:val="es-PE"/>
        </w:rPr>
        <w:t>Recomendación</w:t>
      </w:r>
    </w:p>
    <w:p w14:paraId="173AE459" w14:textId="77777777" w:rsidR="0050128D" w:rsidRPr="006F2AE0" w:rsidRDefault="0050128D" w:rsidP="0050128D">
      <w:pPr>
        <w:rPr>
          <w:u w:val="single"/>
          <w:lang w:val="es-ES"/>
        </w:rPr>
      </w:pPr>
    </w:p>
    <w:p w14:paraId="4956EA2C" w14:textId="21644E9F" w:rsidR="0050128D" w:rsidRPr="006F2AE0" w:rsidRDefault="0050128D" w:rsidP="009A2CFD">
      <w:pPr>
        <w:numPr>
          <w:ilvl w:val="0"/>
          <w:numId w:val="1"/>
        </w:numPr>
        <w:spacing w:after="240"/>
        <w:outlineLvl w:val="0"/>
        <w:rPr>
          <w:lang w:val="es-ES"/>
        </w:rPr>
      </w:pPr>
      <w:r>
        <w:rPr>
          <w:lang w:val="es-PE"/>
        </w:rPr>
        <w:t xml:space="preserve">El Comité Ejecutivo tal vez desee tomar nota del compromiso del Gobierno del Ecuador de no autorizar ningún cupo de importación de HCFC-141b contenido en </w:t>
      </w:r>
      <w:proofErr w:type="spellStart"/>
      <w:r>
        <w:rPr>
          <w:lang w:val="es-PE"/>
        </w:rPr>
        <w:t>polioles</w:t>
      </w:r>
      <w:proofErr w:type="spellEnd"/>
      <w:r>
        <w:rPr>
          <w:lang w:val="es-PE"/>
        </w:rPr>
        <w:t xml:space="preserve"> premezclados a partir del 1º de enero de 2022, en lugar del 1º de enero de 2021, debido a los retrasos impuestos por la pandemia de COVID-19.</w:t>
      </w:r>
    </w:p>
    <w:p w14:paraId="26626A89" w14:textId="77777777" w:rsidR="0050128D" w:rsidRPr="006F2AE0" w:rsidRDefault="0050128D" w:rsidP="0050128D">
      <w:pPr>
        <w:keepNext/>
        <w:spacing w:after="240"/>
        <w:rPr>
          <w:lang w:val="es-ES"/>
        </w:rPr>
      </w:pPr>
      <w:r w:rsidRPr="006F2AE0">
        <w:rPr>
          <w:u w:val="single"/>
          <w:lang w:val="es-PE"/>
        </w:rPr>
        <w:t>Eswatini: Plan</w:t>
      </w:r>
      <w:r>
        <w:rPr>
          <w:u w:val="single"/>
          <w:lang w:val="es-PE"/>
        </w:rPr>
        <w:t xml:space="preserve"> de gestión de la eliminación de los HCFC (etapa I – informe final)</w:t>
      </w:r>
      <w:r>
        <w:rPr>
          <w:lang w:val="es-PE"/>
        </w:rPr>
        <w:t xml:space="preserve"> (PNUMA y PNUD).</w:t>
      </w:r>
    </w:p>
    <w:p w14:paraId="289DC75D" w14:textId="77777777" w:rsidR="0050128D" w:rsidRPr="006F2AE0" w:rsidRDefault="0050128D" w:rsidP="0050128D">
      <w:pPr>
        <w:keepNext/>
        <w:spacing w:after="240"/>
        <w:rPr>
          <w:b/>
          <w:lang w:val="es-ES"/>
        </w:rPr>
      </w:pPr>
      <w:r>
        <w:rPr>
          <w:b/>
          <w:bCs/>
          <w:lang w:val="es-PE"/>
        </w:rPr>
        <w:t>Antecedentes</w:t>
      </w:r>
    </w:p>
    <w:p w14:paraId="47F5FA19" w14:textId="117A2382" w:rsidR="0050128D" w:rsidRPr="009A2CFD" w:rsidRDefault="0050128D" w:rsidP="009A2CFD">
      <w:pPr>
        <w:numPr>
          <w:ilvl w:val="0"/>
          <w:numId w:val="1"/>
        </w:numPr>
        <w:spacing w:after="240"/>
        <w:outlineLvl w:val="0"/>
        <w:rPr>
          <w:lang w:val="es-PE"/>
        </w:rPr>
      </w:pPr>
      <w:r>
        <w:rPr>
          <w:lang w:val="es-PE"/>
        </w:rPr>
        <w:t>La etapa I del PGEH se aprobó en la 63ª reunión</w:t>
      </w:r>
      <w:r w:rsidR="009A2CFD">
        <w:rPr>
          <w:rStyle w:val="FootnoteReference"/>
          <w:lang w:val="es-PE"/>
        </w:rPr>
        <w:footnoteReference w:id="15"/>
      </w:r>
      <w:r>
        <w:rPr>
          <w:lang w:val="es-PE"/>
        </w:rPr>
        <w:t>, con el fin de alcanzar la reducción del 35 por ciento del nivel básico en 2020, cuya financiación total asciende a 877 948 $EUA, más gastos de apoyo del organismo de 77 396 $EUA, para la eliminación de 8,27 toneladas PAO de HCFC. En su 83ª reunión, el Comité Ejecutivo aprobó el cuarto (último) tramo de la etapa I</w:t>
      </w:r>
      <w:r w:rsidR="009A2CFD">
        <w:rPr>
          <w:rStyle w:val="FootnoteReference"/>
          <w:lang w:val="es-PE"/>
        </w:rPr>
        <w:footnoteReference w:id="16"/>
      </w:r>
      <w:r>
        <w:rPr>
          <w:lang w:val="es-PE"/>
        </w:rPr>
        <w:t xml:space="preserve"> y pidió al Gobierno de Eswatini, al PNUMA y al PNUD que, en la primera reunión del Comité Ejecutivo en 2021, presentaran un informe sobre la marcha de las actividades relativo a la ejecución del programa de trabajo vinculado al último tramo, y el informe de terminación de proyectos en la segunda reunión, en 2022 (decisión 83/49). El proyecto deberá culminar a fines de 2021. La etapa II se aprobó en la 86ª reunión. </w:t>
      </w:r>
    </w:p>
    <w:p w14:paraId="42887D94" w14:textId="74E5AC38" w:rsidR="0050128D" w:rsidRPr="006F2AE0" w:rsidRDefault="0050128D" w:rsidP="009A2CFD">
      <w:pPr>
        <w:numPr>
          <w:ilvl w:val="0"/>
          <w:numId w:val="1"/>
        </w:numPr>
        <w:spacing w:after="240"/>
        <w:outlineLvl w:val="0"/>
        <w:rPr>
          <w:lang w:val="es-ES"/>
        </w:rPr>
      </w:pPr>
      <w:r>
        <w:rPr>
          <w:lang w:val="es-PE"/>
        </w:rPr>
        <w:t xml:space="preserve">De conformidad con la decisión 83/49, en nombre del Gobierno de Eswatini, el PNUMA, en calidad de organismo de ejecución principal, presentó un informe sobre la marcha de las actividades relativo a la ejecución de la etapa I del PGEH.  </w:t>
      </w:r>
    </w:p>
    <w:p w14:paraId="09467135" w14:textId="77777777" w:rsidR="0050128D" w:rsidRPr="006F2AE0" w:rsidRDefault="0050128D" w:rsidP="0050128D">
      <w:pPr>
        <w:spacing w:after="240"/>
        <w:rPr>
          <w:i/>
          <w:lang w:val="es-ES"/>
        </w:rPr>
      </w:pPr>
      <w:r>
        <w:rPr>
          <w:i/>
          <w:iCs/>
          <w:lang w:val="es-PE"/>
        </w:rPr>
        <w:t>Consumo de HCFC</w:t>
      </w:r>
    </w:p>
    <w:p w14:paraId="6E71BAF1" w14:textId="41FC8AC3" w:rsidR="0050128D" w:rsidRPr="009A2CFD" w:rsidRDefault="0050128D" w:rsidP="009A2CFD">
      <w:pPr>
        <w:numPr>
          <w:ilvl w:val="0"/>
          <w:numId w:val="1"/>
        </w:numPr>
        <w:spacing w:after="240"/>
        <w:outlineLvl w:val="0"/>
        <w:rPr>
          <w:lang w:val="es-PE"/>
        </w:rPr>
      </w:pPr>
      <w:r>
        <w:rPr>
          <w:lang w:val="es-PE"/>
        </w:rPr>
        <w:t>En el marco del programa de país, el Gobierno de Eswatini notificó un consumo de 0,41 toneladas PAO de HCFC en 2020, un 63 por ciento por debajo del objetivo de control de 1,12 toneladas PAO establecido en el Protocolo de Montreal para ese año, y el 76 por ciento por debajo del nivel básico establecido de 1,73 toneladas PAO. Aún no se han notificado los datos de 2019 con arreglo al artículo 7.</w:t>
      </w:r>
    </w:p>
    <w:p w14:paraId="1C1DB4B3" w14:textId="12C1DEAE" w:rsidR="0050128D" w:rsidRPr="006F2AE0" w:rsidRDefault="0050128D" w:rsidP="009A2CFD">
      <w:pPr>
        <w:numPr>
          <w:ilvl w:val="0"/>
          <w:numId w:val="1"/>
        </w:numPr>
        <w:spacing w:after="240"/>
        <w:outlineLvl w:val="0"/>
        <w:rPr>
          <w:lang w:val="es-ES"/>
        </w:rPr>
      </w:pPr>
      <w:r>
        <w:rPr>
          <w:lang w:val="es-PE"/>
        </w:rPr>
        <w:t xml:space="preserve">El Gobierno presentó los datos sobre el consumo del sector en el informe de ejecución del programa de país de 2019, que eran conformes a los datos notificados con arreglo al artículo 7 del Protocolo de Montreal. </w:t>
      </w:r>
    </w:p>
    <w:p w14:paraId="3AAA0853" w14:textId="77777777" w:rsidR="0050128D" w:rsidRPr="006F2AE0" w:rsidRDefault="0050128D" w:rsidP="0050128D">
      <w:pPr>
        <w:spacing w:after="240"/>
        <w:rPr>
          <w:b/>
          <w:lang w:val="es-ES"/>
        </w:rPr>
      </w:pPr>
      <w:r>
        <w:rPr>
          <w:b/>
          <w:bCs/>
          <w:lang w:val="es-PE"/>
        </w:rPr>
        <w:lastRenderedPageBreak/>
        <w:t>Informe sobre la marcha de las actividades relativo a la ejecución de la etapa I</w:t>
      </w:r>
    </w:p>
    <w:p w14:paraId="280E3511" w14:textId="3EE69078" w:rsidR="0050128D" w:rsidRPr="006F2AE0" w:rsidRDefault="0050128D" w:rsidP="00351285">
      <w:pPr>
        <w:numPr>
          <w:ilvl w:val="0"/>
          <w:numId w:val="1"/>
        </w:numPr>
        <w:spacing w:after="240"/>
        <w:outlineLvl w:val="0"/>
        <w:rPr>
          <w:lang w:val="es-PE"/>
        </w:rPr>
      </w:pPr>
      <w:r>
        <w:rPr>
          <w:lang w:val="es-PE"/>
        </w:rPr>
        <w:t>En el país se ha puesto en marcha el sistema de otorgamiento de licencias y cupos para el control de las importaciones de HCFC. La dependencia nacional del ozono ha celebrado reuniones para que el Comité de Dirección y los importadores puedan evaluar el consumo de HCFC y establecer los cupos. Los cupos para 2021 se asignaron a 14 importadores, a nivel de 0,51 toneladas PAO, que es inferior al objetivo de control del Protocolo de Montreal.</w:t>
      </w:r>
    </w:p>
    <w:p w14:paraId="441689A5" w14:textId="08C162AF" w:rsidR="0050128D" w:rsidRPr="006F2AE0" w:rsidRDefault="0050128D" w:rsidP="00351285">
      <w:pPr>
        <w:numPr>
          <w:ilvl w:val="0"/>
          <w:numId w:val="1"/>
        </w:numPr>
        <w:spacing w:after="240"/>
        <w:outlineLvl w:val="0"/>
        <w:rPr>
          <w:lang w:val="es-ES"/>
        </w:rPr>
      </w:pPr>
      <w:r>
        <w:rPr>
          <w:lang w:val="es-PE"/>
        </w:rPr>
        <w:t xml:space="preserve">Tras la aprobación del cuarto tramo, en octubre de 2019 el Gobierno y el PNUMA firmaron un acuerdo de financiación a pequeña escala. Se impartieron tres talleres de capacitación a 80 oficiales de aduanas (14 mujeres) sobre el control de las importaciones de HCFC y la prevención del comercio ilícito. Se impartieron dos talleres de capacitación a 49 técnicos de servicio y mantenimiento (tres técnicas) sobre buenas prácticas de refrigeración, incluida la manipulación segura de hidrocarburos. Se han identificado a tres institutos de formación profesional (SCOT, </w:t>
      </w:r>
      <w:proofErr w:type="spellStart"/>
      <w:r>
        <w:rPr>
          <w:lang w:val="es-PE"/>
        </w:rPr>
        <w:t>Gwamile</w:t>
      </w:r>
      <w:proofErr w:type="spellEnd"/>
      <w:r>
        <w:rPr>
          <w:lang w:val="es-PE"/>
        </w:rPr>
        <w:t xml:space="preserve"> </w:t>
      </w:r>
      <w:proofErr w:type="spellStart"/>
      <w:r>
        <w:rPr>
          <w:lang w:val="es-PE"/>
        </w:rPr>
        <w:t>Voctim</w:t>
      </w:r>
      <w:proofErr w:type="spellEnd"/>
      <w:r>
        <w:rPr>
          <w:lang w:val="es-PE"/>
        </w:rPr>
        <w:t xml:space="preserve"> y MITC) como centros de referencia para la formación de técnicos, a fin de administrar las herramientas y los equipos para los técnicos en las regiones y recopilar datos de los usuarios finales.</w:t>
      </w:r>
    </w:p>
    <w:p w14:paraId="2FAB48D2" w14:textId="77777777" w:rsidR="0050128D" w:rsidRPr="006F2AE0" w:rsidRDefault="0050128D" w:rsidP="0050128D">
      <w:pPr>
        <w:spacing w:after="240"/>
        <w:outlineLvl w:val="0"/>
        <w:rPr>
          <w:lang w:val="es-ES"/>
        </w:rPr>
      </w:pPr>
      <w:r>
        <w:rPr>
          <w:u w:val="single"/>
          <w:lang w:val="es-PE"/>
        </w:rPr>
        <w:t>Nivel de desembolso de los fondos</w:t>
      </w:r>
    </w:p>
    <w:p w14:paraId="59157DE0" w14:textId="083B33F6" w:rsidR="0050128D" w:rsidRPr="006F2AE0" w:rsidRDefault="0050128D" w:rsidP="00351285">
      <w:pPr>
        <w:numPr>
          <w:ilvl w:val="0"/>
          <w:numId w:val="1"/>
        </w:numPr>
        <w:spacing w:after="240"/>
        <w:outlineLvl w:val="0"/>
        <w:rPr>
          <w:lang w:val="es-ES"/>
        </w:rPr>
      </w:pPr>
      <w:r>
        <w:rPr>
          <w:lang w:val="es-PE"/>
        </w:rPr>
        <w:t>En abril de 2021, se habían desembolsado todos los fondos para lo</w:t>
      </w:r>
      <w:r w:rsidR="00351285">
        <w:rPr>
          <w:lang w:val="es-PE"/>
        </w:rPr>
        <w:t>s tres primeros tramos; de los 30 </w:t>
      </w:r>
      <w:r>
        <w:rPr>
          <w:lang w:val="es-PE"/>
        </w:rPr>
        <w:t xml:space="preserve">000 $EUA aprobados para el cuarto tramo, se desembolsaron 15 000 $EUA (50 por ciento). Los </w:t>
      </w:r>
      <w:r w:rsidR="00351285">
        <w:rPr>
          <w:lang w:val="es-PE"/>
        </w:rPr>
        <w:t>15 000 </w:t>
      </w:r>
      <w:r>
        <w:rPr>
          <w:lang w:val="es-PE"/>
        </w:rPr>
        <w:t>$EUA restantes se desembolsarán en 2021.</w:t>
      </w:r>
    </w:p>
    <w:p w14:paraId="288ACF32" w14:textId="77777777" w:rsidR="0050128D" w:rsidRPr="006F2AE0" w:rsidRDefault="0050128D" w:rsidP="0050128D">
      <w:pPr>
        <w:rPr>
          <w:u w:val="single"/>
          <w:lang w:val="es-ES"/>
        </w:rPr>
      </w:pPr>
      <w:r>
        <w:rPr>
          <w:u w:val="single"/>
          <w:lang w:val="es-PE"/>
        </w:rPr>
        <w:t>Terminación de la etapa I</w:t>
      </w:r>
    </w:p>
    <w:p w14:paraId="703B7C51" w14:textId="77777777" w:rsidR="0050128D" w:rsidRPr="006F2AE0" w:rsidRDefault="0050128D" w:rsidP="0050128D">
      <w:pPr>
        <w:rPr>
          <w:lang w:val="es-ES"/>
        </w:rPr>
      </w:pPr>
    </w:p>
    <w:p w14:paraId="351D1062" w14:textId="1604C1A0" w:rsidR="0050128D" w:rsidRPr="006F2AE0" w:rsidRDefault="0050128D" w:rsidP="00351285">
      <w:pPr>
        <w:numPr>
          <w:ilvl w:val="0"/>
          <w:numId w:val="1"/>
        </w:numPr>
        <w:spacing w:after="240"/>
        <w:outlineLvl w:val="0"/>
        <w:rPr>
          <w:lang w:val="es-ES"/>
        </w:rPr>
      </w:pPr>
      <w:r>
        <w:rPr>
          <w:lang w:val="es-PE"/>
        </w:rPr>
        <w:t xml:space="preserve">El PNUMA ha confirmado que la etapa I del PGEH culminará a fines de 2021. </w:t>
      </w:r>
    </w:p>
    <w:p w14:paraId="370A5B3D" w14:textId="77777777" w:rsidR="0050128D" w:rsidRPr="006F2AE0" w:rsidRDefault="0050128D" w:rsidP="0050128D">
      <w:pPr>
        <w:keepNext/>
        <w:spacing w:after="240"/>
        <w:rPr>
          <w:b/>
          <w:lang w:val="es-ES"/>
        </w:rPr>
      </w:pPr>
      <w:r>
        <w:rPr>
          <w:b/>
          <w:bCs/>
          <w:lang w:val="es-PE"/>
        </w:rPr>
        <w:t>Observaciones de la Secretaría</w:t>
      </w:r>
    </w:p>
    <w:p w14:paraId="235B129F" w14:textId="7EC71F24" w:rsidR="0050128D" w:rsidRPr="006F2AE0" w:rsidRDefault="0050128D" w:rsidP="00351285">
      <w:pPr>
        <w:numPr>
          <w:ilvl w:val="0"/>
          <w:numId w:val="1"/>
        </w:numPr>
        <w:spacing w:after="240"/>
        <w:outlineLvl w:val="0"/>
        <w:rPr>
          <w:lang w:val="es-ES" w:eastAsia="zh-CN"/>
        </w:rPr>
      </w:pPr>
      <w:r>
        <w:rPr>
          <w:lang w:val="es-PE"/>
        </w:rPr>
        <w:t xml:space="preserve">Por lo que respecta a las demás actividades y a la devolución de los saldos, el PNUMA informó de que, en respuesta a la solicitud de realizar otras actividades de capacitación, el Gobierno tiene previsto impartir otro curso de formación a 20 oficiales de aduanas y 25 técnicos.  También se llevarán a cabo actividades de supervisión, así como la redacción del informe final de ejecución de la etapa I, a fin de formular las recomendaciones y extraer las enseñanzas de apoyo a la ejecución de la etapa II.  </w:t>
      </w:r>
    </w:p>
    <w:p w14:paraId="77E620F8" w14:textId="77777777" w:rsidR="0050128D" w:rsidRPr="006F2AE0" w:rsidRDefault="0050128D" w:rsidP="0050128D">
      <w:pPr>
        <w:spacing w:after="240"/>
        <w:outlineLvl w:val="0"/>
        <w:rPr>
          <w:b/>
          <w:lang w:val="es-ES"/>
        </w:rPr>
      </w:pPr>
      <w:r>
        <w:rPr>
          <w:b/>
          <w:bCs/>
          <w:lang w:val="es-PE"/>
        </w:rPr>
        <w:t>Recomendación</w:t>
      </w:r>
    </w:p>
    <w:p w14:paraId="528BC7AC" w14:textId="756DCB3C" w:rsidR="0050128D" w:rsidRPr="006F2AE0" w:rsidRDefault="0050128D" w:rsidP="00351285">
      <w:pPr>
        <w:numPr>
          <w:ilvl w:val="0"/>
          <w:numId w:val="1"/>
        </w:numPr>
        <w:spacing w:after="240"/>
        <w:outlineLvl w:val="0"/>
        <w:rPr>
          <w:lang w:val="es-ES"/>
        </w:rPr>
      </w:pPr>
      <w:r>
        <w:rPr>
          <w:lang w:val="es-PE"/>
        </w:rPr>
        <w:t>El Comité Ejecutivo podría considerar tomar nota del informe sobre la marcha de las actividades relativo a la ejecución del programa de trabajo vinculado al cuarto y último tramo de la etapa I del plan de gestión de la eliminación de los HCFC para Eswatini, presentado por el PNUMA, que figura en el documento UNEP/OzL.Pro/ExCom/87/9.</w:t>
      </w:r>
    </w:p>
    <w:p w14:paraId="5777FBCE" w14:textId="77777777" w:rsidR="0050128D" w:rsidRPr="006F2AE0" w:rsidRDefault="0050128D" w:rsidP="0050128D">
      <w:pPr>
        <w:keepNext/>
        <w:keepLines/>
        <w:spacing w:after="240"/>
        <w:rPr>
          <w:lang w:val="es-ES"/>
        </w:rPr>
      </w:pPr>
      <w:r w:rsidRPr="006F2AE0">
        <w:rPr>
          <w:u w:val="single"/>
          <w:lang w:val="es-PE"/>
        </w:rPr>
        <w:t>Etiopía:</w:t>
      </w:r>
      <w:r>
        <w:rPr>
          <w:u w:val="single"/>
          <w:lang w:val="es-PE"/>
        </w:rPr>
        <w:t xml:space="preserve"> Plan de gestión de la eliminación de los HCFC (etapa I, informe sobre la marcha de las actividades)</w:t>
      </w:r>
      <w:r>
        <w:rPr>
          <w:lang w:val="es-PE"/>
        </w:rPr>
        <w:t xml:space="preserve"> (PNUMA y ONUDI).</w:t>
      </w:r>
    </w:p>
    <w:p w14:paraId="31040460" w14:textId="77777777" w:rsidR="0050128D" w:rsidRPr="006F2AE0" w:rsidRDefault="0050128D" w:rsidP="0050128D">
      <w:pPr>
        <w:keepNext/>
        <w:keepLines/>
        <w:spacing w:after="240"/>
        <w:rPr>
          <w:b/>
          <w:lang w:val="es-ES"/>
        </w:rPr>
      </w:pPr>
      <w:r>
        <w:rPr>
          <w:b/>
          <w:bCs/>
          <w:lang w:val="es-PE"/>
        </w:rPr>
        <w:t>Antecedentes</w:t>
      </w:r>
    </w:p>
    <w:p w14:paraId="022897FE" w14:textId="41066985" w:rsidR="0050128D" w:rsidRPr="006F2AE0" w:rsidRDefault="0050128D" w:rsidP="00351285">
      <w:pPr>
        <w:numPr>
          <w:ilvl w:val="0"/>
          <w:numId w:val="1"/>
        </w:numPr>
        <w:spacing w:after="240"/>
        <w:outlineLvl w:val="0"/>
        <w:rPr>
          <w:lang w:val="es-ES"/>
        </w:rPr>
      </w:pPr>
      <w:r>
        <w:rPr>
          <w:lang w:val="es-PE"/>
        </w:rPr>
        <w:t xml:space="preserve">En nombre del Gobierno de Etiopía, el PNUMA, en calidad de organismo de ejecución principal, presentó el informe sobre la marcha de las actividades relativo a la ejecución del programa de trabajo vinculado al tercer y último tramo de la etapa I del PGEH, de conformidad con la decisión 85/22 a). Dicho tramo se aprobó con carácter excepcional en razón de la posible demora en la ejecución de las actividades de eliminación debido a la pandemia de COVID-19, y teniendo en cuenta de que no se solicitaría ningún </w:t>
      </w:r>
      <w:r>
        <w:rPr>
          <w:lang w:val="es-PE"/>
        </w:rPr>
        <w:lastRenderedPageBreak/>
        <w:t xml:space="preserve">otro plazo para la ejecución de proyectos, se amplió la prórroga de la fecha de terminación de la etapa I del PGEH para Etiopía, del 31 de diciembre de 2021 al 31 de diciembre de 2022.  </w:t>
      </w:r>
    </w:p>
    <w:p w14:paraId="6A5B98D4" w14:textId="77777777" w:rsidR="0050128D" w:rsidRPr="006F2AE0" w:rsidRDefault="0050128D" w:rsidP="0050128D">
      <w:pPr>
        <w:keepNext/>
        <w:keepLines/>
        <w:spacing w:after="240"/>
        <w:rPr>
          <w:i/>
          <w:lang w:val="es-ES"/>
        </w:rPr>
      </w:pPr>
      <w:r>
        <w:rPr>
          <w:i/>
          <w:iCs/>
          <w:lang w:val="es-PE"/>
        </w:rPr>
        <w:t>Consumo de HCFC</w:t>
      </w:r>
    </w:p>
    <w:p w14:paraId="5702E7A4" w14:textId="6367ECF5" w:rsidR="0050128D" w:rsidRPr="00351285" w:rsidRDefault="0050128D" w:rsidP="00351285">
      <w:pPr>
        <w:numPr>
          <w:ilvl w:val="0"/>
          <w:numId w:val="1"/>
        </w:numPr>
        <w:spacing w:after="240"/>
        <w:outlineLvl w:val="0"/>
        <w:rPr>
          <w:lang w:val="es-PE"/>
        </w:rPr>
      </w:pPr>
      <w:r>
        <w:rPr>
          <w:lang w:val="es-PE"/>
        </w:rPr>
        <w:t>En el informe de ejecución del programa de país, el Gobierno de Etiopía notificó un consumo de 3,41 toneladas PAO de HCFC en 2020, un 38 por ciento por debajo del nivel básico de cumplimiento de los HCFC. En Etiopía, solo se consume HCFC-22, el cual se usa exclusivamente en el sector de servicio y mantenimiento. El consumo sigue disminuyendo con la ejecución de las actividades en el sector de servicio y mantenimiento de equipos de refrigeración en el PGEH y el sistema de otorgamiento de licencias y cupos.</w:t>
      </w:r>
    </w:p>
    <w:p w14:paraId="257D5B44" w14:textId="40FAC5BF" w:rsidR="0050128D" w:rsidRPr="006F2AE0" w:rsidRDefault="0050128D" w:rsidP="00351285">
      <w:pPr>
        <w:numPr>
          <w:ilvl w:val="0"/>
          <w:numId w:val="1"/>
        </w:numPr>
        <w:spacing w:after="240"/>
        <w:outlineLvl w:val="0"/>
        <w:rPr>
          <w:lang w:val="es-ES"/>
        </w:rPr>
      </w:pPr>
      <w:r>
        <w:rPr>
          <w:lang w:val="es-PE"/>
        </w:rPr>
        <w:t>El Gobierno de Etiopía, en el informe de ejecución del programa de país de 2019, notificó datos sobre el consumo del sector de los HCFC que son coherentes con los datos notificados con arreglo al artículo 7 del Protocolo de Montreal.</w:t>
      </w:r>
    </w:p>
    <w:p w14:paraId="55230DA1" w14:textId="77777777" w:rsidR="0050128D" w:rsidRPr="006F2AE0" w:rsidRDefault="0050128D" w:rsidP="0050128D">
      <w:pPr>
        <w:rPr>
          <w:b/>
          <w:lang w:val="es-ES"/>
        </w:rPr>
      </w:pPr>
      <w:r>
        <w:rPr>
          <w:b/>
          <w:bCs/>
          <w:lang w:val="es-PE"/>
        </w:rPr>
        <w:t>Informe sobre la marcha de las actividades relativo a la ejecución del tercer tramo del plan de gestión de la eliminación de los HCFC</w:t>
      </w:r>
    </w:p>
    <w:p w14:paraId="3CCEAFBB" w14:textId="77777777" w:rsidR="0050128D" w:rsidRPr="006F2AE0" w:rsidRDefault="0050128D" w:rsidP="0050128D">
      <w:pPr>
        <w:rPr>
          <w:i/>
          <w:lang w:val="es-ES"/>
        </w:rPr>
      </w:pPr>
    </w:p>
    <w:p w14:paraId="60387565" w14:textId="77777777" w:rsidR="0050128D" w:rsidRPr="006F2AE0" w:rsidRDefault="0050128D" w:rsidP="0050128D">
      <w:pPr>
        <w:rPr>
          <w:i/>
          <w:lang w:val="es-ES"/>
        </w:rPr>
      </w:pPr>
      <w:r>
        <w:rPr>
          <w:i/>
          <w:iCs/>
          <w:lang w:val="es-PE"/>
        </w:rPr>
        <w:t>Marco jurídico</w:t>
      </w:r>
    </w:p>
    <w:p w14:paraId="70FC8313" w14:textId="77777777" w:rsidR="0050128D" w:rsidRPr="006F2AE0" w:rsidRDefault="0050128D" w:rsidP="0050128D">
      <w:pPr>
        <w:rPr>
          <w:i/>
          <w:lang w:val="es-ES"/>
        </w:rPr>
      </w:pPr>
    </w:p>
    <w:p w14:paraId="223D5283" w14:textId="19F0B2B2" w:rsidR="0050128D" w:rsidRPr="00351285" w:rsidRDefault="0050128D" w:rsidP="00351285">
      <w:pPr>
        <w:numPr>
          <w:ilvl w:val="0"/>
          <w:numId w:val="1"/>
        </w:numPr>
        <w:spacing w:after="240"/>
        <w:outlineLvl w:val="0"/>
        <w:rPr>
          <w:lang w:val="es-PE"/>
        </w:rPr>
      </w:pPr>
      <w:r>
        <w:rPr>
          <w:lang w:val="es-PE"/>
        </w:rPr>
        <w:t xml:space="preserve">En Etiopía, las normas relativas a las SAO, publicadas en 2011, abarcan las importaciones y exportaciones de SAO y de equipos que utilizan SAO, y disponen un sistema de otorgamiento de licencias para todas las SAO, entre ellas, los HCFC.   La Agencia de Protección Ambiental es la coordinadora para el Protocolo de Montreal; se encarga de coordinar todas las actividades para cumplir las obligaciones establecidas; colabora estrechamente con la Autoridad Aduanera y Tributaria para la aplicación de la normativa relativa a las SAO, y es responsable de los mecanismos de logística y aplicación para dicha normativa, así como para sensibilizar a los importadores y al público en general sobre las cuestiones relativas al ozono. El sistema de otorgamiento de cupos y licencias para HCFC está en funcionamiento y se está aplicando.  La dependencia nacional del ozono mantiene un registro de todos los importadores a los que se ha autorizado la importación de HCFC; </w:t>
      </w:r>
      <w:bookmarkStart w:id="0" w:name="_Hlk3285647"/>
      <w:r>
        <w:rPr>
          <w:lang w:val="es-PE"/>
        </w:rPr>
        <w:t>el permiso es válido hasta el 31 de diciembre del año en que se expidió.</w:t>
      </w:r>
      <w:bookmarkEnd w:id="0"/>
      <w:r>
        <w:rPr>
          <w:lang w:val="es-PE"/>
        </w:rPr>
        <w:t xml:space="preserve"> Solo podrá concederse un permiso para cupos a los importadores registrados. La Dirección General de Aduanas confisca todas las sustancias controladas importadas sin un permiso para cupos.</w:t>
      </w:r>
    </w:p>
    <w:p w14:paraId="25932091" w14:textId="5BC602FE" w:rsidR="0050128D" w:rsidRPr="006F2AE0" w:rsidRDefault="0050128D" w:rsidP="00351285">
      <w:pPr>
        <w:numPr>
          <w:ilvl w:val="0"/>
          <w:numId w:val="1"/>
        </w:numPr>
        <w:spacing w:after="240"/>
        <w:outlineLvl w:val="0"/>
        <w:rPr>
          <w:lang w:val="es-ES"/>
        </w:rPr>
      </w:pPr>
      <w:r>
        <w:rPr>
          <w:lang w:val="es-PE"/>
        </w:rPr>
        <w:t xml:space="preserve">El Gobierno de Etiopía ya ha expedido cupos de importación de HCFC para 2021, a 3,30 toneladas PAO, que es inferior al objetivo de control del Protocolo de Montreal de 3,58 toneladas PAO para ese año. </w:t>
      </w:r>
    </w:p>
    <w:p w14:paraId="18551E44" w14:textId="77777777" w:rsidR="0050128D" w:rsidRPr="006F2AE0" w:rsidRDefault="0050128D" w:rsidP="0050128D">
      <w:pPr>
        <w:keepNext/>
        <w:rPr>
          <w:i/>
          <w:lang w:val="es-ES"/>
        </w:rPr>
      </w:pPr>
      <w:r>
        <w:rPr>
          <w:i/>
          <w:iCs/>
          <w:lang w:val="es-PE"/>
        </w:rPr>
        <w:t>Sector de servicio y mantenimiento de equipos de refrigeración</w:t>
      </w:r>
    </w:p>
    <w:p w14:paraId="1476C40A" w14:textId="77777777" w:rsidR="0050128D" w:rsidRPr="006F2AE0" w:rsidRDefault="0050128D" w:rsidP="0050128D">
      <w:pPr>
        <w:keepNext/>
        <w:rPr>
          <w:lang w:val="es-ES"/>
        </w:rPr>
      </w:pPr>
    </w:p>
    <w:p w14:paraId="2B4B62FD" w14:textId="008850CA" w:rsidR="0050128D" w:rsidRPr="006F2AE0" w:rsidRDefault="0050128D" w:rsidP="00351285">
      <w:pPr>
        <w:numPr>
          <w:ilvl w:val="0"/>
          <w:numId w:val="1"/>
        </w:numPr>
        <w:spacing w:after="240"/>
        <w:outlineLvl w:val="0"/>
        <w:rPr>
          <w:lang w:val="es-ES"/>
        </w:rPr>
      </w:pPr>
      <w:r>
        <w:rPr>
          <w:lang w:val="es-PE"/>
        </w:rPr>
        <w:t>Desde la aprobación del tercer y último tramo en junio de 2020, se han realizado las actividades siguientes:</w:t>
      </w:r>
    </w:p>
    <w:p w14:paraId="062155F6" w14:textId="596529DA" w:rsidR="0050128D" w:rsidRPr="00351285" w:rsidRDefault="00351285" w:rsidP="008E0FC9">
      <w:pPr>
        <w:pStyle w:val="Heading2"/>
        <w:numPr>
          <w:ilvl w:val="1"/>
          <w:numId w:val="8"/>
        </w:numPr>
        <w:tabs>
          <w:tab w:val="clear" w:pos="0"/>
        </w:tabs>
        <w:rPr>
          <w:lang w:val="es-PE"/>
        </w:rPr>
      </w:pPr>
      <w:r>
        <w:rPr>
          <w:lang w:val="es-PE"/>
        </w:rPr>
        <w:t>T</w:t>
      </w:r>
      <w:r w:rsidR="0050128D">
        <w:rPr>
          <w:lang w:val="es-PE"/>
        </w:rPr>
        <w:t xml:space="preserve">res talleres de capacitación sobre el seguimiento y el control de SAO para 64 oficiales de aduanas, de los cuales 31 eran mujeres.  Se aplazó otro taller de capacitación para unos 20 oficiales de aduanas debido a la pandemia de COVID-19, el cual se celebrará en julio de 2021; </w:t>
      </w:r>
    </w:p>
    <w:p w14:paraId="47EB6DDF" w14:textId="74E87F13" w:rsidR="0050128D" w:rsidRPr="00351285" w:rsidRDefault="00351285" w:rsidP="008E0FC9">
      <w:pPr>
        <w:pStyle w:val="Heading2"/>
        <w:numPr>
          <w:ilvl w:val="1"/>
          <w:numId w:val="8"/>
        </w:numPr>
        <w:tabs>
          <w:tab w:val="clear" w:pos="0"/>
        </w:tabs>
        <w:rPr>
          <w:lang w:val="es-PE"/>
        </w:rPr>
      </w:pPr>
      <w:r>
        <w:rPr>
          <w:lang w:val="es-PE"/>
        </w:rPr>
        <w:t>C</w:t>
      </w:r>
      <w:r w:rsidR="0050128D">
        <w:rPr>
          <w:lang w:val="es-PE"/>
        </w:rPr>
        <w:t xml:space="preserve">uatro talleres de capacitación sobre buenas prácticas de servicio y mantenimiento, tecnologías incipientes y el servicio y mantenimiento seguro de equipos de refrigeración y aire acondicionado que utilizan refrigerantes de bajo PCA para 90 técnicos de refrigeración y climatización, de los cuales 38 eran mujeres. Se postergó otro taller de capacitación para 20 técnicos de refrigeración y climatización debido a la pandemia de COVID-19, el cual se celebrará en septiembre de 2021; </w:t>
      </w:r>
    </w:p>
    <w:p w14:paraId="2DE2E3FF" w14:textId="55D25EDB" w:rsidR="0050128D" w:rsidRPr="00351285" w:rsidRDefault="00351285" w:rsidP="008E0FC9">
      <w:pPr>
        <w:pStyle w:val="Heading2"/>
        <w:numPr>
          <w:ilvl w:val="1"/>
          <w:numId w:val="8"/>
        </w:numPr>
        <w:tabs>
          <w:tab w:val="clear" w:pos="0"/>
        </w:tabs>
        <w:rPr>
          <w:lang w:val="es-PE"/>
        </w:rPr>
      </w:pPr>
      <w:r>
        <w:rPr>
          <w:lang w:val="es-PE"/>
        </w:rPr>
        <w:lastRenderedPageBreak/>
        <w:t>S</w:t>
      </w:r>
      <w:r w:rsidR="0050128D">
        <w:rPr>
          <w:lang w:val="es-PE"/>
        </w:rPr>
        <w:t>e compraron equipos de capacitación (por ejemplo, unidades de recuperación con bombonas, juegos de manómetros, detectores de gas y unidades didácticas de hidrocarburos) para los centros de formación profesional, analizadores de refrigerantes para las aduanas y los centros de formación y herramientas para los técnicos de servicio y mantenimiento, por ejemplo, llaves ajustables, juegos de herramientas de abocinado, herramientas de contracción, antorchas para soldadura, dobladoras de tubos, válvulas, accesorios); la entrega de los equipos, que se ha retrasado debido a la pandemia de COVID-19 está prevista para julio de 2021, y</w:t>
      </w:r>
    </w:p>
    <w:p w14:paraId="74517B42" w14:textId="51574668" w:rsidR="0050128D" w:rsidRPr="006F2AE0" w:rsidRDefault="00351285" w:rsidP="008E0FC9">
      <w:pPr>
        <w:pStyle w:val="Heading2"/>
        <w:numPr>
          <w:ilvl w:val="1"/>
          <w:numId w:val="8"/>
        </w:numPr>
        <w:tabs>
          <w:tab w:val="clear" w:pos="0"/>
        </w:tabs>
        <w:rPr>
          <w:lang w:val="es-ES"/>
        </w:rPr>
      </w:pPr>
      <w:r>
        <w:rPr>
          <w:lang w:val="es-PE"/>
        </w:rPr>
        <w:t>D</w:t>
      </w:r>
      <w:r w:rsidR="0050128D">
        <w:rPr>
          <w:lang w:val="es-PE"/>
        </w:rPr>
        <w:t>os reuniones de la Asociación de Refrigeración y Aire Acondicionado para fortalecer la asociación y ayudarla a formular sus normas.</w:t>
      </w:r>
    </w:p>
    <w:p w14:paraId="74F29A12" w14:textId="584DD656" w:rsidR="0050128D" w:rsidRPr="006F2AE0" w:rsidRDefault="0050128D" w:rsidP="00351285">
      <w:pPr>
        <w:numPr>
          <w:ilvl w:val="0"/>
          <w:numId w:val="1"/>
        </w:numPr>
        <w:spacing w:after="240"/>
        <w:outlineLvl w:val="0"/>
        <w:rPr>
          <w:lang w:val="es-ES"/>
        </w:rPr>
      </w:pPr>
      <w:r>
        <w:rPr>
          <w:lang w:val="es-PE"/>
        </w:rPr>
        <w:t xml:space="preserve">De conformidad con las recomendaciones del informe de verificación presentado a la 77ª reunión, se desarrolló el sitio web de importadores para solicitar un cupo en línea, actualmente en fase de prueba; el sitio web concluirá a más tardar en enero de 2022. Algunos representantes de la dependencia nacional del ozono, en colaboración con los inspectores de la Comisión de Medio Ambiente, Bosques y Cambio Climático, emprendieron dos visitas a los mercados, almacenes y tiendas para controlar las importaciones ilícitas de SAO. </w:t>
      </w:r>
    </w:p>
    <w:p w14:paraId="1A0D9190" w14:textId="77777777" w:rsidR="0050128D" w:rsidRPr="006F2AE0" w:rsidRDefault="0050128D" w:rsidP="0050128D">
      <w:pPr>
        <w:keepNext/>
        <w:keepLines/>
        <w:spacing w:after="240"/>
        <w:rPr>
          <w:i/>
          <w:lang w:val="es-ES"/>
        </w:rPr>
      </w:pPr>
      <w:r>
        <w:rPr>
          <w:i/>
          <w:iCs/>
          <w:lang w:val="es-PE"/>
        </w:rPr>
        <w:t>Nivel de desembolso de los fondos</w:t>
      </w:r>
    </w:p>
    <w:p w14:paraId="1595FFE1" w14:textId="6D0F6057" w:rsidR="0050128D" w:rsidRPr="006F2AE0" w:rsidRDefault="0050128D" w:rsidP="00351285">
      <w:pPr>
        <w:numPr>
          <w:ilvl w:val="0"/>
          <w:numId w:val="1"/>
        </w:numPr>
        <w:spacing w:after="240"/>
        <w:outlineLvl w:val="0"/>
        <w:rPr>
          <w:lang w:val="es-ES"/>
        </w:rPr>
      </w:pPr>
      <w:r>
        <w:rPr>
          <w:lang w:val="es-PE"/>
        </w:rPr>
        <w:t xml:space="preserve">En abril de 2021, de los 315 000 $EUA aprobados en la etapa I, se habían desembolsado                     237 420 $EUA (165 000 $EUA para el PNUMA y 72 420 $EUA para la ONUDI).  El saldo de                              77 580 $EUA se desembolsará entre 2021 y 2023.  </w:t>
      </w:r>
    </w:p>
    <w:p w14:paraId="368627EA" w14:textId="77777777" w:rsidR="0050128D" w:rsidRPr="006F2AE0" w:rsidRDefault="0050128D" w:rsidP="0050128D">
      <w:pPr>
        <w:rPr>
          <w:b/>
          <w:lang w:val="es-ES"/>
        </w:rPr>
      </w:pPr>
      <w:r>
        <w:rPr>
          <w:b/>
          <w:bCs/>
          <w:lang w:val="es-PE"/>
        </w:rPr>
        <w:t>Observaciones de la Secretaría</w:t>
      </w:r>
    </w:p>
    <w:p w14:paraId="53B6194B" w14:textId="77777777" w:rsidR="0050128D" w:rsidRPr="006F2AE0" w:rsidRDefault="0050128D" w:rsidP="0050128D">
      <w:pPr>
        <w:rPr>
          <w:b/>
          <w:lang w:val="es-ES"/>
        </w:rPr>
      </w:pPr>
    </w:p>
    <w:p w14:paraId="0BF5318F" w14:textId="4E291E6B" w:rsidR="0050128D" w:rsidRPr="006F2AE0" w:rsidRDefault="0050128D" w:rsidP="00351285">
      <w:pPr>
        <w:numPr>
          <w:ilvl w:val="0"/>
          <w:numId w:val="1"/>
        </w:numPr>
        <w:spacing w:after="240"/>
        <w:outlineLvl w:val="0"/>
        <w:rPr>
          <w:lang w:val="es-ES"/>
        </w:rPr>
      </w:pPr>
      <w:r>
        <w:rPr>
          <w:lang w:val="es-PE"/>
        </w:rPr>
        <w:t>A pesar de los desafíos planteados por la pandemia de COVID-19, se prosiguió con la ejecución del PGEH con algunos retrasos.  La prórroga de la etapa I del PGEH al 31 de diciembre de 2022, acordada por el Comité Ejecutivo en su 85ª reunión (decisión 85/22 a)), posibilitará la terminación de la ejecución del programa de trabajo vinculado al último tramo del PGEH. Una vez que se entreguen los equipos comprados por la ONUDI, esta última alcanzará el nivel de desembolso exigido en la decisión 85/22 a)</w:t>
      </w:r>
      <w:r w:rsidR="00351285">
        <w:rPr>
          <w:rStyle w:val="FootnoteReference"/>
          <w:lang w:val="es-PE"/>
        </w:rPr>
        <w:footnoteReference w:id="17"/>
      </w:r>
      <w:r>
        <w:rPr>
          <w:lang w:val="es-PE"/>
        </w:rPr>
        <w:t xml:space="preserve">, a fin de facilitar la presentación de la etapa II del plan de gestión de la eliminación de los HCFC, que se presentó a la 87ª reunión, posteriormente aplazada, y que se prevé presentar en la 88ª reunión.  </w:t>
      </w:r>
    </w:p>
    <w:p w14:paraId="587AF039" w14:textId="77777777" w:rsidR="0050128D" w:rsidRPr="006F2AE0" w:rsidRDefault="0050128D" w:rsidP="0050128D">
      <w:pPr>
        <w:keepNext/>
        <w:rPr>
          <w:b/>
          <w:lang w:val="es-ES"/>
        </w:rPr>
      </w:pPr>
      <w:r>
        <w:rPr>
          <w:b/>
          <w:bCs/>
          <w:lang w:val="es-PE"/>
        </w:rPr>
        <w:t>Recomendación</w:t>
      </w:r>
    </w:p>
    <w:p w14:paraId="7F5E9A2A" w14:textId="77777777" w:rsidR="0050128D" w:rsidRPr="006F2AE0" w:rsidRDefault="0050128D" w:rsidP="0050128D">
      <w:pPr>
        <w:keepNext/>
        <w:rPr>
          <w:lang w:val="es-ES"/>
        </w:rPr>
      </w:pPr>
    </w:p>
    <w:p w14:paraId="6B4D26D4" w14:textId="19F15E18" w:rsidR="0050128D" w:rsidRPr="006F2AE0" w:rsidRDefault="0050128D" w:rsidP="00351285">
      <w:pPr>
        <w:numPr>
          <w:ilvl w:val="0"/>
          <w:numId w:val="1"/>
        </w:numPr>
        <w:spacing w:after="240"/>
        <w:outlineLvl w:val="0"/>
        <w:rPr>
          <w:lang w:val="es-ES"/>
        </w:rPr>
      </w:pPr>
      <w:r>
        <w:rPr>
          <w:lang w:val="es-PE"/>
        </w:rPr>
        <w:t>El Comité Ejecutivo podría tomar nota del informe sobre la marcha de las actividades relativo a la ejecución del programa de trabajo vinculado al tercer y último tramo de la etapa I del plan de gestión de la eliminación de los HCFC para Etiopía, presentado por el PNUMA, que figura en el documento UNEP/OzL.Pro/ExCom/87/9.</w:t>
      </w:r>
    </w:p>
    <w:p w14:paraId="2BEDF6E1" w14:textId="77777777" w:rsidR="00AF751E" w:rsidRPr="0050128D" w:rsidRDefault="00AF751E" w:rsidP="00AF751E">
      <w:pPr>
        <w:pStyle w:val="Heading1"/>
        <w:numPr>
          <w:ilvl w:val="0"/>
          <w:numId w:val="0"/>
        </w:numPr>
        <w:rPr>
          <w:u w:val="single"/>
          <w:lang w:val="es-ES"/>
        </w:rPr>
      </w:pPr>
      <w:r w:rsidRPr="0050128D">
        <w:rPr>
          <w:u w:val="single"/>
          <w:lang w:val="es-ES"/>
        </w:rPr>
        <w:t>Jamaica: Plan de gestión de eliminación de los HCFC (etapa II – Actualización del estado de las medidas para fortalecer el sistema de concesión de licencias y de cupos y de vigilancia del consumo de HCFC y la presentación de informes al respecto, recomendadas en el informe de verificación)</w:t>
      </w:r>
      <w:r w:rsidRPr="0050128D">
        <w:rPr>
          <w:lang w:val="es-ES"/>
        </w:rPr>
        <w:t xml:space="preserve"> (UNDP)</w:t>
      </w:r>
    </w:p>
    <w:p w14:paraId="6324CE32" w14:textId="77777777" w:rsidR="00AF751E" w:rsidRPr="00AF751E" w:rsidRDefault="00AF751E" w:rsidP="00AF751E">
      <w:pPr>
        <w:pStyle w:val="Heading1"/>
        <w:numPr>
          <w:ilvl w:val="0"/>
          <w:numId w:val="0"/>
        </w:numPr>
        <w:rPr>
          <w:b/>
        </w:rPr>
      </w:pPr>
      <w:proofErr w:type="spellStart"/>
      <w:r w:rsidRPr="00AF751E">
        <w:rPr>
          <w:b/>
        </w:rPr>
        <w:t>Antecedentes</w:t>
      </w:r>
      <w:proofErr w:type="spellEnd"/>
    </w:p>
    <w:p w14:paraId="16073C0E" w14:textId="77777777" w:rsidR="00AF751E" w:rsidRPr="00AF751E" w:rsidRDefault="00AF751E" w:rsidP="00AF751E">
      <w:pPr>
        <w:pStyle w:val="Heading1"/>
        <w:rPr>
          <w:lang w:val="es-ES"/>
        </w:rPr>
      </w:pPr>
      <w:r w:rsidRPr="00AF751E">
        <w:rPr>
          <w:lang w:val="es-ES"/>
        </w:rPr>
        <w:t>La etapa II del plan de gestión de eliminación de los HCFC para Jamaica fue aprobado en principio en el proceso de aprobación entre reuniones establecido para la 86</w:t>
      </w:r>
      <w:r w:rsidRPr="00AF751E">
        <w:rPr>
          <w:vertAlign w:val="superscript"/>
          <w:lang w:val="es-ES"/>
        </w:rPr>
        <w:t>a</w:t>
      </w:r>
      <w:r w:rsidRPr="00AF751E">
        <w:rPr>
          <w:lang w:val="es-ES"/>
        </w:rPr>
        <w:t xml:space="preserve"> reunión; al aprobar el primer tramo, el </w:t>
      </w:r>
      <w:r w:rsidRPr="00AF751E">
        <w:rPr>
          <w:lang w:val="es-ES"/>
        </w:rPr>
        <w:lastRenderedPageBreak/>
        <w:t>Comité Ejecutivo pidió al Gobierno de Jamaica y al PNUD que proporcionaran a la 87</w:t>
      </w:r>
      <w:r w:rsidRPr="00AF751E">
        <w:rPr>
          <w:vertAlign w:val="superscript"/>
          <w:lang w:val="es-ES"/>
        </w:rPr>
        <w:t>a</w:t>
      </w:r>
      <w:r w:rsidRPr="00AF751E">
        <w:rPr>
          <w:lang w:val="es-ES"/>
        </w:rPr>
        <w:t> reunión, unan actualización del estado de ejecución de las medidas para fortalecer el sistema de concesión de licencias y de cupos, y de la supervisión y presentación de informes sobre el consumo de HCFC, recomendadas en el informe de verificación presentado a la 85</w:t>
      </w:r>
      <w:r w:rsidRPr="00AF751E">
        <w:rPr>
          <w:vertAlign w:val="superscript"/>
          <w:lang w:val="es-ES"/>
        </w:rPr>
        <w:t>a</w:t>
      </w:r>
      <w:r w:rsidRPr="00AF751E">
        <w:rPr>
          <w:lang w:val="es-ES"/>
        </w:rPr>
        <w:t> reunión</w:t>
      </w:r>
      <w:r w:rsidRPr="00AF751E">
        <w:rPr>
          <w:rStyle w:val="FootnoteReference"/>
        </w:rPr>
        <w:footnoteReference w:id="18"/>
      </w:r>
      <w:r w:rsidRPr="00AF751E">
        <w:rPr>
          <w:lang w:val="es-ES"/>
        </w:rPr>
        <w:t xml:space="preserve"> (decisión </w:t>
      </w:r>
      <w:r w:rsidRPr="00AF751E">
        <w:rPr>
          <w:sz w:val="20"/>
          <w:szCs w:val="20"/>
          <w:lang w:val="es-ES"/>
        </w:rPr>
        <w:t>86/72 e)).</w:t>
      </w:r>
    </w:p>
    <w:p w14:paraId="2E97A5D3" w14:textId="77777777" w:rsidR="00AF751E" w:rsidRPr="00AF751E" w:rsidRDefault="00AF751E" w:rsidP="00AF751E">
      <w:pPr>
        <w:pStyle w:val="Heading1"/>
        <w:rPr>
          <w:lang w:val="es-ES"/>
        </w:rPr>
      </w:pPr>
      <w:r w:rsidRPr="00AF751E">
        <w:rPr>
          <w:lang w:val="es-ES"/>
        </w:rPr>
        <w:t>Atendiendo a la solicitud del Comité Ejecutivo, el PNUD presentó a la 87</w:t>
      </w:r>
      <w:r w:rsidRPr="00AF751E">
        <w:rPr>
          <w:vertAlign w:val="superscript"/>
          <w:lang w:val="es-ES"/>
        </w:rPr>
        <w:t>a</w:t>
      </w:r>
      <w:r w:rsidRPr="00AF751E">
        <w:rPr>
          <w:lang w:val="es-ES"/>
        </w:rPr>
        <w:t xml:space="preserve"> reunión un informe en el que proporcionaba la información que sigue:</w:t>
      </w:r>
    </w:p>
    <w:p w14:paraId="0AC16719" w14:textId="77777777" w:rsidR="00AF751E" w:rsidRPr="00AF751E" w:rsidRDefault="00AF751E" w:rsidP="00AF751E">
      <w:pPr>
        <w:pStyle w:val="Heading2"/>
        <w:rPr>
          <w:lang w:val="es-ES"/>
        </w:rPr>
      </w:pPr>
      <w:r w:rsidRPr="00AF751E">
        <w:rPr>
          <w:lang w:val="es-ES"/>
        </w:rPr>
        <w:t xml:space="preserve">El 31 de marzo de 2020, el Organismo Nacional para el Medio Ambiente y la Planificación (NEPA) solicitó oficialmente a la Academia de Aduanas de Jamaica (JCA), que descontinuara el uso de códigos arancelarios para registrar las importaciones de HCFC y no permitiera las importaciones de HCFC mediante códigos arancelarios que nada tienen que ver con los HCFC. El 29 de mayo de 2020, la JCA comunicó oficialmente los códigos recomendados para las mezclas de HCFC a la </w:t>
      </w:r>
      <w:proofErr w:type="spellStart"/>
      <w:r w:rsidRPr="00AF751E">
        <w:rPr>
          <w:lang w:val="es-ES"/>
        </w:rPr>
        <w:t>Custom</w:t>
      </w:r>
      <w:proofErr w:type="spellEnd"/>
      <w:r w:rsidRPr="00AF751E">
        <w:rPr>
          <w:lang w:val="es-ES"/>
        </w:rPr>
        <w:t xml:space="preserve"> </w:t>
      </w:r>
      <w:proofErr w:type="spellStart"/>
      <w:r w:rsidRPr="00AF751E">
        <w:rPr>
          <w:lang w:val="es-ES"/>
        </w:rPr>
        <w:t>Brokers</w:t>
      </w:r>
      <w:proofErr w:type="spellEnd"/>
      <w:r w:rsidRPr="00AF751E">
        <w:rPr>
          <w:lang w:val="es-ES"/>
        </w:rPr>
        <w:t xml:space="preserve"> and </w:t>
      </w:r>
      <w:proofErr w:type="spellStart"/>
      <w:r w:rsidRPr="00AF751E">
        <w:rPr>
          <w:lang w:val="es-ES"/>
        </w:rPr>
        <w:t>Freight</w:t>
      </w:r>
      <w:proofErr w:type="spellEnd"/>
      <w:r w:rsidRPr="00AF751E">
        <w:rPr>
          <w:lang w:val="es-ES"/>
        </w:rPr>
        <w:t xml:space="preserve"> </w:t>
      </w:r>
      <w:proofErr w:type="spellStart"/>
      <w:r w:rsidRPr="00AF751E">
        <w:rPr>
          <w:lang w:val="es-ES"/>
        </w:rPr>
        <w:t>Forwarders</w:t>
      </w:r>
      <w:proofErr w:type="spellEnd"/>
      <w:r w:rsidRPr="00AF751E">
        <w:rPr>
          <w:lang w:val="es-ES"/>
        </w:rPr>
        <w:t xml:space="preserve"> </w:t>
      </w:r>
      <w:proofErr w:type="spellStart"/>
      <w:r w:rsidRPr="00AF751E">
        <w:rPr>
          <w:lang w:val="es-ES"/>
        </w:rPr>
        <w:t>Association</w:t>
      </w:r>
      <w:proofErr w:type="spellEnd"/>
      <w:r w:rsidRPr="00AF751E">
        <w:rPr>
          <w:lang w:val="es-ES"/>
        </w:rPr>
        <w:t xml:space="preserve"> of Jamaica (CBFFAJ). Estas dos medidas evitarán el uso de códigos incorrectos a la hora de notificar el consumo de HCFC;</w:t>
      </w:r>
    </w:p>
    <w:p w14:paraId="389CDC96" w14:textId="77777777" w:rsidR="00AF751E" w:rsidRPr="00AF751E" w:rsidRDefault="00AF751E" w:rsidP="00AF751E">
      <w:pPr>
        <w:pStyle w:val="Heading2"/>
        <w:rPr>
          <w:lang w:val="es-ES"/>
        </w:rPr>
      </w:pPr>
      <w:r w:rsidRPr="00AF751E">
        <w:rPr>
          <w:lang w:val="es-ES"/>
        </w:rPr>
        <w:t>En julio de 2020, la plantilla de comunicación de datos para la recopilación de datos de los importadores sobre HCFC y HFC fue modificada y enviada a la Jamaica Air</w:t>
      </w:r>
      <w:r w:rsidRPr="00AF751E">
        <w:rPr>
          <w:lang w:val="es-ES"/>
        </w:rPr>
        <w:noBreakHyphen/>
      </w:r>
      <w:proofErr w:type="spellStart"/>
      <w:r w:rsidRPr="00AF751E">
        <w:rPr>
          <w:lang w:val="es-ES"/>
        </w:rPr>
        <w:t>Conditioning</w:t>
      </w:r>
      <w:proofErr w:type="spellEnd"/>
      <w:r w:rsidRPr="00AF751E">
        <w:rPr>
          <w:lang w:val="es-ES"/>
        </w:rPr>
        <w:t xml:space="preserve">, </w:t>
      </w:r>
      <w:proofErr w:type="spellStart"/>
      <w:r w:rsidRPr="00AF751E">
        <w:rPr>
          <w:lang w:val="es-ES"/>
        </w:rPr>
        <w:t>Refrigeration</w:t>
      </w:r>
      <w:proofErr w:type="spellEnd"/>
      <w:r w:rsidRPr="00AF751E">
        <w:rPr>
          <w:lang w:val="es-ES"/>
        </w:rPr>
        <w:t xml:space="preserve"> and </w:t>
      </w:r>
      <w:proofErr w:type="spellStart"/>
      <w:r w:rsidRPr="00AF751E">
        <w:rPr>
          <w:lang w:val="es-ES"/>
        </w:rPr>
        <w:t>Ventilation</w:t>
      </w:r>
      <w:proofErr w:type="spellEnd"/>
      <w:r w:rsidRPr="00AF751E">
        <w:rPr>
          <w:lang w:val="es-ES"/>
        </w:rPr>
        <w:t xml:space="preserve"> </w:t>
      </w:r>
      <w:proofErr w:type="spellStart"/>
      <w:r w:rsidRPr="00AF751E">
        <w:rPr>
          <w:lang w:val="es-ES"/>
        </w:rPr>
        <w:t>Association</w:t>
      </w:r>
      <w:proofErr w:type="spellEnd"/>
      <w:r w:rsidRPr="00AF751E">
        <w:rPr>
          <w:lang w:val="es-ES"/>
        </w:rPr>
        <w:t xml:space="preserve"> (JARVA) y a los importadores. La dependencia nacional del ozono seguirá prestando asesoramiento y apoyo a la capacitación para asegurar la presentación de datos exactos; el uso de esta plantilla informativa revisada facilitará el proceso de recopilación y presentación de datos sobre los HCFC y aumentará la calidad de los datos;</w:t>
      </w:r>
    </w:p>
    <w:p w14:paraId="74C72A4D" w14:textId="77777777" w:rsidR="00AF751E" w:rsidRPr="00AF751E" w:rsidRDefault="00AF751E" w:rsidP="00AF751E">
      <w:pPr>
        <w:pStyle w:val="Heading2"/>
        <w:rPr>
          <w:lang w:val="es-ES"/>
        </w:rPr>
      </w:pPr>
      <w:r w:rsidRPr="00AF751E">
        <w:rPr>
          <w:lang w:val="es-ES"/>
        </w:rPr>
        <w:t>La JCA está en comunicación permanente con los importadores y negociadores para asegurarse de que las facturas de cada refrigerante, en particular los HCFC y las mezclas de HCFC (en que se especifica su composición), se anoten con toda precisión. Además, se celebrarán programas de capacitación con los importadores, negociadores y otros interesados para prevenir cuestiones de discrepancias entre los datos en los informes que se presenten en el futuro;</w:t>
      </w:r>
    </w:p>
    <w:p w14:paraId="17AEB493" w14:textId="77777777" w:rsidR="00AF751E" w:rsidRPr="00AF751E" w:rsidRDefault="00AF751E" w:rsidP="00AF751E">
      <w:pPr>
        <w:pStyle w:val="Heading2"/>
        <w:rPr>
          <w:lang w:val="es-ES"/>
        </w:rPr>
      </w:pPr>
      <w:r w:rsidRPr="00AF751E">
        <w:rPr>
          <w:lang w:val="es-ES"/>
        </w:rPr>
        <w:t>El riesgo que representan las importaciones ilícitas se está tratando de evitar mediante la participación de Jamaica en el proceso consentimiento fundamentado previo oficioso (</w:t>
      </w:r>
      <w:proofErr w:type="spellStart"/>
      <w:r w:rsidRPr="00AF751E">
        <w:rPr>
          <w:lang w:val="es-ES"/>
        </w:rPr>
        <w:t>iPIC</w:t>
      </w:r>
      <w:proofErr w:type="spellEnd"/>
      <w:r w:rsidRPr="00AF751E">
        <w:rPr>
          <w:lang w:val="es-ES"/>
        </w:rPr>
        <w:t>); y</w:t>
      </w:r>
    </w:p>
    <w:p w14:paraId="245234C2" w14:textId="77777777" w:rsidR="00AF751E" w:rsidRPr="00AF751E" w:rsidRDefault="00AF751E" w:rsidP="00AF751E">
      <w:pPr>
        <w:pStyle w:val="Heading2"/>
        <w:rPr>
          <w:lang w:val="es-ES"/>
        </w:rPr>
      </w:pPr>
      <w:r w:rsidRPr="00AF751E">
        <w:rPr>
          <w:lang w:val="es-ES"/>
        </w:rPr>
        <w:t>Entre marzo y abril de 2021, se celebraron deliberaciones entre la dependencia nacional del ozono, la JCA y el Ministerio de Salud y Bienestar para velar por que la asignación de cupos de importación de HCFC concuerde con las necesidades reales del país y se ajuste al plan de gestión de eliminación de los HCFC, y que las cantidades reales de HCFC importadas sean registradas y supervisadas debidamente.</w:t>
      </w:r>
    </w:p>
    <w:p w14:paraId="00BEC9A7" w14:textId="77777777" w:rsidR="00AF751E" w:rsidRPr="00AF751E" w:rsidRDefault="00AF751E" w:rsidP="00AF751E">
      <w:pPr>
        <w:pStyle w:val="Heading1"/>
        <w:rPr>
          <w:lang w:val="es-ES"/>
        </w:rPr>
      </w:pPr>
      <w:r w:rsidRPr="00AF751E">
        <w:rPr>
          <w:lang w:val="es-ES"/>
        </w:rPr>
        <w:t xml:space="preserve">Además de las medidas aplicadas que se acaban de mencionar, entre octubre de 2020 y febrero de 2021, el PNUD celebró conversaciones con la dependencia nacional del ozono, los representantes del Ministerio de Vivienda, Renovación Urbana, Medio Ambiente y Cambio Climático, el Ministerio de Industrias, Inversiones y Comercio y la Junta de Comercio, así como expertos técnicos sobre las recomendaciones para la revisión de las metas nacionales relativas a los HCFC en la Orden sobre Comercio. Cabe prever que la Orden sobre Comercio revisada esté terminada en julio de 2021. </w:t>
      </w:r>
    </w:p>
    <w:p w14:paraId="324AB09C" w14:textId="77777777" w:rsidR="00AF751E" w:rsidRPr="00AF751E" w:rsidRDefault="00AF751E" w:rsidP="00351285">
      <w:pPr>
        <w:keepNext/>
        <w:keepLines/>
        <w:rPr>
          <w:b/>
          <w:lang w:val="es-ES"/>
        </w:rPr>
      </w:pPr>
      <w:r w:rsidRPr="00AF751E">
        <w:rPr>
          <w:b/>
          <w:lang w:val="es-ES"/>
        </w:rPr>
        <w:lastRenderedPageBreak/>
        <w:t>Observaciones de la Secretaría</w:t>
      </w:r>
    </w:p>
    <w:p w14:paraId="76661933" w14:textId="77777777" w:rsidR="00AF751E" w:rsidRPr="00AF751E" w:rsidRDefault="00AF751E" w:rsidP="00AF751E">
      <w:pPr>
        <w:rPr>
          <w:lang w:val="es-ES"/>
        </w:rPr>
      </w:pPr>
    </w:p>
    <w:p w14:paraId="45E1BEA3" w14:textId="0BC1E398" w:rsidR="00AF751E" w:rsidRPr="00AF751E" w:rsidRDefault="00AF751E" w:rsidP="00AF751E">
      <w:pPr>
        <w:pStyle w:val="Heading1"/>
        <w:rPr>
          <w:lang w:val="es-ES"/>
        </w:rPr>
      </w:pPr>
      <w:r w:rsidRPr="00AF751E">
        <w:rPr>
          <w:lang w:val="es-ES"/>
        </w:rPr>
        <w:t>La Secretaría señaló que el Gobierno de Jamaica, con la asistencia del PNUD, había llevado a cabo varias actividades para poner en práctica de manera expedita las recomendaciones contenidas en el informe de verificación. El PNUD explicó que, a pesar de que las consultas con los interesados nacionales se vieron afectadas por las restricciones impuestas a causa de la COVID</w:t>
      </w:r>
      <w:r w:rsidRPr="00AF751E">
        <w:rPr>
          <w:lang w:val="es-ES"/>
        </w:rPr>
        <w:noBreakHyphen/>
        <w:t xml:space="preserve">19, se habían emprendido varias medidas para poner en práctica las recomendaciones mediante reuniones virtuales y la distribución de documentos por medios electrónicos. </w:t>
      </w:r>
    </w:p>
    <w:p w14:paraId="005B5440" w14:textId="77777777" w:rsidR="00AF751E" w:rsidRPr="00AF751E" w:rsidRDefault="00AF751E" w:rsidP="00AF751E">
      <w:pPr>
        <w:pStyle w:val="Heading1"/>
        <w:rPr>
          <w:lang w:val="es-ES"/>
        </w:rPr>
      </w:pPr>
      <w:r w:rsidRPr="00AF751E">
        <w:rPr>
          <w:lang w:val="es-ES"/>
        </w:rPr>
        <w:t>Se acordó que el Gobierno de Jamaica y el PNUD presentaran a la 88</w:t>
      </w:r>
      <w:r w:rsidRPr="00AF751E">
        <w:rPr>
          <w:vertAlign w:val="superscript"/>
          <w:lang w:val="es-ES"/>
        </w:rPr>
        <w:t>a</w:t>
      </w:r>
      <w:r w:rsidRPr="00AF751E">
        <w:rPr>
          <w:lang w:val="es-ES"/>
        </w:rPr>
        <w:t xml:space="preserve"> reunión una actualización de las medidas adicionales adoptadas en relación con las recomendaciones contenidas en el informe de verificación </w:t>
      </w:r>
    </w:p>
    <w:p w14:paraId="4ABBD758" w14:textId="77777777" w:rsidR="00AF751E" w:rsidRPr="00AF751E" w:rsidRDefault="00AF751E" w:rsidP="00AF751E">
      <w:pPr>
        <w:rPr>
          <w:b/>
        </w:rPr>
      </w:pPr>
      <w:proofErr w:type="spellStart"/>
      <w:r w:rsidRPr="00AF751E">
        <w:rPr>
          <w:b/>
        </w:rPr>
        <w:t>Recomendación</w:t>
      </w:r>
      <w:proofErr w:type="spellEnd"/>
    </w:p>
    <w:p w14:paraId="23411860" w14:textId="77777777" w:rsidR="00AF751E" w:rsidRPr="00AF751E" w:rsidRDefault="00AF751E" w:rsidP="00AF751E">
      <w:pPr>
        <w:pStyle w:val="Heading1"/>
        <w:numPr>
          <w:ilvl w:val="0"/>
          <w:numId w:val="0"/>
        </w:numPr>
        <w:spacing w:after="0"/>
      </w:pPr>
    </w:p>
    <w:p w14:paraId="1350CEBA" w14:textId="77777777" w:rsidR="00AF751E" w:rsidRPr="00AF751E" w:rsidRDefault="00AF751E" w:rsidP="00AF751E">
      <w:pPr>
        <w:pStyle w:val="Heading1"/>
        <w:rPr>
          <w:lang w:val="es-ES"/>
        </w:rPr>
      </w:pPr>
      <w:r w:rsidRPr="00AF751E">
        <w:rPr>
          <w:lang w:val="es-ES"/>
        </w:rPr>
        <w:t>El Comité Ejecutivo tal vez desee:</w:t>
      </w:r>
    </w:p>
    <w:p w14:paraId="1E1783B9" w14:textId="77777777" w:rsidR="00AF751E" w:rsidRPr="00AF751E" w:rsidRDefault="00AF751E" w:rsidP="00AF751E">
      <w:pPr>
        <w:pStyle w:val="Heading2"/>
        <w:rPr>
          <w:lang w:val="es-ES"/>
        </w:rPr>
      </w:pPr>
      <w:r w:rsidRPr="00AF751E">
        <w:rPr>
          <w:lang w:val="es-ES"/>
        </w:rPr>
        <w:t>Tomar nota de la actualización del estado de realización de las medidas de fortalecimiento del sistema de concesión de licencias y de cupos, y la supervisión y notificación del consumo de HCFC, recomendadas en el informe de verificación en relación con la etapa II del plan de gestión de eliminación de los HCFC para Jamaica, presentado por el PNUD, que figura en el documento UNEP/Ozl.Pro/ExCom/87/9; y</w:t>
      </w:r>
    </w:p>
    <w:p w14:paraId="072514FF" w14:textId="77777777" w:rsidR="00AF751E" w:rsidRPr="00AF751E" w:rsidRDefault="00AF751E" w:rsidP="00AF751E">
      <w:pPr>
        <w:pStyle w:val="Heading2"/>
        <w:rPr>
          <w:lang w:val="es-ES"/>
        </w:rPr>
      </w:pPr>
      <w:r w:rsidRPr="00AF751E">
        <w:rPr>
          <w:lang w:val="es-ES"/>
        </w:rPr>
        <w:t>Pedir al Gobierno de Jamaica y al PNUD que presente, a la 88</w:t>
      </w:r>
      <w:r w:rsidRPr="00AF751E">
        <w:rPr>
          <w:vertAlign w:val="superscript"/>
          <w:lang w:val="es-ES"/>
        </w:rPr>
        <w:t>a</w:t>
      </w:r>
      <w:r w:rsidRPr="00AF751E">
        <w:rPr>
          <w:lang w:val="es-ES"/>
        </w:rPr>
        <w:t> reunión, una actualización de las medidas adicionales adoptadas en relación con las recomendaciones del informe de verificación presentado a la 85</w:t>
      </w:r>
      <w:r w:rsidRPr="00AF751E">
        <w:rPr>
          <w:vertAlign w:val="superscript"/>
          <w:lang w:val="es-ES"/>
        </w:rPr>
        <w:t>a</w:t>
      </w:r>
      <w:r w:rsidRPr="00AF751E">
        <w:rPr>
          <w:lang w:val="es-ES"/>
        </w:rPr>
        <w:t xml:space="preserve"> reunión.</w:t>
      </w:r>
    </w:p>
    <w:p w14:paraId="34A3245F" w14:textId="77777777" w:rsidR="00AF751E" w:rsidRPr="00AF751E" w:rsidRDefault="00AF751E" w:rsidP="00AF751E">
      <w:pPr>
        <w:pStyle w:val="StyleHeader4Para4Left0Firstline0"/>
        <w:keepNext/>
        <w:keepLines/>
        <w:widowControl/>
        <w:numPr>
          <w:ilvl w:val="0"/>
          <w:numId w:val="0"/>
        </w:numPr>
        <w:rPr>
          <w:sz w:val="22"/>
          <w:u w:val="single"/>
          <w:lang w:val="es-ES"/>
        </w:rPr>
      </w:pPr>
      <w:r w:rsidRPr="00AF751E">
        <w:rPr>
          <w:sz w:val="22"/>
          <w:u w:val="single"/>
          <w:lang w:val="es-ES"/>
        </w:rPr>
        <w:t>Jordania: Plan de gestión de eliminación de los HCFC (etapa II – cambio de tecnología en cinco empresas)</w:t>
      </w:r>
      <w:r w:rsidRPr="00AF751E">
        <w:rPr>
          <w:sz w:val="22"/>
          <w:lang w:val="es-ES"/>
        </w:rPr>
        <w:t xml:space="preserve"> (Banco Mundial y ONUDI) </w:t>
      </w:r>
    </w:p>
    <w:p w14:paraId="71B73104" w14:textId="77777777" w:rsidR="00AF751E" w:rsidRPr="00AF751E" w:rsidRDefault="00AF751E" w:rsidP="00AF751E">
      <w:pPr>
        <w:pStyle w:val="StyleHeader4Para4Left0Firstline0"/>
        <w:keepNext/>
        <w:keepLines/>
        <w:widowControl/>
        <w:numPr>
          <w:ilvl w:val="0"/>
          <w:numId w:val="0"/>
        </w:numPr>
        <w:rPr>
          <w:b/>
          <w:sz w:val="22"/>
        </w:rPr>
      </w:pPr>
      <w:proofErr w:type="spellStart"/>
      <w:r w:rsidRPr="00AF751E">
        <w:rPr>
          <w:b/>
          <w:sz w:val="22"/>
        </w:rPr>
        <w:t>Antecedentes</w:t>
      </w:r>
      <w:proofErr w:type="spellEnd"/>
      <w:r w:rsidRPr="00AF751E">
        <w:rPr>
          <w:b/>
          <w:sz w:val="22"/>
        </w:rPr>
        <w:t xml:space="preserve"> </w:t>
      </w:r>
    </w:p>
    <w:p w14:paraId="1BE064DC" w14:textId="77777777" w:rsidR="00AF751E" w:rsidRPr="00AF751E" w:rsidRDefault="00AF751E" w:rsidP="00AF751E">
      <w:pPr>
        <w:pStyle w:val="Heading1"/>
        <w:rPr>
          <w:lang w:val="es-ES"/>
        </w:rPr>
      </w:pPr>
      <w:r w:rsidRPr="00AF751E">
        <w:rPr>
          <w:lang w:val="es-ES"/>
        </w:rPr>
        <w:t>En su 77</w:t>
      </w:r>
      <w:r w:rsidRPr="00AF751E">
        <w:rPr>
          <w:vertAlign w:val="superscript"/>
          <w:lang w:val="es-ES"/>
        </w:rPr>
        <w:t>a</w:t>
      </w:r>
      <w:r w:rsidRPr="00AF751E">
        <w:rPr>
          <w:lang w:val="es-ES"/>
        </w:rPr>
        <w:t xml:space="preserve"> reunión, el Comité Ejecutivo aprobó, en principio, la etapa II del HPMP para Jordania</w:t>
      </w:r>
      <w:r w:rsidRPr="00AF751E">
        <w:rPr>
          <w:vertAlign w:val="superscript"/>
          <w:lang w:val="en-CA"/>
        </w:rPr>
        <w:footnoteReference w:id="19"/>
      </w:r>
      <w:r w:rsidRPr="00AF751E">
        <w:rPr>
          <w:lang w:val="es-ES"/>
        </w:rPr>
        <w:t xml:space="preserve"> durante el período comprendido entre 2017 y 2022, para reducir el consumo de HCFC en un  50% respecto del nivel básico por la suma de 3.289.919 $EUA, que consiste en 2.075.236 $EUA, más gastos de apoyo al organismo de 145.267 $EUA para el Banco Mundial, y 999.455 $EUA, más gastos de apoyo al organismo de 69.961 $EUA para la ONUDI.  Al aprobar la etapa II, el Comité Ejecutivo, entre otras </w:t>
      </w:r>
      <w:proofErr w:type="gramStart"/>
      <w:r w:rsidRPr="00AF751E">
        <w:rPr>
          <w:lang w:val="es-ES"/>
        </w:rPr>
        <w:t>cosas,  entre</w:t>
      </w:r>
      <w:proofErr w:type="gramEnd"/>
      <w:r w:rsidRPr="00AF751E">
        <w:rPr>
          <w:lang w:val="es-ES"/>
        </w:rPr>
        <w:t xml:space="preserve"> otras cosas, hizo notar que el Gobierno de Jordania tendría flexibilidad en el uso de los fondos aprobados para el sector de espumas de poliuretano a fin de lograr la eliminación ininterrumpida y eficiente del HCFC-141b tal como se estipula en su Acuerdo con el Comité Ejecutivo (decisión 77/45 a) y  b) iii)). </w:t>
      </w:r>
    </w:p>
    <w:p w14:paraId="0A8A0FE3" w14:textId="77777777" w:rsidR="00AF751E" w:rsidRPr="00AF751E" w:rsidRDefault="00AF751E" w:rsidP="00AF751E">
      <w:pPr>
        <w:pStyle w:val="Heading1"/>
        <w:rPr>
          <w:lang w:val="es-ES"/>
        </w:rPr>
      </w:pPr>
      <w:r w:rsidRPr="00AF751E">
        <w:rPr>
          <w:lang w:val="es-ES"/>
        </w:rPr>
        <w:t xml:space="preserve">El plan del sector de espumas de poliuretano de la etapa II del plan de gestión de eliminación de los HCFC incluye la conversión de tres grandes, </w:t>
      </w:r>
      <w:proofErr w:type="spellStart"/>
      <w:r w:rsidRPr="00AF751E">
        <w:rPr>
          <w:lang w:val="es-ES"/>
        </w:rPr>
        <w:t>Jordan</w:t>
      </w:r>
      <w:proofErr w:type="spellEnd"/>
      <w:r w:rsidRPr="00AF751E">
        <w:rPr>
          <w:lang w:val="es-ES"/>
        </w:rPr>
        <w:t xml:space="preserve"> Pioneer </w:t>
      </w:r>
      <w:proofErr w:type="spellStart"/>
      <w:r w:rsidRPr="00AF751E">
        <w:rPr>
          <w:lang w:val="es-ES"/>
        </w:rPr>
        <w:t>for</w:t>
      </w:r>
      <w:proofErr w:type="spellEnd"/>
      <w:r w:rsidRPr="00AF751E">
        <w:rPr>
          <w:lang w:val="es-ES"/>
        </w:rPr>
        <w:t xml:space="preserve"> Metal </w:t>
      </w:r>
      <w:proofErr w:type="spellStart"/>
      <w:r w:rsidRPr="00AF751E">
        <w:rPr>
          <w:lang w:val="es-ES"/>
        </w:rPr>
        <w:t>Industry</w:t>
      </w:r>
      <w:proofErr w:type="spellEnd"/>
      <w:r w:rsidRPr="00AF751E">
        <w:rPr>
          <w:lang w:val="es-ES"/>
        </w:rPr>
        <w:t xml:space="preserve"> (</w:t>
      </w:r>
      <w:proofErr w:type="spellStart"/>
      <w:r w:rsidRPr="00AF751E">
        <w:rPr>
          <w:lang w:val="es-ES"/>
        </w:rPr>
        <w:t>Jordan</w:t>
      </w:r>
      <w:proofErr w:type="spellEnd"/>
      <w:r w:rsidRPr="00AF751E">
        <w:rPr>
          <w:lang w:val="es-ES"/>
        </w:rPr>
        <w:t xml:space="preserve"> Pioneer), Al </w:t>
      </w:r>
      <w:proofErr w:type="spellStart"/>
      <w:r w:rsidRPr="00AF751E">
        <w:rPr>
          <w:lang w:val="es-ES"/>
        </w:rPr>
        <w:t>Safa</w:t>
      </w:r>
      <w:proofErr w:type="spellEnd"/>
      <w:r w:rsidRPr="00AF751E">
        <w:rPr>
          <w:lang w:val="es-ES"/>
        </w:rPr>
        <w:t xml:space="preserve"> </w:t>
      </w:r>
      <w:proofErr w:type="spellStart"/>
      <w:r w:rsidRPr="00AF751E">
        <w:rPr>
          <w:lang w:val="es-ES"/>
        </w:rPr>
        <w:t>for</w:t>
      </w:r>
      <w:proofErr w:type="spellEnd"/>
      <w:r w:rsidRPr="00AF751E">
        <w:rPr>
          <w:lang w:val="es-ES"/>
        </w:rPr>
        <w:t xml:space="preserve"> </w:t>
      </w:r>
      <w:proofErr w:type="spellStart"/>
      <w:r w:rsidRPr="00AF751E">
        <w:rPr>
          <w:lang w:val="es-ES"/>
        </w:rPr>
        <w:t>Sheet</w:t>
      </w:r>
      <w:proofErr w:type="spellEnd"/>
      <w:r w:rsidRPr="00AF751E">
        <w:rPr>
          <w:lang w:val="es-ES"/>
        </w:rPr>
        <w:t xml:space="preserve"> Metal </w:t>
      </w:r>
      <w:proofErr w:type="spellStart"/>
      <w:r w:rsidRPr="00AF751E">
        <w:rPr>
          <w:lang w:val="es-ES"/>
        </w:rPr>
        <w:t>Industry</w:t>
      </w:r>
      <w:proofErr w:type="spellEnd"/>
      <w:r w:rsidRPr="00AF751E">
        <w:rPr>
          <w:lang w:val="es-ES"/>
        </w:rPr>
        <w:t xml:space="preserve"> and Panel Co (Al </w:t>
      </w:r>
      <w:proofErr w:type="spellStart"/>
      <w:r w:rsidRPr="00AF751E">
        <w:rPr>
          <w:lang w:val="es-ES"/>
        </w:rPr>
        <w:t>Safa</w:t>
      </w:r>
      <w:proofErr w:type="spellEnd"/>
      <w:r w:rsidRPr="00AF751E">
        <w:rPr>
          <w:lang w:val="es-ES"/>
        </w:rPr>
        <w:t xml:space="preserve">) y </w:t>
      </w:r>
      <w:proofErr w:type="spellStart"/>
      <w:r w:rsidRPr="00AF751E">
        <w:rPr>
          <w:lang w:val="es-ES"/>
        </w:rPr>
        <w:t>Jordan</w:t>
      </w:r>
      <w:proofErr w:type="spellEnd"/>
      <w:r w:rsidRPr="00AF751E">
        <w:rPr>
          <w:lang w:val="es-ES"/>
        </w:rPr>
        <w:t xml:space="preserve"> </w:t>
      </w:r>
      <w:proofErr w:type="spellStart"/>
      <w:r w:rsidRPr="00AF751E">
        <w:rPr>
          <w:lang w:val="es-ES"/>
        </w:rPr>
        <w:t>Manufacturing</w:t>
      </w:r>
      <w:proofErr w:type="spellEnd"/>
      <w:r w:rsidRPr="00AF751E">
        <w:rPr>
          <w:lang w:val="es-ES"/>
        </w:rPr>
        <w:t xml:space="preserve"> and </w:t>
      </w:r>
      <w:proofErr w:type="spellStart"/>
      <w:r w:rsidRPr="00AF751E">
        <w:rPr>
          <w:lang w:val="es-ES"/>
        </w:rPr>
        <w:t>Services</w:t>
      </w:r>
      <w:proofErr w:type="spellEnd"/>
      <w:r w:rsidRPr="00AF751E">
        <w:rPr>
          <w:lang w:val="es-ES"/>
        </w:rPr>
        <w:t xml:space="preserve"> </w:t>
      </w:r>
      <w:proofErr w:type="spellStart"/>
      <w:r w:rsidRPr="00AF751E">
        <w:rPr>
          <w:lang w:val="es-ES"/>
        </w:rPr>
        <w:t>Solutions</w:t>
      </w:r>
      <w:proofErr w:type="spellEnd"/>
      <w:r w:rsidRPr="00AF751E">
        <w:rPr>
          <w:lang w:val="es-ES"/>
        </w:rPr>
        <w:t xml:space="preserve"> (JMSS), 43 empresas pequeñas y medianas y seis empresas en aplicaciones de espuma en aerosol.  La eliminación total aprobada en el sector de espumas fue de 33,07 toneladas PAO.</w:t>
      </w:r>
    </w:p>
    <w:p w14:paraId="6D902146" w14:textId="77777777" w:rsidR="00AF751E" w:rsidRPr="00AF751E" w:rsidRDefault="00AF751E" w:rsidP="00AF751E">
      <w:pPr>
        <w:pStyle w:val="Heading1"/>
        <w:rPr>
          <w:lang w:val="es-ES"/>
        </w:rPr>
      </w:pPr>
      <w:r w:rsidRPr="00AF751E">
        <w:rPr>
          <w:lang w:val="es-ES"/>
        </w:rPr>
        <w:t xml:space="preserve">De estas 52 empresas en aplicaciones de espumas de poliuretano, </w:t>
      </w:r>
      <w:proofErr w:type="spellStart"/>
      <w:r w:rsidRPr="00AF751E">
        <w:rPr>
          <w:lang w:val="es-ES"/>
        </w:rPr>
        <w:t>Jordan</w:t>
      </w:r>
      <w:proofErr w:type="spellEnd"/>
      <w:r w:rsidRPr="00AF751E">
        <w:rPr>
          <w:lang w:val="es-ES"/>
        </w:rPr>
        <w:t xml:space="preserve"> Pioneer convino en hacer la conversión a </w:t>
      </w:r>
      <w:proofErr w:type="spellStart"/>
      <w:r w:rsidRPr="00AF751E">
        <w:rPr>
          <w:lang w:val="es-ES"/>
        </w:rPr>
        <w:t>ciclopentano</w:t>
      </w:r>
      <w:proofErr w:type="spellEnd"/>
      <w:r w:rsidRPr="00AF751E">
        <w:rPr>
          <w:lang w:val="es-ES"/>
        </w:rPr>
        <w:t xml:space="preserve"> como agente espumante cuando se presentó la etapa II. Durante la ejecución de la etapa II, las empresas que se indican a continuación decidieron adoptar formulaciones basadas en el </w:t>
      </w:r>
      <w:proofErr w:type="spellStart"/>
      <w:r w:rsidRPr="00AF751E">
        <w:rPr>
          <w:lang w:val="es-ES"/>
        </w:rPr>
        <w:t>ciclopentano</w:t>
      </w:r>
      <w:proofErr w:type="spellEnd"/>
      <w:r w:rsidRPr="00AF751E">
        <w:rPr>
          <w:lang w:val="es-ES"/>
        </w:rPr>
        <w:t xml:space="preserve"> en lugar de las formulaciones a base de HFO, habida cuenta de las dificultades para disponer </w:t>
      </w:r>
      <w:r w:rsidRPr="00AF751E">
        <w:rPr>
          <w:lang w:val="es-ES"/>
        </w:rPr>
        <w:lastRenderedPageBreak/>
        <w:t xml:space="preserve">de tecnologías a base de HFO: Al </w:t>
      </w:r>
      <w:proofErr w:type="spellStart"/>
      <w:r w:rsidRPr="00AF751E">
        <w:rPr>
          <w:lang w:val="es-ES"/>
        </w:rPr>
        <w:t>Safa</w:t>
      </w:r>
      <w:proofErr w:type="spellEnd"/>
      <w:r w:rsidRPr="00AF751E">
        <w:rPr>
          <w:lang w:val="es-ES"/>
        </w:rPr>
        <w:t xml:space="preserve">, </w:t>
      </w:r>
      <w:proofErr w:type="spellStart"/>
      <w:r w:rsidRPr="00AF751E">
        <w:rPr>
          <w:lang w:val="es-ES"/>
        </w:rPr>
        <w:t>Shams</w:t>
      </w:r>
      <w:proofErr w:type="spellEnd"/>
      <w:r w:rsidRPr="00AF751E">
        <w:rPr>
          <w:lang w:val="es-ES"/>
        </w:rPr>
        <w:t xml:space="preserve"> Al-</w:t>
      </w:r>
      <w:proofErr w:type="spellStart"/>
      <w:r w:rsidRPr="00AF751E">
        <w:rPr>
          <w:lang w:val="es-ES"/>
        </w:rPr>
        <w:t>ram</w:t>
      </w:r>
      <w:proofErr w:type="spellEnd"/>
      <w:r w:rsidRPr="00AF751E">
        <w:rPr>
          <w:lang w:val="es-ES"/>
        </w:rPr>
        <w:t xml:space="preserve"> </w:t>
      </w:r>
      <w:proofErr w:type="spellStart"/>
      <w:r w:rsidRPr="00AF751E">
        <w:rPr>
          <w:lang w:val="es-ES"/>
        </w:rPr>
        <w:t>Tri</w:t>
      </w:r>
      <w:proofErr w:type="spellEnd"/>
      <w:r w:rsidRPr="00AF751E">
        <w:rPr>
          <w:lang w:val="es-ES"/>
        </w:rPr>
        <w:t xml:space="preserve">, </w:t>
      </w:r>
      <w:proofErr w:type="spellStart"/>
      <w:r w:rsidRPr="00AF751E">
        <w:rPr>
          <w:lang w:val="es-ES"/>
        </w:rPr>
        <w:t>Yousef</w:t>
      </w:r>
      <w:proofErr w:type="spellEnd"/>
      <w:r w:rsidRPr="00AF751E">
        <w:rPr>
          <w:lang w:val="es-ES"/>
        </w:rPr>
        <w:t xml:space="preserve"> Workshop </w:t>
      </w:r>
      <w:proofErr w:type="spellStart"/>
      <w:r w:rsidRPr="00AF751E">
        <w:rPr>
          <w:lang w:val="es-ES"/>
        </w:rPr>
        <w:t>for</w:t>
      </w:r>
      <w:proofErr w:type="spellEnd"/>
      <w:r w:rsidRPr="00AF751E">
        <w:rPr>
          <w:lang w:val="es-ES"/>
        </w:rPr>
        <w:t xml:space="preserve"> Metal Industries, Al-</w:t>
      </w:r>
      <w:proofErr w:type="spellStart"/>
      <w:r w:rsidRPr="00AF751E">
        <w:rPr>
          <w:lang w:val="es-ES"/>
        </w:rPr>
        <w:t>Qanadeel</w:t>
      </w:r>
      <w:proofErr w:type="spellEnd"/>
      <w:r w:rsidRPr="00AF751E">
        <w:rPr>
          <w:lang w:val="es-ES"/>
        </w:rPr>
        <w:t xml:space="preserve">, </w:t>
      </w:r>
      <w:proofErr w:type="spellStart"/>
      <w:r w:rsidRPr="00AF751E">
        <w:rPr>
          <w:lang w:val="es-ES"/>
        </w:rPr>
        <w:t>Prefabricated</w:t>
      </w:r>
      <w:proofErr w:type="spellEnd"/>
      <w:r w:rsidRPr="00AF751E">
        <w:rPr>
          <w:lang w:val="es-ES"/>
        </w:rPr>
        <w:t xml:space="preserve"> </w:t>
      </w:r>
      <w:proofErr w:type="spellStart"/>
      <w:r w:rsidRPr="00AF751E">
        <w:rPr>
          <w:lang w:val="es-ES"/>
        </w:rPr>
        <w:t>Buildings</w:t>
      </w:r>
      <w:proofErr w:type="spellEnd"/>
      <w:r w:rsidRPr="00AF751E">
        <w:rPr>
          <w:lang w:val="es-ES"/>
        </w:rPr>
        <w:t xml:space="preserve"> (</w:t>
      </w:r>
      <w:proofErr w:type="spellStart"/>
      <w:r w:rsidRPr="00AF751E">
        <w:rPr>
          <w:lang w:val="es-ES"/>
        </w:rPr>
        <w:t>Maani</w:t>
      </w:r>
      <w:proofErr w:type="spellEnd"/>
      <w:r w:rsidRPr="00AF751E">
        <w:rPr>
          <w:lang w:val="es-ES"/>
        </w:rPr>
        <w:t xml:space="preserve">), y Abu </w:t>
      </w:r>
      <w:proofErr w:type="spellStart"/>
      <w:r w:rsidRPr="00AF751E">
        <w:rPr>
          <w:lang w:val="es-ES"/>
        </w:rPr>
        <w:t>Haltam</w:t>
      </w:r>
      <w:proofErr w:type="spellEnd"/>
      <w:r w:rsidRPr="00AF751E">
        <w:rPr>
          <w:lang w:val="es-ES"/>
        </w:rPr>
        <w:t>. El Comité Ejecutivo aprobó el cambio de tecnología en estas empresas en las reuniones 83</w:t>
      </w:r>
      <w:r w:rsidRPr="00AF751E">
        <w:rPr>
          <w:vertAlign w:val="superscript"/>
          <w:lang w:val="es-ES"/>
        </w:rPr>
        <w:t>a</w:t>
      </w:r>
      <w:r w:rsidRPr="00AF751E">
        <w:rPr>
          <w:lang w:val="es-ES"/>
        </w:rPr>
        <w:t> </w:t>
      </w:r>
      <w:r w:rsidRPr="00AF751E">
        <w:rPr>
          <w:rStyle w:val="FootnoteReference"/>
        </w:rPr>
        <w:footnoteReference w:id="20"/>
      </w:r>
      <w:r w:rsidRPr="00AF751E">
        <w:rPr>
          <w:lang w:val="es-ES"/>
        </w:rPr>
        <w:t xml:space="preserve"> y 86</w:t>
      </w:r>
      <w:r w:rsidRPr="00AF751E">
        <w:rPr>
          <w:vertAlign w:val="superscript"/>
          <w:lang w:val="es-ES"/>
        </w:rPr>
        <w:t>a</w:t>
      </w:r>
      <w:r w:rsidRPr="00AF751E">
        <w:rPr>
          <w:lang w:val="es-ES"/>
        </w:rPr>
        <w:t xml:space="preserve"> </w:t>
      </w:r>
      <w:r w:rsidRPr="00AF751E">
        <w:rPr>
          <w:rStyle w:val="FootnoteReference"/>
        </w:rPr>
        <w:footnoteReference w:id="21"/>
      </w:r>
      <w:r w:rsidRPr="00AF751E">
        <w:rPr>
          <w:lang w:val="es-ES"/>
        </w:rPr>
        <w:t>.</w:t>
      </w:r>
    </w:p>
    <w:p w14:paraId="4D5961E8" w14:textId="77777777" w:rsidR="00AF751E" w:rsidRPr="00AF751E" w:rsidRDefault="00AF751E" w:rsidP="00AF751E">
      <w:pPr>
        <w:pStyle w:val="Heading1"/>
        <w:rPr>
          <w:lang w:val="es-ES"/>
        </w:rPr>
      </w:pPr>
      <w:r w:rsidRPr="00AF751E">
        <w:rPr>
          <w:lang w:val="es-ES"/>
        </w:rPr>
        <w:t xml:space="preserve">Posteriormente, tras cinco empresas que fabrican espumas, con un consumo de HCFC-141b muy bajo, que producen paneles y otros productos, a saber </w:t>
      </w:r>
      <w:proofErr w:type="spellStart"/>
      <w:r w:rsidRPr="00AF751E">
        <w:rPr>
          <w:lang w:val="es-ES"/>
        </w:rPr>
        <w:t>Asr</w:t>
      </w:r>
      <w:proofErr w:type="spellEnd"/>
      <w:r w:rsidRPr="00AF751E">
        <w:rPr>
          <w:lang w:val="es-ES"/>
        </w:rPr>
        <w:t> Al </w:t>
      </w:r>
      <w:proofErr w:type="spellStart"/>
      <w:r w:rsidRPr="00AF751E">
        <w:rPr>
          <w:lang w:val="es-ES"/>
        </w:rPr>
        <w:t>Nahda</w:t>
      </w:r>
      <w:proofErr w:type="spellEnd"/>
      <w:r w:rsidRPr="00AF751E">
        <w:rPr>
          <w:lang w:val="es-ES"/>
        </w:rPr>
        <w:t xml:space="preserve"> Co., </w:t>
      </w:r>
      <w:proofErr w:type="spellStart"/>
      <w:r w:rsidRPr="00AF751E">
        <w:rPr>
          <w:lang w:val="es-ES"/>
        </w:rPr>
        <w:t>Alfaqeer</w:t>
      </w:r>
      <w:proofErr w:type="spellEnd"/>
      <w:r w:rsidRPr="00AF751E">
        <w:rPr>
          <w:lang w:val="es-ES"/>
        </w:rPr>
        <w:t xml:space="preserve"> Industrial Co. Ltd., </w:t>
      </w:r>
      <w:proofErr w:type="spellStart"/>
      <w:r w:rsidRPr="00AF751E">
        <w:rPr>
          <w:lang w:val="es-ES"/>
        </w:rPr>
        <w:t>Majed</w:t>
      </w:r>
      <w:proofErr w:type="spellEnd"/>
      <w:r w:rsidRPr="00AF751E">
        <w:rPr>
          <w:lang w:val="es-ES"/>
        </w:rPr>
        <w:t> </w:t>
      </w:r>
      <w:proofErr w:type="spellStart"/>
      <w:r w:rsidRPr="00AF751E">
        <w:rPr>
          <w:lang w:val="es-ES"/>
        </w:rPr>
        <w:t>Ghoche</w:t>
      </w:r>
      <w:proofErr w:type="spellEnd"/>
      <w:r w:rsidRPr="00AF751E">
        <w:rPr>
          <w:lang w:val="es-ES"/>
        </w:rPr>
        <w:t xml:space="preserve"> and </w:t>
      </w:r>
      <w:proofErr w:type="spellStart"/>
      <w:r w:rsidRPr="00AF751E">
        <w:rPr>
          <w:lang w:val="es-ES"/>
        </w:rPr>
        <w:t>Partners</w:t>
      </w:r>
      <w:proofErr w:type="spellEnd"/>
      <w:r w:rsidRPr="00AF751E">
        <w:rPr>
          <w:lang w:val="es-ES"/>
        </w:rPr>
        <w:t xml:space="preserve">, </w:t>
      </w:r>
      <w:proofErr w:type="spellStart"/>
      <w:r w:rsidRPr="00AF751E">
        <w:rPr>
          <w:lang w:val="es-ES"/>
        </w:rPr>
        <w:t>Wabbbeh</w:t>
      </w:r>
      <w:proofErr w:type="spellEnd"/>
      <w:r w:rsidRPr="00AF751E">
        <w:rPr>
          <w:lang w:val="es-ES"/>
        </w:rPr>
        <w:t xml:space="preserve"> </w:t>
      </w:r>
      <w:proofErr w:type="spellStart"/>
      <w:r w:rsidRPr="00AF751E">
        <w:rPr>
          <w:lang w:val="es-ES"/>
        </w:rPr>
        <w:t>Aluminum</w:t>
      </w:r>
      <w:proofErr w:type="spellEnd"/>
      <w:r w:rsidRPr="00AF751E">
        <w:rPr>
          <w:lang w:val="es-ES"/>
        </w:rPr>
        <w:t xml:space="preserve"> Co. y </w:t>
      </w:r>
      <w:proofErr w:type="spellStart"/>
      <w:r w:rsidRPr="00AF751E">
        <w:rPr>
          <w:lang w:val="es-ES"/>
        </w:rPr>
        <w:t>Sharori</w:t>
      </w:r>
      <w:proofErr w:type="spellEnd"/>
      <w:r w:rsidRPr="00AF751E">
        <w:rPr>
          <w:lang w:val="es-ES"/>
        </w:rPr>
        <w:t xml:space="preserve"> </w:t>
      </w:r>
      <w:proofErr w:type="spellStart"/>
      <w:r w:rsidRPr="00AF751E">
        <w:rPr>
          <w:lang w:val="es-ES"/>
        </w:rPr>
        <w:t>Aluminium</w:t>
      </w:r>
      <w:proofErr w:type="spellEnd"/>
      <w:r w:rsidRPr="00AF751E">
        <w:rPr>
          <w:lang w:val="es-ES"/>
        </w:rPr>
        <w:t xml:space="preserve"> </w:t>
      </w:r>
      <w:proofErr w:type="spellStart"/>
      <w:r w:rsidRPr="00AF751E">
        <w:rPr>
          <w:lang w:val="es-ES"/>
        </w:rPr>
        <w:t>Blind</w:t>
      </w:r>
      <w:proofErr w:type="spellEnd"/>
      <w:r w:rsidRPr="00AF751E">
        <w:rPr>
          <w:lang w:val="es-ES"/>
        </w:rPr>
        <w:t xml:space="preserve"> </w:t>
      </w:r>
      <w:proofErr w:type="spellStart"/>
      <w:r w:rsidRPr="00AF751E">
        <w:rPr>
          <w:lang w:val="es-ES"/>
        </w:rPr>
        <w:t>Shutters</w:t>
      </w:r>
      <w:proofErr w:type="spellEnd"/>
      <w:r w:rsidRPr="00AF751E">
        <w:rPr>
          <w:lang w:val="es-ES"/>
        </w:rPr>
        <w:t>, solicitaron un cambio de tecnología respecto de la propuesta originalmente a base de HFO-1233zd(E) a la tecnología  basada en el agua como agente espumante, ya que los proveedores de sistema de la región no disponen de tecnología a base de HFO. Con la introducción de la tecnología basada en el agua como agente espumante, las empresas lograrían completar a tiempo sus conversiones, considerando que el reglamento por el que se prohíben las importaciones de HCFC-141</w:t>
      </w:r>
      <w:proofErr w:type="gramStart"/>
      <w:r w:rsidRPr="00AF751E">
        <w:rPr>
          <w:lang w:val="es-ES"/>
        </w:rPr>
        <w:t>b  a</w:t>
      </w:r>
      <w:proofErr w:type="gramEnd"/>
      <w:r w:rsidRPr="00AF751E">
        <w:rPr>
          <w:lang w:val="es-ES"/>
        </w:rPr>
        <w:t xml:space="preserve"> granel y contenido en los </w:t>
      </w:r>
      <w:proofErr w:type="spellStart"/>
      <w:r w:rsidRPr="00AF751E">
        <w:rPr>
          <w:lang w:val="es-ES"/>
        </w:rPr>
        <w:t>polioles</w:t>
      </w:r>
      <w:proofErr w:type="spellEnd"/>
      <w:r w:rsidRPr="00AF751E">
        <w:rPr>
          <w:lang w:val="es-ES"/>
        </w:rPr>
        <w:t xml:space="preserve"> premezclados importador entrará en vigor el 1 de enero de 2022.</w:t>
      </w:r>
    </w:p>
    <w:p w14:paraId="790DD546" w14:textId="77777777" w:rsidR="00AF751E" w:rsidRPr="00AF751E" w:rsidRDefault="00AF751E" w:rsidP="00AF751E">
      <w:pPr>
        <w:pStyle w:val="Heading1"/>
        <w:rPr>
          <w:lang w:val="es-ES"/>
        </w:rPr>
      </w:pPr>
      <w:r w:rsidRPr="00AF751E">
        <w:rPr>
          <w:lang w:val="es-ES"/>
        </w:rPr>
        <w:t>De conformidad con el párrafo 7 a) vii) del Acuerdo entre el Gobierno de Jordania y el Comité Ejecutivo, el Gobierno, por conducto del Banco Mundial, ha presentado una solicitud de cambiar la tecnología de estas cinco empresas de la tecnología basadas en las HFO a la basada en el agua como agente espumante.</w:t>
      </w:r>
    </w:p>
    <w:p w14:paraId="22BBD006" w14:textId="77777777" w:rsidR="00AF751E" w:rsidRPr="00AF751E" w:rsidRDefault="00AF751E" w:rsidP="00AF751E">
      <w:pPr>
        <w:pStyle w:val="StyleHeader4Para4Left0Firstline0"/>
        <w:numPr>
          <w:ilvl w:val="0"/>
          <w:numId w:val="0"/>
        </w:numPr>
        <w:spacing w:after="0"/>
        <w:rPr>
          <w:b/>
          <w:sz w:val="22"/>
          <w:lang w:val="es-ES"/>
        </w:rPr>
      </w:pPr>
      <w:r w:rsidRPr="00AF751E">
        <w:rPr>
          <w:b/>
          <w:sz w:val="22"/>
          <w:lang w:val="es-ES"/>
        </w:rPr>
        <w:t xml:space="preserve">Observaciones de la Secretaría </w:t>
      </w:r>
    </w:p>
    <w:p w14:paraId="1A2837BF" w14:textId="77777777" w:rsidR="00AF751E" w:rsidRPr="00AF751E" w:rsidRDefault="00AF751E" w:rsidP="00AF751E">
      <w:pPr>
        <w:pStyle w:val="StyleHeader4Para4Left0Firstline0"/>
        <w:numPr>
          <w:ilvl w:val="0"/>
          <w:numId w:val="0"/>
        </w:numPr>
        <w:spacing w:after="0"/>
        <w:rPr>
          <w:b/>
          <w:sz w:val="22"/>
          <w:lang w:val="es-ES"/>
        </w:rPr>
      </w:pPr>
    </w:p>
    <w:p w14:paraId="13EF4B65" w14:textId="77777777" w:rsidR="00AF751E" w:rsidRPr="00AF751E" w:rsidRDefault="00AF751E" w:rsidP="00AF751E">
      <w:pPr>
        <w:pStyle w:val="Heading1"/>
        <w:rPr>
          <w:lang w:val="es-ES"/>
        </w:rPr>
      </w:pPr>
      <w:r w:rsidRPr="00AF751E">
        <w:rPr>
          <w:lang w:val="es-ES"/>
        </w:rPr>
        <w:t xml:space="preserve">La Secretaría pidió aclaraciones sobre la manera en que este cambio afectaría los demás proyectos de conversión de la industria. El Banco Mundial aclaró que, en el sector de las espumas, las demás empresas están analizando todavía el uso de la tecnología basada en las HFO, teniendo presentes las mejores propiedades aislantes y la disponibilidad de la tecnología basada en las HFO para aplicaciones en espumas aislantes. </w:t>
      </w:r>
    </w:p>
    <w:p w14:paraId="5E2C0D39" w14:textId="77777777" w:rsidR="00AF751E" w:rsidRPr="00AF751E" w:rsidRDefault="00AF751E" w:rsidP="00AF751E">
      <w:pPr>
        <w:pStyle w:val="Heading1"/>
        <w:rPr>
          <w:lang w:val="es-ES"/>
        </w:rPr>
      </w:pPr>
      <w:r w:rsidRPr="00AF751E">
        <w:rPr>
          <w:lang w:val="es-ES"/>
        </w:rPr>
        <w:t>El Banco Mundial confirmó también que Jordania dispone de tecnología a base de agua como agente espumante para aplicaciones de persianas enrollables, que se puede adquirir en la región de proveedores de sistemas radicados en Egipto, los Emiratos Árabes Unidos y otros países; los proveedores de sistemas prestarán apoyo técnico para ensayar y evaluar la tecnología en cada empresa de manera que cumplan requisitos específicos. Este apoyo garantizaría la adopción sostenible de la tecnología a base de agua como agente espumante en las empresas.</w:t>
      </w:r>
    </w:p>
    <w:p w14:paraId="5B043200" w14:textId="77777777" w:rsidR="00AF751E" w:rsidRPr="00AF751E" w:rsidRDefault="00AF751E" w:rsidP="00AF751E">
      <w:pPr>
        <w:pStyle w:val="Heading1"/>
        <w:rPr>
          <w:lang w:val="es-ES"/>
        </w:rPr>
      </w:pPr>
      <w:r w:rsidRPr="00AF751E">
        <w:rPr>
          <w:lang w:val="es-ES"/>
        </w:rPr>
        <w:t>La Secretaría examinó los costos de la conversión de esas cinco empresas sobre la base de la tecnología basada en el agua como agente espumante; el cambio de tecnología de tres empresas redundaría en una reducción de los costos de 78.393 $EUA a 46.522 $EUA, aunque las otras dos empresas requerirían de asistencia técnica de los proveedores de sistemas en relación con las formulaciones, los ensayos y las pruebas, como se muestra en el cuadro 4.</w:t>
      </w:r>
    </w:p>
    <w:p w14:paraId="7C080BD9" w14:textId="77777777" w:rsidR="00305D02" w:rsidRDefault="00305D02">
      <w:pPr>
        <w:jc w:val="left"/>
        <w:rPr>
          <w:b/>
          <w:lang w:val="es-ES"/>
        </w:rPr>
      </w:pPr>
      <w:r>
        <w:rPr>
          <w:b/>
          <w:lang w:val="es-ES"/>
        </w:rPr>
        <w:br w:type="page"/>
      </w:r>
    </w:p>
    <w:p w14:paraId="4AFF123A" w14:textId="2A619118" w:rsidR="00AF751E" w:rsidRPr="00AF751E" w:rsidRDefault="00AF751E" w:rsidP="00AF751E">
      <w:pPr>
        <w:pStyle w:val="StyleHeader4Para4Left0Firstline0"/>
        <w:numPr>
          <w:ilvl w:val="0"/>
          <w:numId w:val="0"/>
        </w:numPr>
        <w:spacing w:after="0"/>
        <w:rPr>
          <w:b/>
          <w:sz w:val="22"/>
          <w:lang w:val="es-ES"/>
        </w:rPr>
      </w:pPr>
      <w:r w:rsidRPr="00AF751E">
        <w:rPr>
          <w:b/>
          <w:sz w:val="22"/>
          <w:lang w:val="es-ES"/>
        </w:rPr>
        <w:lastRenderedPageBreak/>
        <w:t>Cuadro 4. Costo adicional revisado de la conversión a la tecnología a base de agua como agente espumante ($ EUA)</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4"/>
        <w:gridCol w:w="2845"/>
        <w:gridCol w:w="2845"/>
      </w:tblGrid>
      <w:tr w:rsidR="00AF751E" w:rsidRPr="00305D02" w14:paraId="7C137912" w14:textId="77777777" w:rsidTr="00AF751E">
        <w:trPr>
          <w:trHeight w:val="185"/>
        </w:trPr>
        <w:tc>
          <w:tcPr>
            <w:tcW w:w="3664" w:type="dxa"/>
            <w:noWrap/>
            <w:tcMar>
              <w:top w:w="0" w:type="dxa"/>
              <w:left w:w="108" w:type="dxa"/>
              <w:bottom w:w="0" w:type="dxa"/>
              <w:right w:w="108" w:type="dxa"/>
            </w:tcMar>
            <w:hideMark/>
          </w:tcPr>
          <w:p w14:paraId="366B07F3" w14:textId="77777777" w:rsidR="00AF751E" w:rsidRPr="00AF751E" w:rsidRDefault="00AF751E" w:rsidP="00AF751E">
            <w:pPr>
              <w:rPr>
                <w:b/>
                <w:sz w:val="20"/>
                <w:szCs w:val="20"/>
                <w:lang w:val="es-ES"/>
              </w:rPr>
            </w:pPr>
            <w:r w:rsidRPr="00AF751E">
              <w:rPr>
                <w:b/>
                <w:sz w:val="20"/>
                <w:szCs w:val="20"/>
                <w:lang w:val="es-ES"/>
              </w:rPr>
              <w:t>Nombre de la empresa</w:t>
            </w:r>
          </w:p>
        </w:tc>
        <w:tc>
          <w:tcPr>
            <w:tcW w:w="2845" w:type="dxa"/>
          </w:tcPr>
          <w:p w14:paraId="431CB6B1" w14:textId="77777777" w:rsidR="00AF751E" w:rsidRPr="00AF751E" w:rsidRDefault="00AF751E" w:rsidP="00AF751E">
            <w:pPr>
              <w:jc w:val="center"/>
              <w:rPr>
                <w:b/>
                <w:sz w:val="20"/>
                <w:szCs w:val="20"/>
                <w:lang w:val="es-ES"/>
              </w:rPr>
            </w:pPr>
            <w:r w:rsidRPr="00AF751E">
              <w:rPr>
                <w:b/>
                <w:sz w:val="20"/>
                <w:szCs w:val="20"/>
                <w:lang w:val="es-ES"/>
              </w:rPr>
              <w:t xml:space="preserve">Asignación de fondos para </w:t>
            </w:r>
            <w:r w:rsidRPr="00AF751E">
              <w:rPr>
                <w:b/>
                <w:sz w:val="20"/>
                <w:szCs w:val="20"/>
                <w:lang w:val="es-ES"/>
              </w:rPr>
              <w:br/>
              <w:t>HFO-1233zd(E)</w:t>
            </w:r>
          </w:p>
        </w:tc>
        <w:tc>
          <w:tcPr>
            <w:tcW w:w="2845" w:type="dxa"/>
          </w:tcPr>
          <w:p w14:paraId="3F996DBB" w14:textId="77777777" w:rsidR="00AF751E" w:rsidRPr="00AF751E" w:rsidRDefault="00AF751E" w:rsidP="00AF751E">
            <w:pPr>
              <w:jc w:val="center"/>
              <w:rPr>
                <w:b/>
                <w:sz w:val="20"/>
                <w:szCs w:val="20"/>
                <w:lang w:val="es-ES"/>
              </w:rPr>
            </w:pPr>
            <w:r w:rsidRPr="00AF751E">
              <w:rPr>
                <w:b/>
                <w:sz w:val="20"/>
                <w:szCs w:val="20"/>
                <w:lang w:val="es-ES"/>
              </w:rPr>
              <w:t>Asignación de fondos para la tecnología a base de agua como agente espumante</w:t>
            </w:r>
          </w:p>
        </w:tc>
      </w:tr>
      <w:tr w:rsidR="00AF751E" w:rsidRPr="00AF751E" w14:paraId="44A1C39B" w14:textId="77777777" w:rsidTr="00AF751E">
        <w:trPr>
          <w:trHeight w:val="197"/>
        </w:trPr>
        <w:tc>
          <w:tcPr>
            <w:tcW w:w="3664" w:type="dxa"/>
            <w:noWrap/>
            <w:tcMar>
              <w:top w:w="0" w:type="dxa"/>
              <w:left w:w="108" w:type="dxa"/>
              <w:bottom w:w="0" w:type="dxa"/>
              <w:right w:w="108" w:type="dxa"/>
            </w:tcMar>
            <w:hideMark/>
          </w:tcPr>
          <w:p w14:paraId="12189516" w14:textId="77777777" w:rsidR="00AF751E" w:rsidRPr="00AF751E" w:rsidRDefault="00AF751E" w:rsidP="00AF751E">
            <w:pPr>
              <w:rPr>
                <w:sz w:val="20"/>
                <w:szCs w:val="20"/>
              </w:rPr>
            </w:pPr>
            <w:proofErr w:type="spellStart"/>
            <w:r w:rsidRPr="00AF751E">
              <w:rPr>
                <w:sz w:val="20"/>
                <w:szCs w:val="20"/>
              </w:rPr>
              <w:t>NAsr</w:t>
            </w:r>
            <w:proofErr w:type="spellEnd"/>
            <w:r w:rsidRPr="00AF751E">
              <w:rPr>
                <w:sz w:val="20"/>
                <w:szCs w:val="20"/>
              </w:rPr>
              <w:t xml:space="preserve"> Al </w:t>
            </w:r>
            <w:proofErr w:type="spellStart"/>
            <w:r w:rsidRPr="00AF751E">
              <w:rPr>
                <w:sz w:val="20"/>
                <w:szCs w:val="20"/>
              </w:rPr>
              <w:t>Nahda</w:t>
            </w:r>
            <w:proofErr w:type="spellEnd"/>
            <w:r w:rsidRPr="00AF751E">
              <w:rPr>
                <w:sz w:val="20"/>
                <w:szCs w:val="20"/>
              </w:rPr>
              <w:t xml:space="preserve"> Co. </w:t>
            </w:r>
          </w:p>
        </w:tc>
        <w:tc>
          <w:tcPr>
            <w:tcW w:w="2845" w:type="dxa"/>
          </w:tcPr>
          <w:p w14:paraId="541C360C" w14:textId="77777777" w:rsidR="00AF751E" w:rsidRPr="00AF751E" w:rsidRDefault="00AF751E" w:rsidP="00AF751E">
            <w:pPr>
              <w:ind w:right="1016"/>
              <w:jc w:val="right"/>
              <w:rPr>
                <w:sz w:val="20"/>
                <w:szCs w:val="20"/>
              </w:rPr>
            </w:pPr>
            <w:r w:rsidRPr="00AF751E">
              <w:rPr>
                <w:sz w:val="20"/>
                <w:szCs w:val="20"/>
              </w:rPr>
              <w:t>24 824</w:t>
            </w:r>
          </w:p>
        </w:tc>
        <w:tc>
          <w:tcPr>
            <w:tcW w:w="2845" w:type="dxa"/>
          </w:tcPr>
          <w:p w14:paraId="59524805" w14:textId="77777777" w:rsidR="00AF751E" w:rsidRPr="00AF751E" w:rsidRDefault="00AF751E" w:rsidP="00AF751E">
            <w:pPr>
              <w:ind w:right="1072"/>
              <w:jc w:val="right"/>
              <w:rPr>
                <w:sz w:val="20"/>
                <w:szCs w:val="20"/>
              </w:rPr>
            </w:pPr>
            <w:r w:rsidRPr="00AF751E">
              <w:rPr>
                <w:sz w:val="20"/>
                <w:szCs w:val="20"/>
              </w:rPr>
              <w:t>17 788</w:t>
            </w:r>
          </w:p>
        </w:tc>
      </w:tr>
      <w:tr w:rsidR="00AF751E" w:rsidRPr="00AF751E" w14:paraId="32A3E073" w14:textId="77777777" w:rsidTr="00AF751E">
        <w:trPr>
          <w:trHeight w:val="214"/>
        </w:trPr>
        <w:tc>
          <w:tcPr>
            <w:tcW w:w="3664" w:type="dxa"/>
            <w:noWrap/>
            <w:tcMar>
              <w:top w:w="0" w:type="dxa"/>
              <w:left w:w="108" w:type="dxa"/>
              <w:bottom w:w="0" w:type="dxa"/>
              <w:right w:w="108" w:type="dxa"/>
            </w:tcMar>
            <w:hideMark/>
          </w:tcPr>
          <w:p w14:paraId="0CD9D858" w14:textId="77777777" w:rsidR="00AF751E" w:rsidRPr="00AF751E" w:rsidRDefault="00AF751E" w:rsidP="00AF751E">
            <w:pPr>
              <w:rPr>
                <w:sz w:val="20"/>
                <w:szCs w:val="20"/>
              </w:rPr>
            </w:pPr>
            <w:proofErr w:type="spellStart"/>
            <w:r w:rsidRPr="00AF751E">
              <w:rPr>
                <w:sz w:val="20"/>
                <w:szCs w:val="20"/>
              </w:rPr>
              <w:t>Alfaqeer</w:t>
            </w:r>
            <w:proofErr w:type="spellEnd"/>
            <w:r w:rsidRPr="00AF751E">
              <w:rPr>
                <w:sz w:val="20"/>
                <w:szCs w:val="20"/>
              </w:rPr>
              <w:t xml:space="preserve"> Industrial Co. Ltd.</w:t>
            </w:r>
          </w:p>
        </w:tc>
        <w:tc>
          <w:tcPr>
            <w:tcW w:w="2845" w:type="dxa"/>
          </w:tcPr>
          <w:p w14:paraId="1C4D62F1" w14:textId="77777777" w:rsidR="00AF751E" w:rsidRPr="00AF751E" w:rsidRDefault="00AF751E" w:rsidP="00AF751E">
            <w:pPr>
              <w:ind w:right="1016"/>
              <w:jc w:val="right"/>
              <w:rPr>
                <w:sz w:val="20"/>
                <w:szCs w:val="20"/>
              </w:rPr>
            </w:pPr>
            <w:r w:rsidRPr="00AF751E">
              <w:rPr>
                <w:sz w:val="20"/>
                <w:szCs w:val="20"/>
              </w:rPr>
              <w:t>21 005</w:t>
            </w:r>
          </w:p>
        </w:tc>
        <w:tc>
          <w:tcPr>
            <w:tcW w:w="2845" w:type="dxa"/>
          </w:tcPr>
          <w:p w14:paraId="5FD96927" w14:textId="77777777" w:rsidR="00AF751E" w:rsidRPr="00AF751E" w:rsidRDefault="00AF751E" w:rsidP="00AF751E">
            <w:pPr>
              <w:ind w:right="1072"/>
              <w:jc w:val="right"/>
              <w:rPr>
                <w:sz w:val="20"/>
                <w:szCs w:val="20"/>
              </w:rPr>
            </w:pPr>
            <w:r w:rsidRPr="00AF751E">
              <w:rPr>
                <w:color w:val="000000"/>
                <w:sz w:val="20"/>
                <w:szCs w:val="20"/>
              </w:rPr>
              <w:t>15 051</w:t>
            </w:r>
          </w:p>
        </w:tc>
      </w:tr>
      <w:tr w:rsidR="00AF751E" w:rsidRPr="00AF751E" w14:paraId="3802A5D3" w14:textId="77777777" w:rsidTr="00AF751E">
        <w:trPr>
          <w:trHeight w:val="232"/>
        </w:trPr>
        <w:tc>
          <w:tcPr>
            <w:tcW w:w="3664" w:type="dxa"/>
            <w:noWrap/>
            <w:tcMar>
              <w:top w:w="0" w:type="dxa"/>
              <w:left w:w="108" w:type="dxa"/>
              <w:bottom w:w="0" w:type="dxa"/>
              <w:right w:w="108" w:type="dxa"/>
            </w:tcMar>
            <w:hideMark/>
          </w:tcPr>
          <w:p w14:paraId="53E6691A" w14:textId="77777777" w:rsidR="00AF751E" w:rsidRPr="00AF751E" w:rsidRDefault="00AF751E" w:rsidP="00AF751E">
            <w:pPr>
              <w:rPr>
                <w:sz w:val="20"/>
                <w:szCs w:val="20"/>
              </w:rPr>
            </w:pPr>
            <w:proofErr w:type="spellStart"/>
            <w:r w:rsidRPr="00AF751E">
              <w:rPr>
                <w:sz w:val="20"/>
                <w:szCs w:val="20"/>
              </w:rPr>
              <w:t>Majed</w:t>
            </w:r>
            <w:proofErr w:type="spellEnd"/>
            <w:r w:rsidRPr="00AF751E">
              <w:rPr>
                <w:sz w:val="20"/>
                <w:szCs w:val="20"/>
              </w:rPr>
              <w:t xml:space="preserve"> </w:t>
            </w:r>
            <w:proofErr w:type="spellStart"/>
            <w:r w:rsidRPr="00AF751E">
              <w:rPr>
                <w:sz w:val="20"/>
                <w:szCs w:val="20"/>
              </w:rPr>
              <w:t>Ghoche</w:t>
            </w:r>
            <w:proofErr w:type="spellEnd"/>
            <w:r w:rsidRPr="00AF751E">
              <w:rPr>
                <w:sz w:val="20"/>
                <w:szCs w:val="20"/>
              </w:rPr>
              <w:t xml:space="preserve"> and Partners </w:t>
            </w:r>
          </w:p>
        </w:tc>
        <w:tc>
          <w:tcPr>
            <w:tcW w:w="2845" w:type="dxa"/>
          </w:tcPr>
          <w:p w14:paraId="495AF5AB" w14:textId="77777777" w:rsidR="00AF751E" w:rsidRPr="00AF751E" w:rsidRDefault="00AF751E" w:rsidP="00AF751E">
            <w:pPr>
              <w:ind w:right="1016"/>
              <w:jc w:val="right"/>
              <w:rPr>
                <w:sz w:val="20"/>
                <w:szCs w:val="20"/>
              </w:rPr>
            </w:pPr>
            <w:r w:rsidRPr="00AF751E">
              <w:rPr>
                <w:sz w:val="20"/>
                <w:szCs w:val="20"/>
              </w:rPr>
              <w:t>19 096</w:t>
            </w:r>
          </w:p>
        </w:tc>
        <w:tc>
          <w:tcPr>
            <w:tcW w:w="2845" w:type="dxa"/>
          </w:tcPr>
          <w:p w14:paraId="418F7830" w14:textId="77777777" w:rsidR="00AF751E" w:rsidRPr="00AF751E" w:rsidRDefault="00AF751E" w:rsidP="00AF751E">
            <w:pPr>
              <w:ind w:right="1072"/>
              <w:jc w:val="right"/>
              <w:rPr>
                <w:sz w:val="20"/>
                <w:szCs w:val="20"/>
              </w:rPr>
            </w:pPr>
            <w:r w:rsidRPr="00AF751E">
              <w:rPr>
                <w:sz w:val="20"/>
                <w:szCs w:val="20"/>
              </w:rPr>
              <w:t>13 683</w:t>
            </w:r>
          </w:p>
        </w:tc>
      </w:tr>
      <w:tr w:rsidR="00AF751E" w:rsidRPr="00AF751E" w14:paraId="7FE9C734" w14:textId="77777777" w:rsidTr="00AF751E">
        <w:trPr>
          <w:trHeight w:val="179"/>
        </w:trPr>
        <w:tc>
          <w:tcPr>
            <w:tcW w:w="3664" w:type="dxa"/>
            <w:noWrap/>
            <w:tcMar>
              <w:top w:w="0" w:type="dxa"/>
              <w:left w:w="108" w:type="dxa"/>
              <w:bottom w:w="0" w:type="dxa"/>
              <w:right w:w="108" w:type="dxa"/>
            </w:tcMar>
            <w:hideMark/>
          </w:tcPr>
          <w:p w14:paraId="58A06811" w14:textId="77777777" w:rsidR="00AF751E" w:rsidRPr="00AF751E" w:rsidRDefault="00AF751E" w:rsidP="00AF751E">
            <w:pPr>
              <w:rPr>
                <w:sz w:val="20"/>
                <w:szCs w:val="20"/>
              </w:rPr>
            </w:pPr>
            <w:proofErr w:type="spellStart"/>
            <w:r w:rsidRPr="00AF751E">
              <w:rPr>
                <w:sz w:val="20"/>
                <w:szCs w:val="20"/>
              </w:rPr>
              <w:t>Wabbbeh</w:t>
            </w:r>
            <w:proofErr w:type="spellEnd"/>
            <w:r w:rsidRPr="00AF751E">
              <w:rPr>
                <w:sz w:val="20"/>
                <w:szCs w:val="20"/>
              </w:rPr>
              <w:t xml:space="preserve"> </w:t>
            </w:r>
            <w:proofErr w:type="spellStart"/>
            <w:r w:rsidRPr="00AF751E">
              <w:rPr>
                <w:sz w:val="20"/>
                <w:szCs w:val="20"/>
              </w:rPr>
              <w:t>Aluminum</w:t>
            </w:r>
            <w:proofErr w:type="spellEnd"/>
            <w:r w:rsidRPr="00AF751E">
              <w:rPr>
                <w:sz w:val="20"/>
                <w:szCs w:val="20"/>
              </w:rPr>
              <w:t xml:space="preserve"> Co. </w:t>
            </w:r>
          </w:p>
        </w:tc>
        <w:tc>
          <w:tcPr>
            <w:tcW w:w="2845" w:type="dxa"/>
          </w:tcPr>
          <w:p w14:paraId="1CC53AE8" w14:textId="77777777" w:rsidR="00AF751E" w:rsidRPr="00AF751E" w:rsidRDefault="00AF751E" w:rsidP="00AF751E">
            <w:pPr>
              <w:ind w:right="1016"/>
              <w:jc w:val="right"/>
              <w:rPr>
                <w:sz w:val="20"/>
                <w:szCs w:val="20"/>
              </w:rPr>
            </w:pPr>
            <w:r w:rsidRPr="00AF751E">
              <w:rPr>
                <w:sz w:val="20"/>
                <w:szCs w:val="20"/>
              </w:rPr>
              <w:t>9 273</w:t>
            </w:r>
          </w:p>
        </w:tc>
        <w:tc>
          <w:tcPr>
            <w:tcW w:w="2845" w:type="dxa"/>
          </w:tcPr>
          <w:p w14:paraId="55718AE1" w14:textId="77777777" w:rsidR="00AF751E" w:rsidRPr="00AF751E" w:rsidRDefault="00AF751E" w:rsidP="00AF751E">
            <w:pPr>
              <w:ind w:right="1072"/>
              <w:jc w:val="right"/>
              <w:rPr>
                <w:sz w:val="20"/>
                <w:szCs w:val="20"/>
              </w:rPr>
            </w:pPr>
            <w:r w:rsidRPr="00AF751E">
              <w:rPr>
                <w:sz w:val="20"/>
                <w:szCs w:val="20"/>
              </w:rPr>
              <w:t>*</w:t>
            </w:r>
          </w:p>
        </w:tc>
      </w:tr>
      <w:tr w:rsidR="00AF751E" w:rsidRPr="00AF751E" w14:paraId="7A7CE133" w14:textId="77777777" w:rsidTr="00AF751E">
        <w:trPr>
          <w:trHeight w:val="206"/>
        </w:trPr>
        <w:tc>
          <w:tcPr>
            <w:tcW w:w="3664" w:type="dxa"/>
            <w:noWrap/>
            <w:tcMar>
              <w:top w:w="0" w:type="dxa"/>
              <w:left w:w="108" w:type="dxa"/>
              <w:bottom w:w="0" w:type="dxa"/>
              <w:right w:w="108" w:type="dxa"/>
            </w:tcMar>
            <w:hideMark/>
          </w:tcPr>
          <w:p w14:paraId="468C248E" w14:textId="77777777" w:rsidR="00AF751E" w:rsidRPr="00AF751E" w:rsidRDefault="00AF751E" w:rsidP="00AF751E">
            <w:pPr>
              <w:rPr>
                <w:sz w:val="20"/>
                <w:szCs w:val="20"/>
              </w:rPr>
            </w:pPr>
            <w:proofErr w:type="spellStart"/>
            <w:r w:rsidRPr="00AF751E">
              <w:rPr>
                <w:sz w:val="20"/>
                <w:szCs w:val="20"/>
              </w:rPr>
              <w:t>Sharori</w:t>
            </w:r>
            <w:proofErr w:type="spellEnd"/>
            <w:r w:rsidRPr="00AF751E">
              <w:rPr>
                <w:sz w:val="20"/>
                <w:szCs w:val="20"/>
              </w:rPr>
              <w:t xml:space="preserve"> Aluminium Blind Shutters</w:t>
            </w:r>
          </w:p>
        </w:tc>
        <w:tc>
          <w:tcPr>
            <w:tcW w:w="2845" w:type="dxa"/>
          </w:tcPr>
          <w:p w14:paraId="09632F6F" w14:textId="77777777" w:rsidR="00AF751E" w:rsidRPr="00AF751E" w:rsidRDefault="00AF751E" w:rsidP="00AF751E">
            <w:pPr>
              <w:ind w:right="1016"/>
              <w:jc w:val="right"/>
              <w:rPr>
                <w:sz w:val="20"/>
                <w:szCs w:val="20"/>
              </w:rPr>
            </w:pPr>
            <w:r w:rsidRPr="00AF751E">
              <w:rPr>
                <w:color w:val="000000"/>
                <w:sz w:val="20"/>
                <w:szCs w:val="20"/>
              </w:rPr>
              <w:t>4 195</w:t>
            </w:r>
          </w:p>
        </w:tc>
        <w:tc>
          <w:tcPr>
            <w:tcW w:w="2845" w:type="dxa"/>
          </w:tcPr>
          <w:p w14:paraId="3D1F729E" w14:textId="77777777" w:rsidR="00AF751E" w:rsidRPr="00AF751E" w:rsidRDefault="00AF751E" w:rsidP="00AF751E">
            <w:pPr>
              <w:ind w:right="1072"/>
              <w:jc w:val="right"/>
              <w:rPr>
                <w:sz w:val="20"/>
                <w:szCs w:val="20"/>
              </w:rPr>
            </w:pPr>
            <w:r w:rsidRPr="00AF751E">
              <w:rPr>
                <w:sz w:val="20"/>
                <w:szCs w:val="20"/>
              </w:rPr>
              <w:t>*</w:t>
            </w:r>
          </w:p>
        </w:tc>
      </w:tr>
      <w:tr w:rsidR="00AF751E" w:rsidRPr="00AF751E" w14:paraId="5910C388" w14:textId="77777777" w:rsidTr="00AF751E">
        <w:trPr>
          <w:trHeight w:val="206"/>
        </w:trPr>
        <w:tc>
          <w:tcPr>
            <w:tcW w:w="3664" w:type="dxa"/>
            <w:noWrap/>
            <w:tcMar>
              <w:top w:w="0" w:type="dxa"/>
              <w:left w:w="108" w:type="dxa"/>
              <w:bottom w:w="0" w:type="dxa"/>
              <w:right w:w="108" w:type="dxa"/>
            </w:tcMar>
          </w:tcPr>
          <w:p w14:paraId="23D85E83" w14:textId="77777777" w:rsidR="00AF751E" w:rsidRPr="00AF751E" w:rsidRDefault="00AF751E" w:rsidP="00AF751E">
            <w:pPr>
              <w:rPr>
                <w:sz w:val="20"/>
                <w:szCs w:val="20"/>
              </w:rPr>
            </w:pPr>
            <w:proofErr w:type="spellStart"/>
            <w:r w:rsidRPr="00AF751E">
              <w:rPr>
                <w:sz w:val="20"/>
                <w:szCs w:val="20"/>
              </w:rPr>
              <w:t>Costo</w:t>
            </w:r>
            <w:proofErr w:type="spellEnd"/>
            <w:r w:rsidRPr="00AF751E">
              <w:rPr>
                <w:sz w:val="20"/>
                <w:szCs w:val="20"/>
              </w:rPr>
              <w:t xml:space="preserve"> total</w:t>
            </w:r>
          </w:p>
        </w:tc>
        <w:tc>
          <w:tcPr>
            <w:tcW w:w="2845" w:type="dxa"/>
          </w:tcPr>
          <w:p w14:paraId="3EAE7A2B" w14:textId="77777777" w:rsidR="00AF751E" w:rsidRPr="00AF751E" w:rsidRDefault="00AF751E" w:rsidP="00AF751E">
            <w:pPr>
              <w:ind w:right="1016"/>
              <w:jc w:val="right"/>
              <w:rPr>
                <w:color w:val="000000"/>
                <w:sz w:val="20"/>
                <w:szCs w:val="20"/>
              </w:rPr>
            </w:pPr>
            <w:r w:rsidRPr="00AF751E">
              <w:rPr>
                <w:sz w:val="20"/>
                <w:szCs w:val="20"/>
              </w:rPr>
              <w:t>78 393</w:t>
            </w:r>
          </w:p>
        </w:tc>
        <w:tc>
          <w:tcPr>
            <w:tcW w:w="2845" w:type="dxa"/>
          </w:tcPr>
          <w:p w14:paraId="46918E66" w14:textId="77777777" w:rsidR="00AF751E" w:rsidRPr="00AF751E" w:rsidRDefault="00AF751E" w:rsidP="00AF751E">
            <w:pPr>
              <w:ind w:right="1072"/>
              <w:jc w:val="right"/>
              <w:rPr>
                <w:sz w:val="20"/>
                <w:szCs w:val="20"/>
              </w:rPr>
            </w:pPr>
            <w:r w:rsidRPr="00AF751E">
              <w:rPr>
                <w:sz w:val="20"/>
                <w:szCs w:val="20"/>
              </w:rPr>
              <w:t>46 522</w:t>
            </w:r>
          </w:p>
        </w:tc>
      </w:tr>
    </w:tbl>
    <w:p w14:paraId="732A287F" w14:textId="77777777" w:rsidR="00AF751E" w:rsidRPr="00AF751E" w:rsidRDefault="00AF751E" w:rsidP="00AF751E">
      <w:pPr>
        <w:pStyle w:val="StyleHeader4Para4Left0Firstline0"/>
        <w:numPr>
          <w:ilvl w:val="0"/>
          <w:numId w:val="0"/>
        </w:numPr>
        <w:spacing w:after="0"/>
        <w:rPr>
          <w:sz w:val="19"/>
          <w:szCs w:val="19"/>
          <w:lang w:val="es-ES"/>
        </w:rPr>
      </w:pPr>
      <w:r w:rsidRPr="00AF751E">
        <w:rPr>
          <w:sz w:val="19"/>
          <w:szCs w:val="19"/>
          <w:lang w:val="es-ES"/>
        </w:rPr>
        <w:t>*Se prestará asistencia técnica y apoyo por medio de los proveedores de sistemas para la conversión de estas empresas que tengan un consumo muy pequeño de HCFC-141b.</w:t>
      </w:r>
    </w:p>
    <w:p w14:paraId="33608626" w14:textId="77777777" w:rsidR="00AF751E" w:rsidRPr="00AF751E" w:rsidRDefault="00AF751E" w:rsidP="00AF751E">
      <w:pPr>
        <w:pStyle w:val="StyleHeader4Para4Left0Firstline0"/>
        <w:numPr>
          <w:ilvl w:val="0"/>
          <w:numId w:val="0"/>
        </w:numPr>
        <w:spacing w:after="0"/>
        <w:rPr>
          <w:sz w:val="22"/>
          <w:lang w:val="es-ES"/>
        </w:rPr>
      </w:pPr>
    </w:p>
    <w:p w14:paraId="19073CF1" w14:textId="77777777" w:rsidR="00AF751E" w:rsidRPr="00AF751E" w:rsidRDefault="00AF751E" w:rsidP="00AF751E">
      <w:pPr>
        <w:pStyle w:val="Heading1"/>
        <w:rPr>
          <w:lang w:val="es-ES"/>
        </w:rPr>
      </w:pPr>
      <w:r w:rsidRPr="00AF751E">
        <w:rPr>
          <w:lang w:val="es-ES"/>
        </w:rPr>
        <w:t>El plan del sector de espumas de poliuretano aprobado para la etapa II del plan de gestión de eliminación de los HCFC incluyó a 21 pequeñas empresas y microempresas (con un consume de menos de una tonelada de HCFC-141b), que tienen conocimientos técnicos limitados y requerirían asistencia técnica para la creación de formulaciones basadas en agentes espumantes alternativos, ensayos y pruebas. Dada la flexibilidad otorgada al Gobierno de Jordania para la asignación del total de fondos aprobados a las diferentes empresas, la ejecución del plan sectorial de manera ininterrumpida y eficiente y, observando que todavía está en marcha la conversión de algunas empresas pequeñas y microempresas con arreglo al plan del sector de espumas de poliuretano, la Secretaría consideró pertinente que el Gobierno proporcionara información pormenorizada acerca del total de fondos utilizados tras completar la ejecución del plan y devolviera los saldos según lo establecido en las directrices del Comité Ejecutivo.</w:t>
      </w:r>
    </w:p>
    <w:p w14:paraId="45B9BAEC" w14:textId="77777777" w:rsidR="00AF751E" w:rsidRPr="00AF751E" w:rsidRDefault="00AF751E" w:rsidP="00AF751E">
      <w:pPr>
        <w:pStyle w:val="Heading1"/>
        <w:rPr>
          <w:lang w:val="es-ES"/>
        </w:rPr>
      </w:pPr>
      <w:r w:rsidRPr="00AF751E">
        <w:rPr>
          <w:lang w:val="es-ES"/>
        </w:rPr>
        <w:t xml:space="preserve">La Secretaría hace notar que el cambio de tecnología habrá de redundar en la adopción sostenida de tecnologías de bajo PCA en aplicaciones de espumas en estas empresas y facilitará el logro de las metas de cumplimiento de Jordania, y señala que el Gobierno ha publicado en la gaceta oficial la prohibición de las importaciones de HCFC-141b a granel y contenido en </w:t>
      </w:r>
      <w:proofErr w:type="spellStart"/>
      <w:r w:rsidRPr="00AF751E">
        <w:rPr>
          <w:lang w:val="es-ES"/>
        </w:rPr>
        <w:t>polioles</w:t>
      </w:r>
      <w:proofErr w:type="spellEnd"/>
      <w:r w:rsidRPr="00AF751E">
        <w:rPr>
          <w:lang w:val="es-ES"/>
        </w:rPr>
        <w:t xml:space="preserve"> premezclados después del 31 de diciembre de 2021. Debido a que tanto la tecnología basada en HFO como en el agua son tecnologías de bajo PCA, cabe esperar que el impacto de las emisiones de gases de efecto invernadero </w:t>
      </w:r>
      <w:proofErr w:type="gramStart"/>
      <w:r w:rsidRPr="00AF751E">
        <w:rPr>
          <w:lang w:val="es-ES"/>
        </w:rPr>
        <w:t>sea  insignificante</w:t>
      </w:r>
      <w:proofErr w:type="gramEnd"/>
      <w:r w:rsidRPr="00AF751E">
        <w:rPr>
          <w:lang w:val="es-ES"/>
        </w:rPr>
        <w:t>.</w:t>
      </w:r>
    </w:p>
    <w:p w14:paraId="0144D39E" w14:textId="77777777" w:rsidR="00AF751E" w:rsidRPr="00AF751E" w:rsidRDefault="00AF751E" w:rsidP="00AF751E">
      <w:pPr>
        <w:pStyle w:val="StyleHeader4Para4Left0Firstline0"/>
        <w:numPr>
          <w:ilvl w:val="0"/>
          <w:numId w:val="0"/>
        </w:numPr>
        <w:spacing w:after="0"/>
        <w:rPr>
          <w:b/>
          <w:sz w:val="22"/>
        </w:rPr>
      </w:pPr>
      <w:proofErr w:type="spellStart"/>
      <w:r w:rsidRPr="00AF751E">
        <w:rPr>
          <w:b/>
          <w:sz w:val="22"/>
        </w:rPr>
        <w:t>Recomendación</w:t>
      </w:r>
      <w:proofErr w:type="spellEnd"/>
      <w:r w:rsidRPr="00AF751E">
        <w:rPr>
          <w:b/>
          <w:sz w:val="22"/>
        </w:rPr>
        <w:t xml:space="preserve"> </w:t>
      </w:r>
    </w:p>
    <w:p w14:paraId="48770CBF" w14:textId="77777777" w:rsidR="00AF751E" w:rsidRPr="00AF751E" w:rsidRDefault="00AF751E" w:rsidP="00AF751E">
      <w:pPr>
        <w:pStyle w:val="StyleHeader4Para4Left0Firstline0"/>
        <w:numPr>
          <w:ilvl w:val="0"/>
          <w:numId w:val="0"/>
        </w:numPr>
        <w:spacing w:after="0"/>
        <w:rPr>
          <w:sz w:val="22"/>
        </w:rPr>
      </w:pPr>
    </w:p>
    <w:p w14:paraId="1A30C5A5" w14:textId="77777777" w:rsidR="00AF751E" w:rsidRPr="00AF751E" w:rsidRDefault="00AF751E" w:rsidP="00AF751E">
      <w:pPr>
        <w:pStyle w:val="Heading1"/>
        <w:rPr>
          <w:lang w:val="es-ES"/>
        </w:rPr>
      </w:pPr>
      <w:r w:rsidRPr="00AF751E">
        <w:rPr>
          <w:lang w:val="es-ES"/>
        </w:rPr>
        <w:t xml:space="preserve">El Comité Ejecutivo tal vez desee: </w:t>
      </w:r>
    </w:p>
    <w:p w14:paraId="5C1B0A1B" w14:textId="77777777" w:rsidR="00AF751E" w:rsidRPr="00AF751E" w:rsidRDefault="00AF751E" w:rsidP="00AF751E">
      <w:pPr>
        <w:pStyle w:val="Heading2"/>
        <w:rPr>
          <w:lang w:val="es-ES"/>
        </w:rPr>
      </w:pPr>
      <w:r w:rsidRPr="00AF751E">
        <w:rPr>
          <w:lang w:val="es-ES"/>
        </w:rPr>
        <w:t xml:space="preserve">Tomar nota de la solicitud presentada por el Banco Mundial en nombre del Gobierno de Jordania relativa al cambio de tecnología en la conversión de </w:t>
      </w:r>
      <w:proofErr w:type="gramStart"/>
      <w:r w:rsidRPr="00AF751E">
        <w:rPr>
          <w:lang w:val="es-ES"/>
        </w:rPr>
        <w:t>la cinco empresas</w:t>
      </w:r>
      <w:proofErr w:type="gramEnd"/>
      <w:r w:rsidRPr="00AF751E">
        <w:rPr>
          <w:lang w:val="es-ES"/>
        </w:rPr>
        <w:t xml:space="preserve"> de HFO-1233zd(E) a la tecnología basada en el agua como agente espumante en la etapa II del plan de gestión de eliminación de los HCFC para Jordania que figura en el documento UNEP/OzL.Pro/ExCom/87/9; </w:t>
      </w:r>
    </w:p>
    <w:p w14:paraId="145F8C5F" w14:textId="77777777" w:rsidR="00AF751E" w:rsidRPr="00AF751E" w:rsidRDefault="00AF751E" w:rsidP="00AF751E">
      <w:pPr>
        <w:pStyle w:val="Heading2"/>
        <w:rPr>
          <w:lang w:val="es-ES"/>
        </w:rPr>
      </w:pPr>
      <w:r w:rsidRPr="00AF751E">
        <w:rPr>
          <w:lang w:val="es-ES"/>
        </w:rPr>
        <w:t>Aprobar el cambio de tecnología mencionado en el apartado a) precedente; y</w:t>
      </w:r>
    </w:p>
    <w:p w14:paraId="3098D4D5" w14:textId="77777777" w:rsidR="00AF751E" w:rsidRPr="00AF751E" w:rsidRDefault="00AF751E" w:rsidP="00AF751E">
      <w:pPr>
        <w:pStyle w:val="Heading2"/>
        <w:rPr>
          <w:lang w:val="es-ES"/>
        </w:rPr>
      </w:pPr>
      <w:r w:rsidRPr="00AF751E">
        <w:rPr>
          <w:lang w:val="es-ES"/>
        </w:rPr>
        <w:t>Pedir al Gobierno de Jordania y al Banco Mundial que devuelvan al Fondo Multilateral el saldo procedente del plan del sector de espumas de poliuretano tan pronto todas las empresas incluidas en este hayan terminado la conversión.</w:t>
      </w:r>
    </w:p>
    <w:p w14:paraId="7229AB52" w14:textId="77777777" w:rsidR="00AF751E" w:rsidRPr="00AF751E" w:rsidRDefault="00AF751E" w:rsidP="00AF751E">
      <w:pPr>
        <w:keepNext/>
        <w:spacing w:after="240"/>
        <w:rPr>
          <w:lang w:val="es-ES"/>
        </w:rPr>
      </w:pPr>
      <w:r w:rsidRPr="00AF751E">
        <w:rPr>
          <w:u w:val="single"/>
          <w:lang w:val="es-ES"/>
        </w:rPr>
        <w:lastRenderedPageBreak/>
        <w:t xml:space="preserve">República Democrática Popular Lao: Plan de gestión de eliminación de los HCFC (etapa I – solicitud de prórroga) </w:t>
      </w:r>
      <w:r w:rsidRPr="00AF751E">
        <w:rPr>
          <w:lang w:val="es-ES"/>
        </w:rPr>
        <w:t>(PNUMA y Gobierno de Francia)</w:t>
      </w:r>
    </w:p>
    <w:p w14:paraId="439E4E9E" w14:textId="77777777" w:rsidR="00AF751E" w:rsidRPr="00AF751E" w:rsidRDefault="00AF751E" w:rsidP="00AF751E">
      <w:pPr>
        <w:keepNext/>
        <w:spacing w:after="240"/>
        <w:rPr>
          <w:b/>
          <w:lang w:val="en-CA"/>
        </w:rPr>
      </w:pPr>
      <w:proofErr w:type="spellStart"/>
      <w:r w:rsidRPr="00AF751E">
        <w:rPr>
          <w:b/>
          <w:lang w:val="en-CA"/>
        </w:rPr>
        <w:t>Antecedentes</w:t>
      </w:r>
      <w:proofErr w:type="spellEnd"/>
    </w:p>
    <w:p w14:paraId="2B3AD78B" w14:textId="77777777" w:rsidR="00AF751E" w:rsidRPr="00AF751E" w:rsidRDefault="00AF751E" w:rsidP="00AF751E">
      <w:pPr>
        <w:numPr>
          <w:ilvl w:val="0"/>
          <w:numId w:val="1"/>
        </w:numPr>
        <w:spacing w:after="240"/>
        <w:outlineLvl w:val="0"/>
        <w:rPr>
          <w:lang w:val="es-ES"/>
        </w:rPr>
      </w:pPr>
      <w:r w:rsidRPr="00AF751E">
        <w:rPr>
          <w:lang w:val="es-ES"/>
        </w:rPr>
        <w:t>En nombre del Gobierno de la República Democrática Popular Lao, el PNUMA en su calidad de organismo de ejecución ha presentado una solicitud de prórroga de la ejecución de la etapa I del plan de gestión de eliminación de los HCFC.</w:t>
      </w:r>
    </w:p>
    <w:p w14:paraId="0B6BC8AA" w14:textId="77777777" w:rsidR="00AF751E" w:rsidRPr="00AF751E" w:rsidRDefault="00AF751E" w:rsidP="00AF751E">
      <w:pPr>
        <w:pStyle w:val="Heading1"/>
        <w:autoSpaceDE w:val="0"/>
        <w:autoSpaceDN w:val="0"/>
        <w:adjustRightInd w:val="0"/>
        <w:rPr>
          <w:lang w:val="es-ES"/>
        </w:rPr>
      </w:pPr>
      <w:r w:rsidRPr="00AF751E">
        <w:rPr>
          <w:lang w:val="es-ES"/>
        </w:rPr>
        <w:t>La etapa I del plan de gestión de eliminación de los HCFC fue aprobado en la 63</w:t>
      </w:r>
      <w:r w:rsidRPr="00AF751E">
        <w:rPr>
          <w:vertAlign w:val="superscript"/>
          <w:lang w:val="es-ES"/>
        </w:rPr>
        <w:t>a</w:t>
      </w:r>
      <w:r w:rsidRPr="00AF751E">
        <w:rPr>
          <w:lang w:val="es-ES"/>
        </w:rPr>
        <w:t> reunión</w:t>
      </w:r>
      <w:r w:rsidRPr="00AF751E">
        <w:rPr>
          <w:rStyle w:val="FootnoteReference"/>
          <w:lang w:val="en-CA"/>
        </w:rPr>
        <w:footnoteReference w:id="22"/>
      </w:r>
      <w:r w:rsidRPr="00AF751E">
        <w:rPr>
          <w:lang w:val="es-ES"/>
        </w:rPr>
        <w:t xml:space="preserve"> con miras a lograr el 35% de reducción del nivel básico en 2020, con un nivel de financiación total de 280.000 $EUA, más gastos de apoyo al organismo para eliminar 0,80 toneladas PAO de HCFC usados en el sector de mantenimiento de refrigeración y aire acondicionado. Ya se han aprobado los tres tramos previstos en la etapa I, mientras que el último tramo fue aprobado en el proceso de aprobación entre reuniones correspondiente a la 85</w:t>
      </w:r>
      <w:r w:rsidRPr="00AF751E">
        <w:rPr>
          <w:vertAlign w:val="superscript"/>
          <w:lang w:val="es-ES"/>
        </w:rPr>
        <w:t>a</w:t>
      </w:r>
      <w:r w:rsidRPr="00AF751E">
        <w:rPr>
          <w:lang w:val="es-ES"/>
        </w:rPr>
        <w:t> reunión</w:t>
      </w:r>
      <w:r w:rsidRPr="00AF751E">
        <w:rPr>
          <w:rStyle w:val="FootnoteReference"/>
          <w:lang w:val="en-CA"/>
        </w:rPr>
        <w:footnoteReference w:id="23"/>
      </w:r>
      <w:r w:rsidRPr="00AF751E">
        <w:rPr>
          <w:lang w:val="es-ES"/>
        </w:rPr>
        <w:t xml:space="preserve"> en mayo de 2020. De conformidad con el párrafo 14 del Acuerdo entre el Gobierno y el Comité Ejecutivo, el proyecto deberá completarse a fines de 2021.</w:t>
      </w:r>
    </w:p>
    <w:p w14:paraId="40FDDB14" w14:textId="77777777" w:rsidR="00AF751E" w:rsidRPr="00AF751E" w:rsidRDefault="00AF751E" w:rsidP="00AF751E">
      <w:pPr>
        <w:pStyle w:val="Heading1"/>
        <w:rPr>
          <w:lang w:val="es-ES"/>
        </w:rPr>
      </w:pPr>
      <w:r w:rsidRPr="00AF751E">
        <w:rPr>
          <w:lang w:val="es-ES"/>
        </w:rPr>
        <w:t>Se han completado varias actividades incluidas en la etapa I del plan de gestión de eliminación de los HCFC; sin embargo, debido a los efectos de la pandemia de COVID-19, ha demorado la ejecución de los programas de capacitación de técnicos en la manipulación de los refrigerantes inflamables y el suministro de equipo a los centros de capacitación, previsto durante los tramos segundo y tercero. En vista de las incertidumbres acerca del tiempo que demorará la recuperación de la pandemia, el Gobierno está solicitando una prórroga de la fecha de conclusión de la etapa I hasta el 31 de diciembre de 2022.</w:t>
      </w:r>
    </w:p>
    <w:p w14:paraId="65CA6661" w14:textId="77777777" w:rsidR="00AF751E" w:rsidRPr="00AF751E" w:rsidRDefault="00AF751E" w:rsidP="00AF751E">
      <w:pPr>
        <w:keepNext/>
        <w:keepLines/>
        <w:spacing w:after="240"/>
        <w:rPr>
          <w:i/>
          <w:lang w:val="en-CA"/>
        </w:rPr>
      </w:pPr>
      <w:proofErr w:type="spellStart"/>
      <w:r w:rsidRPr="00AF751E">
        <w:rPr>
          <w:i/>
          <w:lang w:val="en-CA"/>
        </w:rPr>
        <w:t>Consumo</w:t>
      </w:r>
      <w:proofErr w:type="spellEnd"/>
      <w:r w:rsidRPr="00AF751E">
        <w:rPr>
          <w:i/>
          <w:lang w:val="en-CA"/>
        </w:rPr>
        <w:t xml:space="preserve"> de HCFC </w:t>
      </w:r>
    </w:p>
    <w:p w14:paraId="20C68875" w14:textId="77777777" w:rsidR="00AF751E" w:rsidRPr="00AF751E" w:rsidRDefault="00AF751E" w:rsidP="00AF751E">
      <w:pPr>
        <w:pStyle w:val="Heading1"/>
        <w:rPr>
          <w:lang w:val="es-ES"/>
        </w:rPr>
      </w:pPr>
      <w:r w:rsidRPr="00AF751E">
        <w:rPr>
          <w:lang w:val="es-ES"/>
        </w:rPr>
        <w:t>Todavía no se han presentado los datos sobre el consumo de HCFC correspondientes a 2020 con arreglo al artículo 7 del Protocolo de Montreal ni el informe sobre la ejecución del programa de país, ya que todavía no se han recopilado los datos sobre los HFC. Con todo, el Gobierno notificó, en la solicitud de prórroga de la etapa I, un consumo de 1,42 toneladas PAO de HCFC en 2020, que en un 5% inferior a la meta de 1,50 toneladas PAO para 2020 establecida en el plan de gestión de eliminación de los HCFC, y 38% menos que el nivel básico establecido de 2,30 toneladas PAO. El consumo notificado durante 2020 demuestra que el país ha logrado la meta de reducción del 35% en cumplimiento del Protocolo de Montreal.</w:t>
      </w:r>
    </w:p>
    <w:p w14:paraId="7B6DB596" w14:textId="77777777" w:rsidR="00AF751E" w:rsidRPr="00AF751E" w:rsidRDefault="00AF751E" w:rsidP="00AF751E">
      <w:pPr>
        <w:keepNext/>
        <w:keepLines/>
        <w:spacing w:after="240"/>
        <w:rPr>
          <w:b/>
          <w:lang w:val="es-ES"/>
        </w:rPr>
      </w:pPr>
      <w:r w:rsidRPr="00AF751E">
        <w:rPr>
          <w:b/>
          <w:lang w:val="es-ES"/>
        </w:rPr>
        <w:t xml:space="preserve">Informe sobre los progresos realizados en la ejecución de la etapa I </w:t>
      </w:r>
    </w:p>
    <w:p w14:paraId="3ADC2777" w14:textId="77777777" w:rsidR="00AF751E" w:rsidRPr="00AF751E" w:rsidRDefault="00AF751E" w:rsidP="00AF751E">
      <w:pPr>
        <w:pStyle w:val="Heading1"/>
        <w:rPr>
          <w:lang w:val="es-ES"/>
        </w:rPr>
      </w:pPr>
      <w:r w:rsidRPr="00AF751E">
        <w:rPr>
          <w:lang w:val="es-ES"/>
        </w:rPr>
        <w:t xml:space="preserve">El país ha estado aplicando un sistema de concesión de licencias y de cupos para controlar la importación de HCFC. En noviembre de 2016 se promulgó la prohibición de las importaciones de todos los CFC, </w:t>
      </w:r>
      <w:proofErr w:type="spellStart"/>
      <w:r w:rsidRPr="00AF751E">
        <w:rPr>
          <w:color w:val="000000"/>
          <w:lang w:val="es-ES" w:eastAsia="zh-CN"/>
        </w:rPr>
        <w:t>halones</w:t>
      </w:r>
      <w:proofErr w:type="spellEnd"/>
      <w:r w:rsidRPr="00AF751E">
        <w:rPr>
          <w:color w:val="000000"/>
          <w:lang w:val="es-ES" w:eastAsia="zh-CN"/>
        </w:rPr>
        <w:t>, bromuro de metilo y todos los HCFC, con excepción del HCFC-22. El HCFC-22, los HFC y las mezclas de HFC se controlan por medio del sistema de concesión de licencias. Se redactó una prohibición de la importación y exportación de enfriadores que usen</w:t>
      </w:r>
      <w:r w:rsidRPr="00AF751E">
        <w:rPr>
          <w:lang w:val="es-ES"/>
        </w:rPr>
        <w:t xml:space="preserve"> HCFC con una capacidad de enfriamiento superior a 20 toneladas de refrigeración, que cabe esperar quede aprobada a fines de mayo de 2021 mediante una decisión ministerial. A partir del 1 de enero de 2023 se ha previsto prohibir la importación de todos los tipos de equipos que usen</w:t>
      </w:r>
      <w:r w:rsidRPr="00AF751E">
        <w:rPr>
          <w:color w:val="000000"/>
          <w:lang w:val="es-ES" w:eastAsia="zh-CN"/>
        </w:rPr>
        <w:t xml:space="preserve"> HCFC. En la etapa I recibieron capacitación</w:t>
      </w:r>
      <w:r w:rsidRPr="00AF751E">
        <w:rPr>
          <w:lang w:val="es-ES"/>
        </w:rPr>
        <w:t xml:space="preserve"> 184 oficiales de aduanas y encargados de hacer cumplir la ley. </w:t>
      </w:r>
    </w:p>
    <w:p w14:paraId="2AE2D055" w14:textId="77777777" w:rsidR="00AF751E" w:rsidRPr="00AF751E" w:rsidRDefault="00AF751E" w:rsidP="00AF751E">
      <w:pPr>
        <w:pStyle w:val="Heading1"/>
        <w:rPr>
          <w:lang w:val="es-ES"/>
        </w:rPr>
      </w:pPr>
      <w:r w:rsidRPr="00AF751E">
        <w:rPr>
          <w:lang w:val="es-ES"/>
        </w:rPr>
        <w:t xml:space="preserve">Se han celebrado cursos de capacitación y hasta la fecha se ha impartido capacitación a 70 instructores superiores y un total de 247 técnicos en la instalación y el mantenimiento de equipos de refrigeración y aire acondicionado, la manipulación de refrigerantes inflamables en condiciones seguras, </w:t>
      </w:r>
      <w:proofErr w:type="gramStart"/>
      <w:r w:rsidRPr="00AF751E">
        <w:rPr>
          <w:lang w:val="es-ES"/>
        </w:rPr>
        <w:t>y  la</w:t>
      </w:r>
      <w:proofErr w:type="gramEnd"/>
      <w:r w:rsidRPr="00AF751E">
        <w:rPr>
          <w:lang w:val="es-ES"/>
        </w:rPr>
        <w:t xml:space="preserve"> sensibilización sobre preservación de la eficiencia energética de los equipos mediante la aplicación de </w:t>
      </w:r>
      <w:r w:rsidRPr="00AF751E">
        <w:rPr>
          <w:lang w:val="es-ES"/>
        </w:rPr>
        <w:lastRenderedPageBreak/>
        <w:t>buenas prácticas de mantenimiento. Se están adquiriendo equipos y herramientas para el Instituto Lao-Corea para el Desarrollo de Oficios con miras a facilitar la capacitación sostenible de los técnicos. Se realizan esfuerzos para integrar las buenas prácticas de mantenimiento de equipos de refrigeración y aire acondicionado en la formación profesional en el marco del sistema de Educación y Formación Técnica y Profesional (TVET).</w:t>
      </w:r>
    </w:p>
    <w:p w14:paraId="5A5F0706" w14:textId="77777777" w:rsidR="00AF751E" w:rsidRPr="00AF751E" w:rsidRDefault="00AF751E" w:rsidP="00AF751E">
      <w:pPr>
        <w:keepNext/>
        <w:numPr>
          <w:ilvl w:val="0"/>
          <w:numId w:val="1"/>
        </w:numPr>
        <w:tabs>
          <w:tab w:val="left" w:pos="900"/>
        </w:tabs>
        <w:spacing w:after="240"/>
        <w:outlineLvl w:val="0"/>
        <w:rPr>
          <w:lang w:val="en-CA"/>
        </w:rPr>
      </w:pPr>
      <w:r w:rsidRPr="00AF751E">
        <w:rPr>
          <w:lang w:val="es-ES"/>
        </w:rPr>
        <w:t>Desde la aprobación del tercer tramo en la 85</w:t>
      </w:r>
      <w:r w:rsidRPr="00AF751E">
        <w:rPr>
          <w:vertAlign w:val="superscript"/>
          <w:lang w:val="es-ES"/>
        </w:rPr>
        <w:t>a</w:t>
      </w:r>
      <w:r w:rsidRPr="00AF751E">
        <w:rPr>
          <w:lang w:val="es-ES"/>
        </w:rPr>
        <w:t xml:space="preserve"> reunión, se firmó un SSFA entre el Gobierno de la República Democrática Popular Lao y el PNUMA en que se especifican las responsabilidades jurídicas respecto de la realización de actividades y la presentación de informes, y se efectuó el primer pago de 11.750 $EUA. En relación con el componente bajo la responsabilidad de Francia, el proyecto de acuerdo para la adquisición de equipo y herramientas para el centro de capacitación quedó listo para su examen y firma. </w:t>
      </w:r>
      <w:r w:rsidRPr="00AF751E">
        <w:rPr>
          <w:lang w:val="en-US"/>
        </w:rPr>
        <w:t xml:space="preserve">Se </w:t>
      </w:r>
      <w:proofErr w:type="spellStart"/>
      <w:r w:rsidRPr="00AF751E">
        <w:rPr>
          <w:lang w:val="en-US"/>
        </w:rPr>
        <w:t>espera</w:t>
      </w:r>
      <w:proofErr w:type="spellEnd"/>
      <w:r w:rsidRPr="00AF751E">
        <w:rPr>
          <w:lang w:val="en-US"/>
        </w:rPr>
        <w:t xml:space="preserve"> la </w:t>
      </w:r>
      <w:proofErr w:type="spellStart"/>
      <w:r w:rsidRPr="00AF751E">
        <w:rPr>
          <w:lang w:val="en-US"/>
        </w:rPr>
        <w:t>entrega</w:t>
      </w:r>
      <w:proofErr w:type="spellEnd"/>
      <w:r w:rsidRPr="00AF751E">
        <w:rPr>
          <w:lang w:val="en-US"/>
        </w:rPr>
        <w:t xml:space="preserve"> del </w:t>
      </w:r>
      <w:proofErr w:type="spellStart"/>
      <w:r w:rsidRPr="00AF751E">
        <w:rPr>
          <w:lang w:val="en-US"/>
        </w:rPr>
        <w:t>equipo</w:t>
      </w:r>
      <w:proofErr w:type="spellEnd"/>
      <w:r w:rsidRPr="00AF751E">
        <w:rPr>
          <w:lang w:val="en-US"/>
        </w:rPr>
        <w:t xml:space="preserve"> para fines de </w:t>
      </w:r>
      <w:r w:rsidRPr="00AF751E">
        <w:rPr>
          <w:lang w:val="en-CA"/>
        </w:rPr>
        <w:t>2021.</w:t>
      </w:r>
    </w:p>
    <w:p w14:paraId="0A9D4939" w14:textId="77777777" w:rsidR="00AF751E" w:rsidRPr="00AF751E" w:rsidRDefault="00AF751E" w:rsidP="00AF751E">
      <w:pPr>
        <w:pStyle w:val="Heading1"/>
        <w:tabs>
          <w:tab w:val="left" w:pos="900"/>
        </w:tabs>
        <w:rPr>
          <w:lang w:val="es-ES"/>
        </w:rPr>
      </w:pPr>
      <w:r w:rsidRPr="00AF751E">
        <w:rPr>
          <w:lang w:val="es-ES"/>
        </w:rPr>
        <w:t>El Gobierno ha estado llevando a cabo actividades de apoyo para la reducción de los HFC y se ha incluido a los HFC en el sistema de concesión de licencias y de cupos y en la presentación de informes del programa de país. La República Democrática Popular Lao ratificó la Enmienda de Kigali el 16 de noviembre de 2017.</w:t>
      </w:r>
    </w:p>
    <w:p w14:paraId="4F0ED397" w14:textId="77777777" w:rsidR="00AF751E" w:rsidRPr="00AF751E" w:rsidRDefault="00AF751E" w:rsidP="00AF751E">
      <w:pPr>
        <w:tabs>
          <w:tab w:val="left" w:pos="900"/>
        </w:tabs>
        <w:spacing w:after="240"/>
        <w:outlineLvl w:val="0"/>
        <w:rPr>
          <w:u w:val="single"/>
          <w:lang w:val="es-ES"/>
        </w:rPr>
      </w:pPr>
      <w:r w:rsidRPr="00AF751E">
        <w:rPr>
          <w:u w:val="single"/>
          <w:lang w:val="es-ES"/>
        </w:rPr>
        <w:t>Nivel de desembolso de los fondos</w:t>
      </w:r>
    </w:p>
    <w:p w14:paraId="06D8376D" w14:textId="77777777" w:rsidR="00AF751E" w:rsidRPr="00AF751E" w:rsidRDefault="00AF751E" w:rsidP="00AF751E">
      <w:pPr>
        <w:numPr>
          <w:ilvl w:val="0"/>
          <w:numId w:val="1"/>
        </w:numPr>
        <w:spacing w:after="240"/>
        <w:outlineLvl w:val="0"/>
        <w:rPr>
          <w:lang w:val="es-ES"/>
        </w:rPr>
      </w:pPr>
      <w:r w:rsidRPr="00AF751E">
        <w:rPr>
          <w:lang w:val="es-ES"/>
        </w:rPr>
        <w:t>En abril de 2020, de los 280</w:t>
      </w:r>
      <w:r w:rsidRPr="00AF751E">
        <w:rPr>
          <w:color w:val="000000"/>
          <w:lang w:val="es-ES" w:eastAsia="en-CA"/>
        </w:rPr>
        <w:t>.000</w:t>
      </w:r>
      <w:r w:rsidRPr="00AF751E">
        <w:rPr>
          <w:lang w:val="es-ES"/>
        </w:rPr>
        <w:t xml:space="preserve"> $EUA aprobados hasta la fecha, el PNUMA ha desembolsado 205.000 $EUA. Los 45.000 $EUA aprobados para el Gobierno de Francia se han usado para adquirir equipo para el instituto de capacitación, que se prevé llegue a fines de 2021. </w:t>
      </w:r>
    </w:p>
    <w:p w14:paraId="2FD315D5" w14:textId="77777777" w:rsidR="00AF751E" w:rsidRPr="00AF751E" w:rsidRDefault="00AF751E" w:rsidP="00AF751E">
      <w:pPr>
        <w:keepNext/>
        <w:spacing w:after="240"/>
        <w:rPr>
          <w:b/>
          <w:lang w:val="es-ES"/>
        </w:rPr>
      </w:pPr>
      <w:r w:rsidRPr="00AF751E">
        <w:rPr>
          <w:b/>
          <w:lang w:val="es-ES"/>
        </w:rPr>
        <w:t>Observaciones de la Secretaría</w:t>
      </w:r>
    </w:p>
    <w:p w14:paraId="4FF95FEC" w14:textId="77777777" w:rsidR="00AF751E" w:rsidRPr="00AF751E" w:rsidRDefault="00AF751E" w:rsidP="00AF751E">
      <w:pPr>
        <w:numPr>
          <w:ilvl w:val="0"/>
          <w:numId w:val="1"/>
        </w:numPr>
        <w:spacing w:after="240"/>
        <w:outlineLvl w:val="0"/>
        <w:rPr>
          <w:lang w:val="es-ES"/>
        </w:rPr>
      </w:pPr>
      <w:r w:rsidRPr="00AF751E">
        <w:rPr>
          <w:lang w:val="es-ES"/>
        </w:rPr>
        <w:t>La Secretaría toma nota de los esfuerzos realizados por el Gobierno de la República Democrática Popular Lao, el PNUMA y el Gobierno de Francia para concluir las actividades previstas en el tercer tramo de la etapa I del plan de gestión de eliminación de los HCFC el 31 de diciembre de 2021. A pesar de esos esfuerzos, se prevé que el proyecto no concluya a finales de 2021 debido a las demoras impuestas por la pandemia de COVID-19. El PNUMA explicó que el país estaba experimentando una nueva ola de COVID-19, que es más severa que la de 2020, lo que dará por resultado importantes demoras en la realización de las actividades incluidas en el plan de gestión de eliminación de los HCFC. Concretamente, los talleres de capacitación de técnicos (previstos para el tercer tramo) no se pueden organizar debido a que no están permitidas las reuniones presenciales y a que los expertos que prestan apoyo técnico no pueden viajar desde el exterior; todavía no se ha firmado el acuerdo entre los Gobiernos de la República Democrática Popular Lao y Francia (cooperación bilateral); y está pendiente de la aprobación del Ministerio de Planificación e Inversiones, encargado de asuntos de la COVID-19, la modalidad de transferencia de los fondos para la adquisición de equipo para los centros de capacitación.</w:t>
      </w:r>
    </w:p>
    <w:p w14:paraId="2CE1CEE1" w14:textId="77777777" w:rsidR="00AF751E" w:rsidRPr="00AF751E" w:rsidRDefault="00AF751E" w:rsidP="00AF751E">
      <w:pPr>
        <w:numPr>
          <w:ilvl w:val="0"/>
          <w:numId w:val="1"/>
        </w:numPr>
        <w:spacing w:after="240"/>
        <w:outlineLvl w:val="0"/>
        <w:rPr>
          <w:lang w:val="es-ES"/>
        </w:rPr>
      </w:pPr>
      <w:r w:rsidRPr="00AF751E">
        <w:rPr>
          <w:lang w:val="es-ES"/>
        </w:rPr>
        <w:t>La Secretaría toma nota de que la prórroga por un año de la fecha de terminación de la etapa I del plan de gestión de eliminación de los HCFC permitiría al Gobierno de la República Democrática Popular Lao, el PNUMA y el Gobierno de Francia llevar a término todas las actividades pendientes incluidas en el plan de gestión de eliminación de los HCFC.</w:t>
      </w:r>
    </w:p>
    <w:p w14:paraId="6DCA6806" w14:textId="77777777" w:rsidR="00AF751E" w:rsidRPr="00AF751E" w:rsidRDefault="00AF751E" w:rsidP="00AF751E">
      <w:pPr>
        <w:keepNext/>
        <w:keepLines/>
        <w:spacing w:after="240"/>
        <w:rPr>
          <w:b/>
          <w:lang w:val="en-CA"/>
        </w:rPr>
      </w:pPr>
      <w:proofErr w:type="spellStart"/>
      <w:r w:rsidRPr="00AF751E">
        <w:rPr>
          <w:b/>
          <w:lang w:val="en-CA"/>
        </w:rPr>
        <w:t>Recomendación</w:t>
      </w:r>
      <w:proofErr w:type="spellEnd"/>
    </w:p>
    <w:p w14:paraId="0905A9AA" w14:textId="77777777" w:rsidR="00AF751E" w:rsidRPr="00AF751E" w:rsidRDefault="00AF751E" w:rsidP="00AF751E">
      <w:pPr>
        <w:numPr>
          <w:ilvl w:val="0"/>
          <w:numId w:val="1"/>
        </w:numPr>
        <w:spacing w:after="240"/>
        <w:outlineLvl w:val="0"/>
        <w:rPr>
          <w:lang w:val="es-ES"/>
        </w:rPr>
      </w:pPr>
      <w:r w:rsidRPr="00AF751E">
        <w:rPr>
          <w:lang w:val="es-ES"/>
        </w:rPr>
        <w:t>El Comité Ejecutivo tal vez desee:</w:t>
      </w:r>
    </w:p>
    <w:p w14:paraId="394A9F6C" w14:textId="77777777" w:rsidR="00AF751E" w:rsidRPr="00AF751E" w:rsidRDefault="00AF751E" w:rsidP="00AF751E">
      <w:pPr>
        <w:widowControl w:val="0"/>
        <w:numPr>
          <w:ilvl w:val="1"/>
          <w:numId w:val="1"/>
        </w:numPr>
        <w:tabs>
          <w:tab w:val="num" w:pos="557"/>
        </w:tabs>
        <w:spacing w:after="240"/>
        <w:outlineLvl w:val="1"/>
        <w:rPr>
          <w:lang w:val="es-ES"/>
        </w:rPr>
      </w:pPr>
      <w:r w:rsidRPr="00AF751E">
        <w:rPr>
          <w:lang w:val="es-ES"/>
        </w:rPr>
        <w:t>Tomar nota del informe sobre los progresos logrados en la ejecución del programa de trabajo relacionada con la etapa I del plan de gestión de eliminación de los HCFC para la República Democrática Popular Lao y de la solicitud de prórroga presentada por el PNUMA, que figura en el documento UNEP/OzL.Pro/ExCom/87/9;</w:t>
      </w:r>
    </w:p>
    <w:p w14:paraId="7ED2C2B4" w14:textId="77777777" w:rsidR="00AF751E" w:rsidRPr="00AF751E" w:rsidRDefault="00AF751E" w:rsidP="00AF751E">
      <w:pPr>
        <w:pStyle w:val="Heading2"/>
        <w:rPr>
          <w:lang w:val="es-ES"/>
        </w:rPr>
      </w:pPr>
      <w:r w:rsidRPr="00AF751E">
        <w:rPr>
          <w:lang w:val="es-ES"/>
        </w:rPr>
        <w:lastRenderedPageBreak/>
        <w:t xml:space="preserve">Prorrogar, con carácter excepcional debido a las demoras impuestas por la pandemia de COVID-19, la fecha de terminación de la etapa I del plan de gestión de eliminación de los HCFC para la República Democrática Popular Lao hasta el 31 de diciembre de 2022, y señalar que no se solicitará ninguna otra prórroga; y </w:t>
      </w:r>
    </w:p>
    <w:p w14:paraId="768476BD" w14:textId="77777777" w:rsidR="00AF751E" w:rsidRPr="00AF751E" w:rsidRDefault="00AF751E" w:rsidP="00AF751E">
      <w:pPr>
        <w:widowControl w:val="0"/>
        <w:numPr>
          <w:ilvl w:val="1"/>
          <w:numId w:val="1"/>
        </w:numPr>
        <w:tabs>
          <w:tab w:val="num" w:pos="557"/>
        </w:tabs>
        <w:spacing w:after="240"/>
        <w:outlineLvl w:val="1"/>
        <w:rPr>
          <w:lang w:val="es-ES"/>
        </w:rPr>
      </w:pPr>
      <w:r w:rsidRPr="00AF751E">
        <w:rPr>
          <w:lang w:val="es-ES"/>
        </w:rPr>
        <w:t>Pedir al Gobierno de la República Democrática Popular Lao, el PNUMA y el Gobierno de Francia que presente un informe sobre la terminación del proyecto a la primera reunión de 2023.</w:t>
      </w:r>
    </w:p>
    <w:p w14:paraId="52CC1A88" w14:textId="77777777" w:rsidR="00AF751E" w:rsidRPr="00AF751E" w:rsidRDefault="00AF751E" w:rsidP="00AF751E">
      <w:pPr>
        <w:keepNext/>
        <w:keepLines/>
        <w:spacing w:after="240"/>
        <w:rPr>
          <w:lang w:val="es-ES"/>
        </w:rPr>
      </w:pPr>
      <w:r w:rsidRPr="00AF751E">
        <w:rPr>
          <w:u w:val="single"/>
          <w:lang w:val="es-ES"/>
        </w:rPr>
        <w:t>Malasia: Plan de gestión de eliminación de los HCFC (etapa II – cambio de tecnología en nueve empresas y reasignación de fondos)</w:t>
      </w:r>
      <w:r w:rsidRPr="00AF751E">
        <w:rPr>
          <w:lang w:val="es-ES"/>
        </w:rPr>
        <w:t xml:space="preserve"> (PNUD)</w:t>
      </w:r>
    </w:p>
    <w:p w14:paraId="7B22C691" w14:textId="77777777" w:rsidR="00AF751E" w:rsidRPr="00AF751E" w:rsidRDefault="00AF751E" w:rsidP="00AF751E">
      <w:pPr>
        <w:keepNext/>
        <w:keepLines/>
        <w:widowControl w:val="0"/>
        <w:spacing w:after="240"/>
        <w:rPr>
          <w:b/>
          <w:lang w:val="en-CA"/>
        </w:rPr>
      </w:pPr>
      <w:proofErr w:type="spellStart"/>
      <w:r w:rsidRPr="00AF751E">
        <w:rPr>
          <w:b/>
          <w:lang w:val="en-CA"/>
        </w:rPr>
        <w:t>Antecedentes</w:t>
      </w:r>
      <w:proofErr w:type="spellEnd"/>
    </w:p>
    <w:p w14:paraId="0028AFDA" w14:textId="77777777" w:rsidR="00AF751E" w:rsidRPr="00AF751E" w:rsidRDefault="00AF751E" w:rsidP="00AF751E">
      <w:pPr>
        <w:numPr>
          <w:ilvl w:val="0"/>
          <w:numId w:val="1"/>
        </w:numPr>
        <w:spacing w:after="240"/>
        <w:outlineLvl w:val="0"/>
        <w:rPr>
          <w:lang w:val="es-ES"/>
        </w:rPr>
      </w:pPr>
      <w:r w:rsidRPr="00AF751E">
        <w:rPr>
          <w:lang w:val="es-ES"/>
        </w:rPr>
        <w:t>En su 77</w:t>
      </w:r>
      <w:r w:rsidRPr="00AF751E">
        <w:rPr>
          <w:vertAlign w:val="superscript"/>
          <w:lang w:val="es-ES"/>
        </w:rPr>
        <w:t>a</w:t>
      </w:r>
      <w:r w:rsidRPr="00AF751E">
        <w:rPr>
          <w:lang w:val="es-ES"/>
        </w:rPr>
        <w:t xml:space="preserve"> reunión, el Comité Ejecutivo aprobó, en principio, la etapa II del plan de gestión de eliminación de los HCFC para Malasia</w:t>
      </w:r>
      <w:r w:rsidRPr="00AF751E">
        <w:rPr>
          <w:vertAlign w:val="superscript"/>
          <w:lang w:val="en-CA"/>
        </w:rPr>
        <w:footnoteReference w:id="24"/>
      </w:r>
      <w:r w:rsidRPr="00AF751E">
        <w:rPr>
          <w:lang w:val="es-ES"/>
        </w:rPr>
        <w:t xml:space="preserve"> correspondiente al período comprendido entre 2016 y 2022 para reducir el consumo de HCFC en 42,9 % respecto de su nivel básico, por la suma de 6.138.063 $EUA, más gastos de apoyo al organismo de 429.665 $EUA para el PNUD.</w:t>
      </w:r>
    </w:p>
    <w:p w14:paraId="33EEE562" w14:textId="77777777" w:rsidR="00AF751E" w:rsidRPr="00AF751E" w:rsidRDefault="00AF751E" w:rsidP="00AF751E">
      <w:pPr>
        <w:numPr>
          <w:ilvl w:val="0"/>
          <w:numId w:val="1"/>
        </w:numPr>
        <w:spacing w:after="240"/>
        <w:outlineLvl w:val="0"/>
        <w:rPr>
          <w:rFonts w:eastAsia="SimSun"/>
          <w:lang w:val="es-ES" w:eastAsia="zh-CN"/>
        </w:rPr>
      </w:pPr>
      <w:r w:rsidRPr="00AF751E">
        <w:rPr>
          <w:lang w:val="es-ES"/>
        </w:rPr>
        <w:t>En la etapa II se incluyó la financiación de la conversión de 67 empresas fabricantes de espumas de poliuretano, de las cuales 57 eran empresas pequeñas y medianas, a alternativas de bajo PCA; otras 10 empresas no admisibles habían planificado eliminar su consumo sin apoyo del Fondo Multilateral, lo que permitirá completar para el 1 de enero de 2022 la eliminación del HCFC-141b en el sector de espumas de poliuretano. Se ha previsto proceder por etapas, de manera que las empresas más grandes que consumen 20 toneladas métricas (</w:t>
      </w:r>
      <w:proofErr w:type="spellStart"/>
      <w:r w:rsidRPr="00AF751E">
        <w:rPr>
          <w:lang w:val="es-ES"/>
        </w:rPr>
        <w:t>tm</w:t>
      </w:r>
      <w:proofErr w:type="spellEnd"/>
      <w:r w:rsidRPr="00AF751E">
        <w:rPr>
          <w:lang w:val="es-ES"/>
        </w:rPr>
        <w:t xml:space="preserve">) o más harían la conversión a </w:t>
      </w:r>
      <w:proofErr w:type="spellStart"/>
      <w:r w:rsidRPr="00AF751E">
        <w:rPr>
          <w:lang w:val="es-ES"/>
        </w:rPr>
        <w:t>ciclopentano</w:t>
      </w:r>
      <w:proofErr w:type="spellEnd"/>
      <w:r w:rsidRPr="00AF751E">
        <w:rPr>
          <w:lang w:val="es-ES"/>
        </w:rPr>
        <w:t xml:space="preserve"> puro o premezclado en sistemas a base de </w:t>
      </w:r>
      <w:proofErr w:type="spellStart"/>
      <w:r w:rsidRPr="00AF751E">
        <w:rPr>
          <w:lang w:val="es-ES"/>
        </w:rPr>
        <w:t>polioles</w:t>
      </w:r>
      <w:proofErr w:type="spellEnd"/>
      <w:r w:rsidRPr="00AF751E">
        <w:rPr>
          <w:rStyle w:val="FootnoteReference"/>
          <w:lang w:val="en-CA"/>
        </w:rPr>
        <w:footnoteReference w:id="25"/>
      </w:r>
      <w:r w:rsidRPr="00AF751E">
        <w:rPr>
          <w:lang w:val="es-ES"/>
        </w:rPr>
        <w:t xml:space="preserve">, y las empresas más pequeñas procederían a la conversión a formulaciones reducidas a base de HFO o posiblemente a </w:t>
      </w:r>
      <w:proofErr w:type="spellStart"/>
      <w:r w:rsidRPr="00AF751E">
        <w:rPr>
          <w:lang w:val="es-ES"/>
        </w:rPr>
        <w:t>metilal</w:t>
      </w:r>
      <w:proofErr w:type="spellEnd"/>
      <w:r w:rsidRPr="00AF751E">
        <w:rPr>
          <w:lang w:val="es-ES"/>
        </w:rPr>
        <w:t xml:space="preserve">, en los tramos segundo y tercero. </w:t>
      </w:r>
    </w:p>
    <w:p w14:paraId="6EE2BA5D" w14:textId="77777777" w:rsidR="00AF751E" w:rsidRPr="00AF751E" w:rsidRDefault="00AF751E" w:rsidP="00AF751E">
      <w:pPr>
        <w:widowControl w:val="0"/>
        <w:numPr>
          <w:ilvl w:val="0"/>
          <w:numId w:val="1"/>
        </w:numPr>
        <w:spacing w:after="240"/>
        <w:outlineLvl w:val="0"/>
        <w:rPr>
          <w:lang w:val="es-ES"/>
        </w:rPr>
      </w:pPr>
      <w:r w:rsidRPr="00AF751E">
        <w:rPr>
          <w:lang w:val="es-ES"/>
        </w:rPr>
        <w:t>En la 84</w:t>
      </w:r>
      <w:r w:rsidRPr="00AF751E">
        <w:rPr>
          <w:vertAlign w:val="superscript"/>
          <w:lang w:val="es-ES"/>
        </w:rPr>
        <w:t>a</w:t>
      </w:r>
      <w:r w:rsidRPr="00AF751E">
        <w:rPr>
          <w:lang w:val="es-ES"/>
        </w:rPr>
        <w:t xml:space="preserve"> reunión, el PNUD informó de que, dada la preocupación por el suministro estable de agentes espumantes a base de HFO y la disponibilidad comercial inmediata de </w:t>
      </w:r>
      <w:proofErr w:type="spellStart"/>
      <w:r w:rsidRPr="00AF751E">
        <w:rPr>
          <w:lang w:val="es-ES"/>
        </w:rPr>
        <w:t>ciclopentano</w:t>
      </w:r>
      <w:proofErr w:type="spellEnd"/>
      <w:r w:rsidRPr="00AF751E">
        <w:rPr>
          <w:lang w:val="es-ES"/>
        </w:rPr>
        <w:t xml:space="preserve"> premezclado en sistemas a base de </w:t>
      </w:r>
      <w:proofErr w:type="spellStart"/>
      <w:r w:rsidRPr="00AF751E">
        <w:rPr>
          <w:lang w:val="es-ES"/>
        </w:rPr>
        <w:t>polioles</w:t>
      </w:r>
      <w:proofErr w:type="spellEnd"/>
      <w:r w:rsidRPr="00AF751E">
        <w:rPr>
          <w:lang w:val="es-ES"/>
        </w:rPr>
        <w:t xml:space="preserve"> en los cuatro proveedores de sistemas del país, siete empresas pequeñas y medianas (a saber, </w:t>
      </w:r>
      <w:proofErr w:type="spellStart"/>
      <w:r w:rsidRPr="00AF751E">
        <w:rPr>
          <w:lang w:val="es-ES"/>
        </w:rPr>
        <w:t>Allied</w:t>
      </w:r>
      <w:proofErr w:type="spellEnd"/>
      <w:r w:rsidRPr="00AF751E">
        <w:rPr>
          <w:lang w:val="es-ES"/>
        </w:rPr>
        <w:t xml:space="preserve"> </w:t>
      </w:r>
      <w:proofErr w:type="spellStart"/>
      <w:r w:rsidRPr="00AF751E">
        <w:rPr>
          <w:lang w:val="es-ES"/>
        </w:rPr>
        <w:t>Foam</w:t>
      </w:r>
      <w:proofErr w:type="spellEnd"/>
      <w:r w:rsidRPr="00AF751E">
        <w:rPr>
          <w:lang w:val="es-ES"/>
        </w:rPr>
        <w:t xml:space="preserve">, </w:t>
      </w:r>
      <w:proofErr w:type="spellStart"/>
      <w:r w:rsidRPr="00AF751E">
        <w:rPr>
          <w:lang w:val="es-ES"/>
        </w:rPr>
        <w:t>Astino</w:t>
      </w:r>
      <w:proofErr w:type="spellEnd"/>
      <w:r w:rsidRPr="00AF751E">
        <w:rPr>
          <w:lang w:val="es-ES"/>
        </w:rPr>
        <w:t xml:space="preserve">, Century, </w:t>
      </w:r>
      <w:proofErr w:type="spellStart"/>
      <w:r w:rsidRPr="00AF751E">
        <w:rPr>
          <w:lang w:val="es-ES"/>
        </w:rPr>
        <w:t>Gai</w:t>
      </w:r>
      <w:proofErr w:type="spellEnd"/>
      <w:r w:rsidRPr="00AF751E">
        <w:rPr>
          <w:lang w:val="es-ES"/>
        </w:rPr>
        <w:t xml:space="preserve"> </w:t>
      </w:r>
      <w:proofErr w:type="spellStart"/>
      <w:r w:rsidRPr="00AF751E">
        <w:rPr>
          <w:lang w:val="es-ES"/>
        </w:rPr>
        <w:t>Hin</w:t>
      </w:r>
      <w:proofErr w:type="spellEnd"/>
      <w:r w:rsidRPr="00AF751E">
        <w:rPr>
          <w:lang w:val="es-ES"/>
        </w:rPr>
        <w:t xml:space="preserve">, </w:t>
      </w:r>
      <w:proofErr w:type="spellStart"/>
      <w:r w:rsidRPr="00AF751E">
        <w:rPr>
          <w:lang w:val="es-ES"/>
        </w:rPr>
        <w:t>Hewgant</w:t>
      </w:r>
      <w:proofErr w:type="spellEnd"/>
      <w:r w:rsidRPr="00AF751E">
        <w:rPr>
          <w:lang w:val="es-ES"/>
        </w:rPr>
        <w:t xml:space="preserve">, </w:t>
      </w:r>
      <w:proofErr w:type="spellStart"/>
      <w:r w:rsidRPr="00AF751E">
        <w:rPr>
          <w:lang w:val="es-ES"/>
        </w:rPr>
        <w:t>Insulated</w:t>
      </w:r>
      <w:proofErr w:type="spellEnd"/>
      <w:r w:rsidRPr="00AF751E">
        <w:rPr>
          <w:lang w:val="es-ES"/>
        </w:rPr>
        <w:t xml:space="preserve"> Box, y Roto </w:t>
      </w:r>
      <w:proofErr w:type="spellStart"/>
      <w:r w:rsidRPr="00AF751E">
        <w:rPr>
          <w:lang w:val="es-ES"/>
        </w:rPr>
        <w:t>Speed</w:t>
      </w:r>
      <w:proofErr w:type="spellEnd"/>
      <w:r w:rsidRPr="00AF751E">
        <w:rPr>
          <w:lang w:val="es-ES"/>
        </w:rPr>
        <w:t xml:space="preserve">) estaban considerando cambiar de tecnología de los HFO a </w:t>
      </w:r>
      <w:proofErr w:type="spellStart"/>
      <w:r w:rsidRPr="00AF751E">
        <w:rPr>
          <w:lang w:val="es-ES"/>
        </w:rPr>
        <w:t>ciclopentano</w:t>
      </w:r>
      <w:proofErr w:type="spellEnd"/>
      <w:r w:rsidRPr="00AF751E">
        <w:rPr>
          <w:lang w:val="es-ES"/>
        </w:rPr>
        <w:t xml:space="preserve"> premezclado; sin embargo, la decisión final de esas empresas estaba pendiente de los resultados de las pruebas de diferentes formulaciones que se estaban llevando a cabo. El PNUD confirmó también que las empresas financiarían cualquier costo adicional si decidiesen proceder al cambio de tecnología. Durante el proceso de examen, la Secretaría evaluó los costos adicionales admisibles para la conversión a </w:t>
      </w:r>
      <w:proofErr w:type="spellStart"/>
      <w:r w:rsidRPr="00AF751E">
        <w:rPr>
          <w:lang w:val="es-ES"/>
        </w:rPr>
        <w:t>ciclopentano</w:t>
      </w:r>
      <w:proofErr w:type="spellEnd"/>
      <w:r w:rsidRPr="00AF751E">
        <w:rPr>
          <w:lang w:val="es-ES"/>
        </w:rPr>
        <w:t xml:space="preserve"> premezclado en sistemas a base de </w:t>
      </w:r>
      <w:proofErr w:type="spellStart"/>
      <w:r w:rsidRPr="00AF751E">
        <w:rPr>
          <w:lang w:val="es-ES"/>
        </w:rPr>
        <w:t>polioles</w:t>
      </w:r>
      <w:proofErr w:type="spellEnd"/>
      <w:r w:rsidRPr="00AF751E">
        <w:rPr>
          <w:lang w:val="es-ES"/>
        </w:rPr>
        <w:t xml:space="preserve">, y llegó a la conclusión de que no se obtendrían economías derivadas de ese cambio de tecnología. En consecuencia, el Comité Ejecutivo decidió que esas empresas tuvieran flexibilidad para llevar a cabo el cambio a la tecnología al </w:t>
      </w:r>
      <w:proofErr w:type="spellStart"/>
      <w:r w:rsidRPr="00AF751E">
        <w:rPr>
          <w:lang w:val="es-ES"/>
        </w:rPr>
        <w:t>ciclopentano</w:t>
      </w:r>
      <w:proofErr w:type="spellEnd"/>
      <w:r w:rsidRPr="00AF751E">
        <w:rPr>
          <w:lang w:val="es-ES"/>
        </w:rPr>
        <w:t xml:space="preserve"> premezclado, en el entendimiento de que las conversiones no se demorarían y que cualquier costo adicional sería sufragado por las empresas; y que el PNUD informaría sobre este asunto cuando presentara la solicitud del tercer tramo del plan de gestión de eliminación de los HCFC (decisión 84/77(b)). </w:t>
      </w:r>
    </w:p>
    <w:p w14:paraId="0B14813E" w14:textId="77777777" w:rsidR="00AF751E" w:rsidRPr="00AF751E" w:rsidRDefault="00AF751E" w:rsidP="00AF751E">
      <w:pPr>
        <w:numPr>
          <w:ilvl w:val="0"/>
          <w:numId w:val="1"/>
        </w:numPr>
        <w:spacing w:after="240"/>
        <w:outlineLvl w:val="0"/>
        <w:rPr>
          <w:lang w:val="es-ES"/>
        </w:rPr>
      </w:pPr>
      <w:r w:rsidRPr="00AF751E">
        <w:rPr>
          <w:lang w:val="es-ES"/>
        </w:rPr>
        <w:t>En la 85</w:t>
      </w:r>
      <w:r w:rsidRPr="00AF751E">
        <w:rPr>
          <w:vertAlign w:val="superscript"/>
          <w:lang w:val="es-ES"/>
        </w:rPr>
        <w:t>a</w:t>
      </w:r>
      <w:r w:rsidRPr="00AF751E">
        <w:rPr>
          <w:lang w:val="es-ES"/>
        </w:rPr>
        <w:t xml:space="preserve"> reunión, el PNUD informó de que esas siete empresas pequeñas y medianas habían confirmado su cambio de tecnología a </w:t>
      </w:r>
      <w:proofErr w:type="spellStart"/>
      <w:r w:rsidRPr="00AF751E">
        <w:rPr>
          <w:lang w:val="es-ES"/>
        </w:rPr>
        <w:t>ciclopentano</w:t>
      </w:r>
      <w:proofErr w:type="spellEnd"/>
      <w:r w:rsidRPr="00AF751E">
        <w:rPr>
          <w:lang w:val="es-ES"/>
        </w:rPr>
        <w:t xml:space="preserve"> premezclado. En las reuniones 85</w:t>
      </w:r>
      <w:r w:rsidRPr="00AF751E">
        <w:rPr>
          <w:vertAlign w:val="superscript"/>
          <w:lang w:val="es-ES"/>
        </w:rPr>
        <w:t>a</w:t>
      </w:r>
      <w:r w:rsidRPr="00AF751E">
        <w:rPr>
          <w:lang w:val="es-ES"/>
        </w:rPr>
        <w:t xml:space="preserve"> y 86</w:t>
      </w:r>
      <w:r w:rsidRPr="00AF751E">
        <w:rPr>
          <w:vertAlign w:val="superscript"/>
          <w:lang w:val="es-ES"/>
        </w:rPr>
        <w:t>a</w:t>
      </w:r>
      <w:r w:rsidRPr="00AF751E">
        <w:rPr>
          <w:lang w:val="es-ES"/>
        </w:rPr>
        <w:t xml:space="preserve">, el PNUD presentó una solicitud de cambio de tecnología para otras 25 empresas pequeñas y medianas de los HFO a </w:t>
      </w:r>
      <w:proofErr w:type="spellStart"/>
      <w:r w:rsidRPr="00AF751E">
        <w:rPr>
          <w:lang w:val="es-ES"/>
        </w:rPr>
        <w:t>ciclopentano</w:t>
      </w:r>
      <w:proofErr w:type="spellEnd"/>
      <w:r w:rsidRPr="00AF751E">
        <w:rPr>
          <w:lang w:val="es-ES"/>
        </w:rPr>
        <w:t xml:space="preserve"> premezclado en sistemas a base de </w:t>
      </w:r>
      <w:proofErr w:type="spellStart"/>
      <w:r w:rsidRPr="00AF751E">
        <w:rPr>
          <w:lang w:val="es-ES"/>
        </w:rPr>
        <w:t>polioles</w:t>
      </w:r>
      <w:proofErr w:type="spellEnd"/>
      <w:r w:rsidRPr="00AF751E">
        <w:rPr>
          <w:lang w:val="es-ES"/>
        </w:rPr>
        <w:t xml:space="preserve">, que el Comité Ejecutivo aprobó en el </w:t>
      </w:r>
      <w:r w:rsidRPr="00AF751E">
        <w:rPr>
          <w:lang w:val="es-ES"/>
        </w:rPr>
        <w:lastRenderedPageBreak/>
        <w:t>entendimiento de que las conversiones no demorarían y que cualquier costo adicional sería sufragado por esas empresas (decisiones 85/11 b) y 86/27 b)).</w:t>
      </w:r>
    </w:p>
    <w:p w14:paraId="2CAED9F4" w14:textId="77777777" w:rsidR="00AF751E" w:rsidRPr="00AF751E" w:rsidRDefault="00AF751E" w:rsidP="00AF751E">
      <w:pPr>
        <w:spacing w:after="240"/>
        <w:rPr>
          <w:u w:val="single"/>
          <w:lang w:val="en-CA"/>
        </w:rPr>
      </w:pPr>
      <w:proofErr w:type="spellStart"/>
      <w:r w:rsidRPr="00AF751E">
        <w:rPr>
          <w:u w:val="single"/>
          <w:lang w:val="en-CA"/>
        </w:rPr>
        <w:t>Solicitud</w:t>
      </w:r>
      <w:proofErr w:type="spellEnd"/>
      <w:r w:rsidRPr="00AF751E">
        <w:rPr>
          <w:u w:val="single"/>
          <w:lang w:val="en-CA"/>
        </w:rPr>
        <w:t xml:space="preserve"> de </w:t>
      </w:r>
      <w:proofErr w:type="spellStart"/>
      <w:r w:rsidRPr="00AF751E">
        <w:rPr>
          <w:u w:val="single"/>
          <w:lang w:val="en-CA"/>
        </w:rPr>
        <w:t>cambio</w:t>
      </w:r>
      <w:proofErr w:type="spellEnd"/>
      <w:r w:rsidRPr="00AF751E">
        <w:rPr>
          <w:u w:val="single"/>
          <w:lang w:val="en-CA"/>
        </w:rPr>
        <w:t xml:space="preserve"> de </w:t>
      </w:r>
      <w:proofErr w:type="spellStart"/>
      <w:r w:rsidRPr="00AF751E">
        <w:rPr>
          <w:u w:val="single"/>
          <w:lang w:val="en-CA"/>
        </w:rPr>
        <w:t>tecnología</w:t>
      </w:r>
      <w:proofErr w:type="spellEnd"/>
    </w:p>
    <w:p w14:paraId="4AEC227B" w14:textId="77777777" w:rsidR="00AF751E" w:rsidRPr="00AF751E" w:rsidRDefault="00AF751E" w:rsidP="00AF751E">
      <w:pPr>
        <w:pStyle w:val="Heading1"/>
        <w:rPr>
          <w:lang w:val="es-ES"/>
        </w:rPr>
      </w:pPr>
      <w:r w:rsidRPr="00AF751E">
        <w:rPr>
          <w:lang w:val="es-ES"/>
        </w:rPr>
        <w:t>De conformidad con el párrafo 7 a) v) del Acuerdo entre el Gobierno de Malasia y el Comité Ejecutivo, el Gobierno ha presentado a la 87</w:t>
      </w:r>
      <w:r w:rsidRPr="00AF751E">
        <w:rPr>
          <w:vertAlign w:val="superscript"/>
          <w:lang w:val="es-ES"/>
        </w:rPr>
        <w:t>a </w:t>
      </w:r>
      <w:r w:rsidRPr="00AF751E">
        <w:rPr>
          <w:lang w:val="es-ES"/>
        </w:rPr>
        <w:t xml:space="preserve">reunión, por conducto del PNUD, una solicitud de cambio de tecnología para otras nueve empresas pequeñas y medianas que en lugar de los HFO utilizarían </w:t>
      </w:r>
      <w:proofErr w:type="spellStart"/>
      <w:r w:rsidRPr="00AF751E">
        <w:rPr>
          <w:lang w:val="es-ES"/>
        </w:rPr>
        <w:t>ciclopentano</w:t>
      </w:r>
      <w:proofErr w:type="spellEnd"/>
      <w:r w:rsidRPr="00AF751E">
        <w:rPr>
          <w:lang w:val="es-ES"/>
        </w:rPr>
        <w:t xml:space="preserve"> premezclado o </w:t>
      </w:r>
      <w:proofErr w:type="spellStart"/>
      <w:r w:rsidRPr="00AF751E">
        <w:rPr>
          <w:lang w:val="es-ES"/>
        </w:rPr>
        <w:t>metilal</w:t>
      </w:r>
      <w:proofErr w:type="spellEnd"/>
      <w:r w:rsidRPr="00AF751E">
        <w:rPr>
          <w:lang w:val="es-ES"/>
        </w:rPr>
        <w:t xml:space="preserve">, como se indica en el cuadro 5. Otras dos empresas pequeñas y </w:t>
      </w:r>
      <w:proofErr w:type="gramStart"/>
      <w:r w:rsidRPr="00AF751E">
        <w:rPr>
          <w:lang w:val="es-ES"/>
        </w:rPr>
        <w:t>medianas  (</w:t>
      </w:r>
      <w:proofErr w:type="spellStart"/>
      <w:proofErr w:type="gramEnd"/>
      <w:r w:rsidRPr="00AF751E">
        <w:rPr>
          <w:lang w:val="es-ES"/>
        </w:rPr>
        <w:t>Water-Care</w:t>
      </w:r>
      <w:proofErr w:type="spellEnd"/>
      <w:r w:rsidRPr="00AF751E">
        <w:rPr>
          <w:lang w:val="es-ES"/>
        </w:rPr>
        <w:t xml:space="preserve"> Industries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xml:space="preserve"> y </w:t>
      </w:r>
      <w:proofErr w:type="spellStart"/>
      <w:r w:rsidRPr="00AF751E">
        <w:rPr>
          <w:lang w:val="es-ES"/>
        </w:rPr>
        <w:t>Composite</w:t>
      </w:r>
      <w:proofErr w:type="spellEnd"/>
      <w:r w:rsidRPr="00AF751E">
        <w:rPr>
          <w:lang w:val="es-ES"/>
        </w:rPr>
        <w:t xml:space="preserve"> </w:t>
      </w:r>
      <w:proofErr w:type="spellStart"/>
      <w:r w:rsidRPr="00AF751E">
        <w:rPr>
          <w:lang w:val="es-ES"/>
        </w:rPr>
        <w:t>Truck</w:t>
      </w:r>
      <w:proofErr w:type="spellEnd"/>
      <w:r w:rsidRPr="00AF751E">
        <w:rPr>
          <w:lang w:val="es-ES"/>
        </w:rPr>
        <w:t xml:space="preserve"> </w:t>
      </w:r>
      <w:proofErr w:type="spellStart"/>
      <w:r w:rsidRPr="00AF751E">
        <w:rPr>
          <w:lang w:val="es-ES"/>
        </w:rPr>
        <w:t>Body</w:t>
      </w:r>
      <w:proofErr w:type="spellEnd"/>
      <w:r w:rsidRPr="00AF751E">
        <w:rPr>
          <w:lang w:val="es-ES"/>
        </w:rPr>
        <w:t xml:space="preserve">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xml:space="preserve">, que consumen en total 10,48 </w:t>
      </w:r>
      <w:proofErr w:type="spellStart"/>
      <w:r w:rsidRPr="00AF751E">
        <w:rPr>
          <w:lang w:val="es-ES"/>
        </w:rPr>
        <w:t>tm</w:t>
      </w:r>
      <w:proofErr w:type="spellEnd"/>
      <w:r w:rsidRPr="00AF751E">
        <w:rPr>
          <w:lang w:val="es-ES"/>
        </w:rPr>
        <w:t xml:space="preserve">) han confirmado que permanecerán en el proyecto y realizarán la conversión a la tecnología convenida (es decir, reducirán los HFO). </w:t>
      </w:r>
    </w:p>
    <w:p w14:paraId="5FF3B567" w14:textId="77777777" w:rsidR="00AF751E" w:rsidRPr="00AF751E" w:rsidRDefault="00AF751E" w:rsidP="00AF751E">
      <w:pPr>
        <w:keepNext/>
        <w:keepLines/>
        <w:rPr>
          <w:b/>
          <w:lang w:val="es-ES"/>
        </w:rPr>
      </w:pPr>
      <w:r w:rsidRPr="00AF751E">
        <w:rPr>
          <w:b/>
          <w:lang w:val="es-ES"/>
        </w:rPr>
        <w:t>Cuadro 5. Nueve empresas pequeñas y medianas más, que han pedido a la 87</w:t>
      </w:r>
      <w:r w:rsidRPr="00AF751E">
        <w:rPr>
          <w:b/>
          <w:vertAlign w:val="superscript"/>
          <w:lang w:val="es-ES"/>
        </w:rPr>
        <w:t>a</w:t>
      </w:r>
      <w:r w:rsidRPr="00AF751E">
        <w:rPr>
          <w:b/>
          <w:lang w:val="es-ES"/>
        </w:rPr>
        <w:t xml:space="preserve"> reunión el cambio a otra tecnología alternativa de bajo PCA</w:t>
      </w:r>
    </w:p>
    <w:tbl>
      <w:tblPr>
        <w:tblW w:w="9351" w:type="dxa"/>
        <w:tblLayout w:type="fixed"/>
        <w:tblLook w:val="04A0" w:firstRow="1" w:lastRow="0" w:firstColumn="1" w:lastColumn="0" w:noHBand="0" w:noVBand="1"/>
      </w:tblPr>
      <w:tblGrid>
        <w:gridCol w:w="2972"/>
        <w:gridCol w:w="2268"/>
        <w:gridCol w:w="1418"/>
        <w:gridCol w:w="1275"/>
        <w:gridCol w:w="1418"/>
      </w:tblGrid>
      <w:tr w:rsidR="00AF751E" w:rsidRPr="00AF751E" w14:paraId="5EB5EE41" w14:textId="77777777" w:rsidTr="00AF751E">
        <w:trPr>
          <w:trHeight w:val="480"/>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14:paraId="23831FC3" w14:textId="77777777" w:rsidR="00AF751E" w:rsidRPr="00AF751E" w:rsidRDefault="00AF751E" w:rsidP="00AF751E">
            <w:pPr>
              <w:keepNext/>
              <w:keepLines/>
              <w:jc w:val="left"/>
              <w:rPr>
                <w:b/>
                <w:bCs/>
                <w:color w:val="000000"/>
                <w:sz w:val="20"/>
                <w:szCs w:val="20"/>
                <w:lang w:val="en-CA"/>
              </w:rPr>
            </w:pPr>
            <w:proofErr w:type="spellStart"/>
            <w:r w:rsidRPr="00AF751E">
              <w:rPr>
                <w:b/>
                <w:bCs/>
                <w:color w:val="000000"/>
                <w:sz w:val="20"/>
                <w:szCs w:val="20"/>
                <w:lang w:val="en-CA"/>
              </w:rPr>
              <w:t>Empresa</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8665287" w14:textId="77777777" w:rsidR="00AF751E" w:rsidRPr="00AF751E" w:rsidRDefault="00AF751E" w:rsidP="00AF751E">
            <w:pPr>
              <w:keepNext/>
              <w:keepLines/>
              <w:jc w:val="center"/>
              <w:rPr>
                <w:b/>
                <w:bCs/>
                <w:color w:val="000000"/>
                <w:sz w:val="20"/>
                <w:szCs w:val="20"/>
                <w:lang w:val="en-CA"/>
              </w:rPr>
            </w:pPr>
            <w:proofErr w:type="spellStart"/>
            <w:r w:rsidRPr="00AF751E">
              <w:rPr>
                <w:b/>
                <w:bCs/>
                <w:color w:val="000000"/>
                <w:sz w:val="20"/>
                <w:szCs w:val="20"/>
                <w:lang w:val="en-CA"/>
              </w:rPr>
              <w:t>Aplicación</w:t>
            </w:r>
            <w:proofErr w:type="spellEnd"/>
          </w:p>
        </w:tc>
        <w:tc>
          <w:tcPr>
            <w:tcW w:w="1418" w:type="dxa"/>
            <w:tcBorders>
              <w:top w:val="single" w:sz="4" w:space="0" w:color="auto"/>
              <w:left w:val="nil"/>
              <w:bottom w:val="single" w:sz="4" w:space="0" w:color="auto"/>
              <w:right w:val="single" w:sz="4" w:space="0" w:color="auto"/>
            </w:tcBorders>
          </w:tcPr>
          <w:p w14:paraId="08790B51" w14:textId="77777777" w:rsidR="00AF751E" w:rsidRPr="00AF751E" w:rsidRDefault="00AF751E" w:rsidP="00AF751E">
            <w:pPr>
              <w:keepNext/>
              <w:keepLines/>
              <w:jc w:val="center"/>
              <w:rPr>
                <w:b/>
                <w:bCs/>
                <w:color w:val="000000"/>
                <w:sz w:val="20"/>
                <w:szCs w:val="20"/>
                <w:lang w:val="en-CA"/>
              </w:rPr>
            </w:pPr>
            <w:proofErr w:type="spellStart"/>
            <w:r w:rsidRPr="00AF751E">
              <w:rPr>
                <w:b/>
                <w:bCs/>
                <w:color w:val="000000"/>
                <w:sz w:val="20"/>
                <w:szCs w:val="20"/>
                <w:lang w:val="en-CA"/>
              </w:rPr>
              <w:t>Tecnología</w:t>
            </w:r>
            <w:proofErr w:type="spellEnd"/>
            <w:r w:rsidRPr="00AF751E">
              <w:rPr>
                <w:b/>
                <w:bCs/>
                <w:color w:val="000000"/>
                <w:sz w:val="20"/>
                <w:szCs w:val="20"/>
                <w:lang w:val="en-CA"/>
              </w:rPr>
              <w:t xml:space="preserve"> </w:t>
            </w:r>
            <w:proofErr w:type="spellStart"/>
            <w:r w:rsidRPr="00AF751E">
              <w:rPr>
                <w:b/>
                <w:bCs/>
                <w:color w:val="000000"/>
                <w:sz w:val="20"/>
                <w:szCs w:val="20"/>
                <w:lang w:val="en-CA"/>
              </w:rPr>
              <w:t>propuesta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6B3E916" w14:textId="77777777" w:rsidR="00AF751E" w:rsidRPr="00AF751E" w:rsidRDefault="00AF751E" w:rsidP="00AF751E">
            <w:pPr>
              <w:keepNext/>
              <w:keepLines/>
              <w:jc w:val="center"/>
              <w:rPr>
                <w:b/>
                <w:bCs/>
                <w:color w:val="000000"/>
                <w:sz w:val="20"/>
                <w:szCs w:val="20"/>
                <w:lang w:val="en-CA"/>
              </w:rPr>
            </w:pPr>
            <w:r w:rsidRPr="00AF751E">
              <w:rPr>
                <w:b/>
                <w:bCs/>
                <w:color w:val="000000"/>
                <w:sz w:val="20"/>
                <w:szCs w:val="20"/>
                <w:lang w:val="en-CA"/>
              </w:rPr>
              <w:t>HCFC</w:t>
            </w:r>
            <w:r w:rsidRPr="00AF751E">
              <w:rPr>
                <w:b/>
                <w:bCs/>
                <w:color w:val="000000"/>
                <w:sz w:val="20"/>
                <w:szCs w:val="20"/>
                <w:lang w:val="en-CA"/>
              </w:rPr>
              <w:noBreakHyphen/>
              <w:t>141b (tm) en 2015</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F01AF7B" w14:textId="77777777" w:rsidR="00AF751E" w:rsidRPr="00AF751E" w:rsidRDefault="00AF751E" w:rsidP="00AF751E">
            <w:pPr>
              <w:keepNext/>
              <w:keepLines/>
              <w:jc w:val="center"/>
              <w:rPr>
                <w:b/>
                <w:bCs/>
                <w:color w:val="000000"/>
                <w:sz w:val="20"/>
                <w:szCs w:val="20"/>
                <w:lang w:val="en-CA"/>
              </w:rPr>
            </w:pPr>
            <w:proofErr w:type="spellStart"/>
            <w:r w:rsidRPr="00AF751E">
              <w:rPr>
                <w:b/>
                <w:bCs/>
                <w:color w:val="000000"/>
                <w:sz w:val="20"/>
                <w:szCs w:val="20"/>
                <w:lang w:val="en-CA"/>
              </w:rPr>
              <w:t>Financiación</w:t>
            </w:r>
            <w:proofErr w:type="spellEnd"/>
            <w:r w:rsidRPr="00AF751E">
              <w:rPr>
                <w:b/>
                <w:bCs/>
                <w:color w:val="000000"/>
                <w:sz w:val="20"/>
                <w:szCs w:val="20"/>
                <w:lang w:val="en-CA"/>
              </w:rPr>
              <w:t xml:space="preserve"> </w:t>
            </w:r>
            <w:proofErr w:type="spellStart"/>
            <w:r w:rsidRPr="00AF751E">
              <w:rPr>
                <w:b/>
                <w:bCs/>
                <w:color w:val="000000"/>
                <w:sz w:val="20"/>
                <w:szCs w:val="20"/>
                <w:lang w:val="en-CA"/>
              </w:rPr>
              <w:t>aprobada</w:t>
            </w:r>
            <w:proofErr w:type="spellEnd"/>
            <w:r w:rsidRPr="00AF751E">
              <w:rPr>
                <w:b/>
                <w:bCs/>
                <w:color w:val="000000"/>
                <w:sz w:val="20"/>
                <w:szCs w:val="20"/>
                <w:lang w:val="en-CA"/>
              </w:rPr>
              <w:t xml:space="preserve"> </w:t>
            </w:r>
            <w:r w:rsidRPr="00AF751E">
              <w:rPr>
                <w:b/>
                <w:bCs/>
                <w:color w:val="000000"/>
                <w:sz w:val="20"/>
                <w:szCs w:val="20"/>
                <w:lang w:val="en-CA"/>
              </w:rPr>
              <w:br/>
              <w:t>($ EUA)</w:t>
            </w:r>
          </w:p>
        </w:tc>
      </w:tr>
      <w:tr w:rsidR="00AF751E" w:rsidRPr="00AF751E" w14:paraId="34D3FEF2" w14:textId="77777777" w:rsidTr="00AF751E">
        <w:trPr>
          <w:trHeight w:val="98"/>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04821506" w14:textId="77777777" w:rsidR="00AF751E" w:rsidRPr="00AF751E" w:rsidRDefault="00AF751E" w:rsidP="00AF751E">
            <w:pPr>
              <w:keepNext/>
              <w:keepLines/>
              <w:jc w:val="left"/>
              <w:rPr>
                <w:color w:val="000000"/>
                <w:sz w:val="20"/>
                <w:szCs w:val="20"/>
                <w:lang w:val="en-CA"/>
              </w:rPr>
            </w:pPr>
            <w:proofErr w:type="spellStart"/>
            <w:r w:rsidRPr="00AF751E">
              <w:rPr>
                <w:sz w:val="20"/>
                <w:szCs w:val="20"/>
              </w:rPr>
              <w:t>Pipeco</w:t>
            </w:r>
            <w:proofErr w:type="spellEnd"/>
            <w:r w:rsidRPr="00AF751E">
              <w:rPr>
                <w:sz w:val="20"/>
                <w:szCs w:val="20"/>
              </w:rPr>
              <w:t xml:space="preserve"> FRP Tanks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0D6D3FC1" w14:textId="77777777" w:rsidR="00AF751E" w:rsidRPr="00AF751E" w:rsidRDefault="00AF751E" w:rsidP="00AF751E">
            <w:pPr>
              <w:keepNext/>
              <w:keepLines/>
              <w:jc w:val="left"/>
              <w:rPr>
                <w:sz w:val="20"/>
                <w:szCs w:val="20"/>
                <w:lang w:val="en-CA"/>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418" w:type="dxa"/>
            <w:tcBorders>
              <w:top w:val="single" w:sz="4" w:space="0" w:color="auto"/>
              <w:left w:val="nil"/>
              <w:bottom w:val="single" w:sz="4" w:space="0" w:color="auto"/>
              <w:right w:val="single" w:sz="4" w:space="0" w:color="auto"/>
            </w:tcBorders>
          </w:tcPr>
          <w:p w14:paraId="333387E9" w14:textId="77777777" w:rsidR="00AF751E" w:rsidRPr="00AF751E" w:rsidRDefault="00AF751E" w:rsidP="00AF751E">
            <w:pPr>
              <w:keepNext/>
              <w:keepLines/>
              <w:ind w:right="28"/>
              <w:jc w:val="left"/>
              <w:rPr>
                <w:sz w:val="20"/>
                <w:szCs w:val="20"/>
              </w:rPr>
            </w:pPr>
            <w:proofErr w:type="spellStart"/>
            <w:r w:rsidRPr="00AF751E">
              <w:rPr>
                <w:sz w:val="20"/>
                <w:szCs w:val="20"/>
              </w:rPr>
              <w:t>Metilal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AF1C358" w14:textId="77777777" w:rsidR="00AF751E" w:rsidRPr="00AF751E" w:rsidRDefault="00AF751E" w:rsidP="00AF751E">
            <w:pPr>
              <w:keepNext/>
              <w:keepLines/>
              <w:ind w:right="-108"/>
              <w:jc w:val="right"/>
              <w:rPr>
                <w:color w:val="000000"/>
                <w:sz w:val="20"/>
                <w:szCs w:val="20"/>
                <w:lang w:val="en-CA"/>
              </w:rPr>
            </w:pPr>
            <w:r w:rsidRPr="00AF751E">
              <w:rPr>
                <w:sz w:val="20"/>
                <w:szCs w:val="20"/>
              </w:rPr>
              <w:t>8,75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7DFEEAC" w14:textId="77777777" w:rsidR="00AF751E" w:rsidRPr="00AF751E" w:rsidRDefault="00AF751E" w:rsidP="00AF751E">
            <w:pPr>
              <w:keepNext/>
              <w:keepLines/>
              <w:ind w:right="-85"/>
              <w:jc w:val="right"/>
              <w:rPr>
                <w:bCs/>
                <w:sz w:val="20"/>
                <w:szCs w:val="20"/>
                <w:lang w:val="en-CA"/>
              </w:rPr>
            </w:pPr>
            <w:r w:rsidRPr="00AF751E">
              <w:rPr>
                <w:sz w:val="20"/>
                <w:szCs w:val="20"/>
              </w:rPr>
              <w:t>54 340</w:t>
            </w:r>
          </w:p>
        </w:tc>
      </w:tr>
      <w:tr w:rsidR="00AF751E" w:rsidRPr="00AF751E" w14:paraId="62817629" w14:textId="77777777" w:rsidTr="00AF751E">
        <w:trPr>
          <w:trHeight w:val="170"/>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43E8682D" w14:textId="77777777" w:rsidR="00AF751E" w:rsidRPr="00AF751E" w:rsidRDefault="00AF751E" w:rsidP="00AF751E">
            <w:pPr>
              <w:keepNext/>
              <w:keepLines/>
              <w:jc w:val="left"/>
              <w:rPr>
                <w:color w:val="000000"/>
                <w:sz w:val="20"/>
                <w:szCs w:val="20"/>
                <w:lang w:val="en-CA"/>
              </w:rPr>
            </w:pPr>
            <w:r w:rsidRPr="00AF751E">
              <w:rPr>
                <w:sz w:val="20"/>
                <w:szCs w:val="20"/>
              </w:rPr>
              <w:t xml:space="preserve">Poly </w:t>
            </w:r>
            <w:proofErr w:type="spellStart"/>
            <w:r w:rsidRPr="00AF751E">
              <w:rPr>
                <w:sz w:val="20"/>
                <w:szCs w:val="20"/>
              </w:rPr>
              <w:t>Unifoam</w:t>
            </w:r>
            <w:proofErr w:type="spellEnd"/>
            <w:r w:rsidRPr="00AF751E">
              <w:rPr>
                <w:sz w:val="20"/>
                <w:szCs w:val="20"/>
              </w:rPr>
              <w:t xml:space="preserve">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45F14D28" w14:textId="77777777" w:rsidR="00AF751E" w:rsidRPr="00AF751E" w:rsidRDefault="00AF751E" w:rsidP="00AF751E">
            <w:pPr>
              <w:keepNext/>
              <w:keepLines/>
              <w:jc w:val="left"/>
              <w:rPr>
                <w:sz w:val="20"/>
                <w:szCs w:val="20"/>
                <w:lang w:val="en-CA"/>
              </w:rPr>
            </w:pPr>
            <w:proofErr w:type="spellStart"/>
            <w:r w:rsidRPr="00AF751E">
              <w:rPr>
                <w:sz w:val="20"/>
                <w:szCs w:val="20"/>
              </w:rPr>
              <w:t>Tuberías</w:t>
            </w:r>
            <w:proofErr w:type="spellEnd"/>
          </w:p>
        </w:tc>
        <w:tc>
          <w:tcPr>
            <w:tcW w:w="1418" w:type="dxa"/>
            <w:tcBorders>
              <w:top w:val="single" w:sz="4" w:space="0" w:color="auto"/>
              <w:left w:val="nil"/>
              <w:bottom w:val="single" w:sz="4" w:space="0" w:color="auto"/>
              <w:right w:val="single" w:sz="4" w:space="0" w:color="auto"/>
            </w:tcBorders>
          </w:tcPr>
          <w:p w14:paraId="5529C3F5" w14:textId="77777777" w:rsidR="00AF751E" w:rsidRPr="00AF751E" w:rsidRDefault="00AF751E" w:rsidP="00AF751E">
            <w:pPr>
              <w:keepNext/>
              <w:keepLines/>
              <w:ind w:right="28"/>
              <w:jc w:val="left"/>
              <w:rPr>
                <w:sz w:val="20"/>
                <w:szCs w:val="20"/>
              </w:rPr>
            </w:pPr>
            <w:proofErr w:type="spellStart"/>
            <w:r w:rsidRPr="00AF751E">
              <w:rPr>
                <w:sz w:val="20"/>
                <w:szCs w:val="20"/>
              </w:rPr>
              <w:t>Metilal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E4F7255" w14:textId="77777777" w:rsidR="00AF751E" w:rsidRPr="00AF751E" w:rsidRDefault="00AF751E" w:rsidP="00AF751E">
            <w:pPr>
              <w:keepNext/>
              <w:keepLines/>
              <w:ind w:right="-108"/>
              <w:jc w:val="right"/>
              <w:rPr>
                <w:color w:val="000000"/>
                <w:sz w:val="20"/>
                <w:szCs w:val="20"/>
                <w:lang w:val="en-CA"/>
              </w:rPr>
            </w:pPr>
            <w:r w:rsidRPr="00AF751E">
              <w:rPr>
                <w:sz w:val="20"/>
                <w:szCs w:val="20"/>
              </w:rPr>
              <w:t>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8E2090A" w14:textId="77777777" w:rsidR="00AF751E" w:rsidRPr="00AF751E" w:rsidRDefault="00AF751E" w:rsidP="00AF751E">
            <w:pPr>
              <w:keepNext/>
              <w:keepLines/>
              <w:ind w:right="-85"/>
              <w:jc w:val="right"/>
              <w:rPr>
                <w:bCs/>
                <w:sz w:val="20"/>
                <w:szCs w:val="20"/>
                <w:lang w:val="en-CA"/>
              </w:rPr>
            </w:pPr>
            <w:r w:rsidRPr="00AF751E">
              <w:rPr>
                <w:sz w:val="20"/>
                <w:szCs w:val="20"/>
              </w:rPr>
              <w:t>28 052</w:t>
            </w:r>
          </w:p>
        </w:tc>
      </w:tr>
      <w:tr w:rsidR="00AF751E" w:rsidRPr="00AF751E" w14:paraId="327EFEF7" w14:textId="77777777" w:rsidTr="00AF751E">
        <w:trPr>
          <w:trHeight w:val="215"/>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1B9EDF35" w14:textId="77777777" w:rsidR="00AF751E" w:rsidRPr="00AF751E" w:rsidRDefault="00AF751E" w:rsidP="00AF751E">
            <w:pPr>
              <w:keepNext/>
              <w:keepLines/>
              <w:jc w:val="left"/>
              <w:rPr>
                <w:color w:val="000000"/>
                <w:sz w:val="20"/>
                <w:szCs w:val="20"/>
                <w:lang w:val="en-CA"/>
              </w:rPr>
            </w:pPr>
            <w:proofErr w:type="spellStart"/>
            <w:r w:rsidRPr="00AF751E">
              <w:rPr>
                <w:sz w:val="20"/>
                <w:szCs w:val="20"/>
              </w:rPr>
              <w:t>Frigotec</w:t>
            </w:r>
            <w:proofErr w:type="spellEnd"/>
            <w:r w:rsidRPr="00AF751E">
              <w:rPr>
                <w:sz w:val="20"/>
                <w:szCs w:val="20"/>
              </w:rPr>
              <w:t xml:space="preserve"> Engineering and Refrigeration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38E5C5B4" w14:textId="77777777" w:rsidR="00AF751E" w:rsidRPr="00AF751E" w:rsidRDefault="00AF751E" w:rsidP="00AF751E">
            <w:pPr>
              <w:keepNext/>
              <w:keepLines/>
              <w:jc w:val="left"/>
              <w:rPr>
                <w:sz w:val="20"/>
                <w:szCs w:val="20"/>
                <w:lang w:val="en-CA"/>
              </w:rPr>
            </w:pPr>
            <w:proofErr w:type="spellStart"/>
            <w:r w:rsidRPr="00AF751E">
              <w:rPr>
                <w:sz w:val="20"/>
                <w:szCs w:val="20"/>
              </w:rPr>
              <w:t>Transporte</w:t>
            </w:r>
            <w:proofErr w:type="spellEnd"/>
          </w:p>
        </w:tc>
        <w:tc>
          <w:tcPr>
            <w:tcW w:w="1418" w:type="dxa"/>
            <w:tcBorders>
              <w:top w:val="single" w:sz="4" w:space="0" w:color="auto"/>
              <w:left w:val="nil"/>
              <w:bottom w:val="single" w:sz="4" w:space="0" w:color="auto"/>
              <w:right w:val="single" w:sz="4" w:space="0" w:color="auto"/>
            </w:tcBorders>
          </w:tcPr>
          <w:p w14:paraId="61DE4EE0" w14:textId="77777777" w:rsidR="00AF751E" w:rsidRPr="00AF751E" w:rsidRDefault="00AF751E" w:rsidP="00AF751E">
            <w:pPr>
              <w:keepNext/>
              <w:keepLines/>
              <w:ind w:right="28"/>
              <w:jc w:val="left"/>
              <w:rPr>
                <w:sz w:val="20"/>
                <w:szCs w:val="20"/>
              </w:rPr>
            </w:pPr>
            <w:proofErr w:type="spellStart"/>
            <w:r w:rsidRPr="00AF751E">
              <w:rPr>
                <w:sz w:val="20"/>
                <w:szCs w:val="20"/>
              </w:rPr>
              <w:t>Ciclopentano</w:t>
            </w:r>
            <w:proofErr w:type="spellEnd"/>
            <w:r w:rsidRPr="00AF751E">
              <w:rPr>
                <w:sz w:val="20"/>
                <w:szCs w:val="20"/>
              </w:rPr>
              <w:t xml:space="preserve"> </w:t>
            </w:r>
            <w:proofErr w:type="spellStart"/>
            <w:r w:rsidRPr="00AF751E">
              <w:rPr>
                <w:sz w:val="20"/>
                <w:szCs w:val="20"/>
              </w:rPr>
              <w:t>premezclado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884C1F7" w14:textId="77777777" w:rsidR="00AF751E" w:rsidRPr="00AF751E" w:rsidRDefault="00AF751E" w:rsidP="00AF751E">
            <w:pPr>
              <w:keepNext/>
              <w:keepLines/>
              <w:ind w:right="-108"/>
              <w:jc w:val="right"/>
              <w:rPr>
                <w:color w:val="000000"/>
                <w:sz w:val="20"/>
                <w:szCs w:val="20"/>
                <w:lang w:val="en-CA"/>
              </w:rPr>
            </w:pPr>
            <w:r w:rsidRPr="00AF751E">
              <w:rPr>
                <w:sz w:val="20"/>
                <w:szCs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811EB5D" w14:textId="77777777" w:rsidR="00AF751E" w:rsidRPr="00AF751E" w:rsidRDefault="00AF751E" w:rsidP="00AF751E">
            <w:pPr>
              <w:keepNext/>
              <w:keepLines/>
              <w:ind w:right="-85"/>
              <w:jc w:val="right"/>
              <w:rPr>
                <w:bCs/>
                <w:sz w:val="20"/>
                <w:szCs w:val="20"/>
                <w:lang w:val="en-CA"/>
              </w:rPr>
            </w:pPr>
            <w:r w:rsidRPr="00AF751E">
              <w:rPr>
                <w:sz w:val="20"/>
                <w:szCs w:val="20"/>
              </w:rPr>
              <w:t>27 913</w:t>
            </w:r>
          </w:p>
        </w:tc>
      </w:tr>
      <w:tr w:rsidR="00AF751E" w:rsidRPr="00AF751E" w14:paraId="355189DE" w14:textId="77777777" w:rsidTr="00AF751E">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4D081BB4" w14:textId="77777777" w:rsidR="00AF751E" w:rsidRPr="00AF751E" w:rsidRDefault="00AF751E" w:rsidP="00AF751E">
            <w:pPr>
              <w:keepNext/>
              <w:keepLines/>
              <w:jc w:val="left"/>
              <w:rPr>
                <w:color w:val="000000"/>
                <w:sz w:val="20"/>
                <w:szCs w:val="20"/>
                <w:lang w:val="en-CA"/>
              </w:rPr>
            </w:pPr>
            <w:r w:rsidRPr="00AF751E">
              <w:rPr>
                <w:sz w:val="20"/>
                <w:szCs w:val="20"/>
              </w:rPr>
              <w:t xml:space="preserve">Min Soon Refrigeration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4B1B974A" w14:textId="77777777" w:rsidR="00AF751E" w:rsidRPr="00AF751E" w:rsidRDefault="00AF751E" w:rsidP="00AF751E">
            <w:pPr>
              <w:keepNext/>
              <w:keepLines/>
              <w:jc w:val="left"/>
              <w:rPr>
                <w:sz w:val="20"/>
                <w:szCs w:val="20"/>
                <w:lang w:val="en-CA"/>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418" w:type="dxa"/>
            <w:tcBorders>
              <w:top w:val="single" w:sz="4" w:space="0" w:color="auto"/>
              <w:left w:val="nil"/>
              <w:bottom w:val="single" w:sz="4" w:space="0" w:color="auto"/>
              <w:right w:val="single" w:sz="4" w:space="0" w:color="auto"/>
            </w:tcBorders>
          </w:tcPr>
          <w:p w14:paraId="7C87D5FC" w14:textId="77777777" w:rsidR="00AF751E" w:rsidRPr="00AF751E" w:rsidRDefault="00AF751E" w:rsidP="00AF751E">
            <w:pPr>
              <w:keepNext/>
              <w:keepLines/>
              <w:ind w:right="28"/>
              <w:jc w:val="left"/>
              <w:rPr>
                <w:sz w:val="20"/>
                <w:szCs w:val="20"/>
              </w:rPr>
            </w:pPr>
            <w:proofErr w:type="spellStart"/>
            <w:r w:rsidRPr="00AF751E">
              <w:rPr>
                <w:sz w:val="20"/>
                <w:szCs w:val="20"/>
              </w:rPr>
              <w:t>Metilal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229182A" w14:textId="77777777" w:rsidR="00AF751E" w:rsidRPr="00AF751E" w:rsidRDefault="00AF751E" w:rsidP="00AF751E">
            <w:pPr>
              <w:keepNext/>
              <w:keepLines/>
              <w:ind w:right="-108"/>
              <w:jc w:val="right"/>
              <w:rPr>
                <w:color w:val="000000"/>
                <w:sz w:val="20"/>
                <w:szCs w:val="20"/>
                <w:lang w:val="en-CA"/>
              </w:rPr>
            </w:pPr>
            <w:r w:rsidRPr="00AF751E">
              <w:rPr>
                <w:sz w:val="20"/>
                <w:szCs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D90C138" w14:textId="77777777" w:rsidR="00AF751E" w:rsidRPr="00AF751E" w:rsidRDefault="00AF751E" w:rsidP="00AF751E">
            <w:pPr>
              <w:keepNext/>
              <w:keepLines/>
              <w:ind w:right="-85"/>
              <w:jc w:val="right"/>
              <w:rPr>
                <w:bCs/>
                <w:sz w:val="20"/>
                <w:szCs w:val="20"/>
                <w:lang w:val="en-CA"/>
              </w:rPr>
            </w:pPr>
            <w:r w:rsidRPr="00AF751E">
              <w:rPr>
                <w:sz w:val="20"/>
                <w:szCs w:val="20"/>
              </w:rPr>
              <w:t>27 913</w:t>
            </w:r>
          </w:p>
        </w:tc>
      </w:tr>
      <w:tr w:rsidR="00AF751E" w:rsidRPr="00AF751E" w14:paraId="70D3FEFC" w14:textId="77777777" w:rsidTr="00AF751E">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1422D242" w14:textId="77777777" w:rsidR="00AF751E" w:rsidRPr="00AF751E" w:rsidRDefault="00AF751E" w:rsidP="00AF751E">
            <w:pPr>
              <w:jc w:val="left"/>
              <w:rPr>
                <w:color w:val="000000"/>
                <w:sz w:val="20"/>
                <w:szCs w:val="20"/>
                <w:lang w:val="en-CA"/>
              </w:rPr>
            </w:pPr>
            <w:proofErr w:type="spellStart"/>
            <w:r w:rsidRPr="00AF751E">
              <w:rPr>
                <w:sz w:val="20"/>
                <w:szCs w:val="20"/>
              </w:rPr>
              <w:t>Kitchentech</w:t>
            </w:r>
            <w:proofErr w:type="spellEnd"/>
            <w:r w:rsidRPr="00AF751E">
              <w:rPr>
                <w:sz w:val="20"/>
                <w:szCs w:val="20"/>
              </w:rPr>
              <w:t xml:space="preserve"> Commercial Supply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16E8E1D4" w14:textId="77777777" w:rsidR="00AF751E" w:rsidRPr="00AF751E" w:rsidRDefault="00AF751E" w:rsidP="00AF751E">
            <w:pPr>
              <w:jc w:val="left"/>
              <w:rPr>
                <w:sz w:val="20"/>
                <w:szCs w:val="20"/>
                <w:lang w:val="en-CA"/>
              </w:rPr>
            </w:pPr>
            <w:proofErr w:type="spellStart"/>
            <w:r w:rsidRPr="00AF751E">
              <w:rPr>
                <w:sz w:val="20"/>
                <w:szCs w:val="20"/>
              </w:rPr>
              <w:t>Refrigeración</w:t>
            </w:r>
            <w:proofErr w:type="spellEnd"/>
            <w:r w:rsidRPr="00AF751E">
              <w:rPr>
                <w:sz w:val="20"/>
                <w:szCs w:val="20"/>
              </w:rPr>
              <w:t xml:space="preserve"> </w:t>
            </w:r>
            <w:proofErr w:type="spellStart"/>
            <w:r w:rsidRPr="00AF751E">
              <w:rPr>
                <w:sz w:val="20"/>
                <w:szCs w:val="20"/>
              </w:rPr>
              <w:t>comercial</w:t>
            </w:r>
            <w:proofErr w:type="spellEnd"/>
          </w:p>
        </w:tc>
        <w:tc>
          <w:tcPr>
            <w:tcW w:w="1418" w:type="dxa"/>
            <w:tcBorders>
              <w:top w:val="single" w:sz="4" w:space="0" w:color="auto"/>
              <w:left w:val="nil"/>
              <w:bottom w:val="single" w:sz="4" w:space="0" w:color="auto"/>
              <w:right w:val="single" w:sz="4" w:space="0" w:color="auto"/>
            </w:tcBorders>
          </w:tcPr>
          <w:p w14:paraId="7F2C502A" w14:textId="77777777" w:rsidR="00AF751E" w:rsidRPr="00AF751E" w:rsidRDefault="00AF751E" w:rsidP="00AF751E">
            <w:pPr>
              <w:ind w:right="28"/>
              <w:jc w:val="left"/>
              <w:rPr>
                <w:sz w:val="20"/>
                <w:szCs w:val="20"/>
              </w:rPr>
            </w:pPr>
            <w:proofErr w:type="spellStart"/>
            <w:r w:rsidRPr="00AF751E">
              <w:rPr>
                <w:sz w:val="20"/>
                <w:szCs w:val="20"/>
              </w:rPr>
              <w:t>Ciclopentano</w:t>
            </w:r>
            <w:proofErr w:type="spellEnd"/>
            <w:r w:rsidRPr="00AF751E">
              <w:rPr>
                <w:sz w:val="20"/>
                <w:szCs w:val="20"/>
              </w:rPr>
              <w:t xml:space="preserve"> </w:t>
            </w:r>
            <w:proofErr w:type="spellStart"/>
            <w:r w:rsidRPr="00AF751E">
              <w:rPr>
                <w:sz w:val="20"/>
                <w:szCs w:val="20"/>
              </w:rPr>
              <w:t>premezclado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20C4667" w14:textId="77777777" w:rsidR="00AF751E" w:rsidRPr="00AF751E" w:rsidRDefault="00AF751E" w:rsidP="00AF751E">
            <w:pPr>
              <w:ind w:right="-108"/>
              <w:jc w:val="right"/>
              <w:rPr>
                <w:color w:val="000000"/>
                <w:sz w:val="20"/>
                <w:szCs w:val="20"/>
                <w:lang w:val="en-CA"/>
              </w:rPr>
            </w:pPr>
            <w:r w:rsidRPr="00AF751E">
              <w:rPr>
                <w:sz w:val="20"/>
                <w:szCs w:val="20"/>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BF5D408" w14:textId="77777777" w:rsidR="00AF751E" w:rsidRPr="00AF751E" w:rsidRDefault="00AF751E" w:rsidP="00AF751E">
            <w:pPr>
              <w:ind w:right="-85"/>
              <w:jc w:val="right"/>
              <w:rPr>
                <w:bCs/>
                <w:sz w:val="20"/>
                <w:szCs w:val="20"/>
                <w:lang w:val="en-CA"/>
              </w:rPr>
            </w:pPr>
            <w:r w:rsidRPr="00AF751E">
              <w:rPr>
                <w:sz w:val="20"/>
                <w:szCs w:val="20"/>
              </w:rPr>
              <w:t>25 131</w:t>
            </w:r>
          </w:p>
        </w:tc>
      </w:tr>
      <w:tr w:rsidR="00AF751E" w:rsidRPr="00AF751E" w14:paraId="79CCAD87" w14:textId="77777777" w:rsidTr="00AF751E">
        <w:trPr>
          <w:trHeight w:val="134"/>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0FE9FFB6" w14:textId="77777777" w:rsidR="00AF751E" w:rsidRPr="00AF751E" w:rsidRDefault="00AF751E" w:rsidP="00AF751E">
            <w:pPr>
              <w:jc w:val="left"/>
              <w:rPr>
                <w:color w:val="000000"/>
                <w:sz w:val="20"/>
                <w:szCs w:val="20"/>
                <w:lang w:val="en-CA"/>
              </w:rPr>
            </w:pPr>
            <w:r w:rsidRPr="00AF751E">
              <w:rPr>
                <w:sz w:val="20"/>
                <w:szCs w:val="20"/>
              </w:rPr>
              <w:t xml:space="preserve">Penang Trading Company </w:t>
            </w:r>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tcPr>
          <w:p w14:paraId="1F03ADD4" w14:textId="77777777" w:rsidR="00AF751E" w:rsidRPr="00AF751E" w:rsidRDefault="00AF751E" w:rsidP="00AF751E">
            <w:pPr>
              <w:jc w:val="left"/>
              <w:rPr>
                <w:sz w:val="20"/>
                <w:szCs w:val="20"/>
                <w:lang w:val="en-CA"/>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418" w:type="dxa"/>
            <w:tcBorders>
              <w:top w:val="single" w:sz="4" w:space="0" w:color="auto"/>
              <w:left w:val="nil"/>
              <w:bottom w:val="single" w:sz="4" w:space="0" w:color="auto"/>
              <w:right w:val="single" w:sz="4" w:space="0" w:color="auto"/>
            </w:tcBorders>
          </w:tcPr>
          <w:p w14:paraId="6B306725" w14:textId="77777777" w:rsidR="00AF751E" w:rsidRPr="00AF751E" w:rsidRDefault="00AF751E" w:rsidP="00AF751E">
            <w:pPr>
              <w:ind w:right="28"/>
              <w:jc w:val="left"/>
              <w:rPr>
                <w:sz w:val="20"/>
                <w:szCs w:val="20"/>
              </w:rPr>
            </w:pPr>
            <w:proofErr w:type="spellStart"/>
            <w:r w:rsidRPr="00AF751E">
              <w:rPr>
                <w:sz w:val="20"/>
                <w:szCs w:val="20"/>
              </w:rPr>
              <w:t>Metilal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AF1DB12" w14:textId="77777777" w:rsidR="00AF751E" w:rsidRPr="00AF751E" w:rsidRDefault="00AF751E" w:rsidP="00AF751E">
            <w:pPr>
              <w:ind w:right="-108"/>
              <w:jc w:val="right"/>
              <w:rPr>
                <w:color w:val="000000"/>
                <w:sz w:val="20"/>
                <w:szCs w:val="20"/>
                <w:lang w:val="en-CA"/>
              </w:rPr>
            </w:pPr>
            <w:r w:rsidRPr="00AF751E">
              <w:rPr>
                <w:sz w:val="20"/>
                <w:szCs w:val="20"/>
              </w:rPr>
              <w:t>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B6E1947" w14:textId="77777777" w:rsidR="00AF751E" w:rsidRPr="00AF751E" w:rsidRDefault="00AF751E" w:rsidP="00AF751E">
            <w:pPr>
              <w:ind w:right="-85"/>
              <w:jc w:val="right"/>
              <w:rPr>
                <w:bCs/>
                <w:sz w:val="20"/>
                <w:szCs w:val="20"/>
                <w:lang w:val="en-CA"/>
              </w:rPr>
            </w:pPr>
            <w:r w:rsidRPr="00AF751E">
              <w:rPr>
                <w:sz w:val="20"/>
                <w:szCs w:val="20"/>
              </w:rPr>
              <w:t>21 932</w:t>
            </w:r>
          </w:p>
        </w:tc>
      </w:tr>
      <w:tr w:rsidR="00AF751E" w:rsidRPr="00AF751E" w14:paraId="3FA4AEA5" w14:textId="77777777" w:rsidTr="00AF751E">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3C2A143F" w14:textId="77777777" w:rsidR="00AF751E" w:rsidRPr="00AF751E" w:rsidRDefault="00AF751E" w:rsidP="00AF751E">
            <w:pPr>
              <w:jc w:val="left"/>
              <w:rPr>
                <w:color w:val="000000"/>
                <w:sz w:val="20"/>
                <w:szCs w:val="20"/>
                <w:lang w:val="en-CA"/>
              </w:rPr>
            </w:pPr>
            <w:r w:rsidRPr="00AF751E">
              <w:rPr>
                <w:sz w:val="20"/>
                <w:szCs w:val="20"/>
              </w:rPr>
              <w:t xml:space="preserve">Tech-Kool Refrigeration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355786A2" w14:textId="77777777" w:rsidR="00AF751E" w:rsidRPr="00AF751E" w:rsidRDefault="00AF751E" w:rsidP="00AF751E">
            <w:pPr>
              <w:jc w:val="left"/>
              <w:rPr>
                <w:sz w:val="20"/>
                <w:szCs w:val="20"/>
                <w:lang w:val="en-CA"/>
              </w:rPr>
            </w:pPr>
            <w:proofErr w:type="spellStart"/>
            <w:r w:rsidRPr="00AF751E">
              <w:rPr>
                <w:sz w:val="20"/>
                <w:szCs w:val="20"/>
              </w:rPr>
              <w:t>Transporte</w:t>
            </w:r>
            <w:proofErr w:type="spellEnd"/>
          </w:p>
        </w:tc>
        <w:tc>
          <w:tcPr>
            <w:tcW w:w="1418" w:type="dxa"/>
            <w:tcBorders>
              <w:top w:val="single" w:sz="4" w:space="0" w:color="auto"/>
              <w:left w:val="nil"/>
              <w:bottom w:val="single" w:sz="4" w:space="0" w:color="auto"/>
              <w:right w:val="single" w:sz="4" w:space="0" w:color="auto"/>
            </w:tcBorders>
          </w:tcPr>
          <w:p w14:paraId="79D4D535" w14:textId="77777777" w:rsidR="00AF751E" w:rsidRPr="00AF751E" w:rsidRDefault="00AF751E" w:rsidP="00AF751E">
            <w:pPr>
              <w:ind w:right="28"/>
              <w:jc w:val="left"/>
              <w:rPr>
                <w:sz w:val="20"/>
                <w:szCs w:val="20"/>
              </w:rPr>
            </w:pPr>
            <w:proofErr w:type="spellStart"/>
            <w:r w:rsidRPr="00AF751E">
              <w:rPr>
                <w:sz w:val="20"/>
                <w:szCs w:val="20"/>
              </w:rPr>
              <w:t>Ciclopentano</w:t>
            </w:r>
            <w:proofErr w:type="spellEnd"/>
            <w:r w:rsidRPr="00AF751E">
              <w:rPr>
                <w:sz w:val="20"/>
                <w:szCs w:val="20"/>
              </w:rPr>
              <w:t xml:space="preserve"> </w:t>
            </w:r>
            <w:proofErr w:type="spellStart"/>
            <w:r w:rsidRPr="00AF751E">
              <w:rPr>
                <w:sz w:val="20"/>
                <w:szCs w:val="20"/>
              </w:rPr>
              <w:t>premezclado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50442B8" w14:textId="77777777" w:rsidR="00AF751E" w:rsidRPr="00AF751E" w:rsidRDefault="00AF751E" w:rsidP="00AF751E">
            <w:pPr>
              <w:ind w:right="-108"/>
              <w:jc w:val="right"/>
              <w:rPr>
                <w:color w:val="000000"/>
                <w:sz w:val="20"/>
                <w:szCs w:val="20"/>
                <w:lang w:val="en-CA"/>
              </w:rPr>
            </w:pPr>
            <w:r w:rsidRPr="00AF751E">
              <w:rPr>
                <w:sz w:val="20"/>
                <w:szCs w:val="20"/>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F807F69" w14:textId="77777777" w:rsidR="00AF751E" w:rsidRPr="00AF751E" w:rsidRDefault="00AF751E" w:rsidP="00AF751E">
            <w:pPr>
              <w:ind w:right="-85"/>
              <w:jc w:val="right"/>
              <w:rPr>
                <w:bCs/>
                <w:sz w:val="20"/>
                <w:szCs w:val="20"/>
                <w:lang w:val="en-CA"/>
              </w:rPr>
            </w:pPr>
            <w:r w:rsidRPr="00AF751E">
              <w:rPr>
                <w:sz w:val="20"/>
                <w:szCs w:val="20"/>
              </w:rPr>
              <w:t>12 613</w:t>
            </w:r>
          </w:p>
        </w:tc>
      </w:tr>
      <w:tr w:rsidR="00AF751E" w:rsidRPr="00AF751E" w14:paraId="4AF2438A" w14:textId="77777777" w:rsidTr="00AF751E">
        <w:trPr>
          <w:trHeight w:val="143"/>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2BCCBF11" w14:textId="77777777" w:rsidR="00AF751E" w:rsidRPr="00AF751E" w:rsidRDefault="00AF751E" w:rsidP="00AF751E">
            <w:pPr>
              <w:jc w:val="left"/>
              <w:rPr>
                <w:color w:val="000000"/>
                <w:sz w:val="20"/>
                <w:szCs w:val="20"/>
                <w:lang w:val="en-CA"/>
              </w:rPr>
            </w:pPr>
            <w:r w:rsidRPr="00AF751E">
              <w:rPr>
                <w:sz w:val="20"/>
                <w:szCs w:val="20"/>
              </w:rPr>
              <w:t xml:space="preserve">Teck Guan Steel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68CAC1D2" w14:textId="77777777" w:rsidR="00AF751E" w:rsidRPr="00AF751E" w:rsidRDefault="00AF751E" w:rsidP="00AF751E">
            <w:pPr>
              <w:jc w:val="left"/>
              <w:rPr>
                <w:sz w:val="20"/>
                <w:szCs w:val="20"/>
                <w:lang w:val="en-CA"/>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418" w:type="dxa"/>
            <w:tcBorders>
              <w:top w:val="single" w:sz="4" w:space="0" w:color="auto"/>
              <w:left w:val="nil"/>
              <w:bottom w:val="single" w:sz="4" w:space="0" w:color="auto"/>
              <w:right w:val="single" w:sz="4" w:space="0" w:color="auto"/>
            </w:tcBorders>
          </w:tcPr>
          <w:p w14:paraId="457A7C8A" w14:textId="77777777" w:rsidR="00AF751E" w:rsidRPr="00AF751E" w:rsidRDefault="00AF751E" w:rsidP="00AF751E">
            <w:pPr>
              <w:ind w:right="28"/>
              <w:jc w:val="left"/>
              <w:rPr>
                <w:sz w:val="20"/>
                <w:szCs w:val="20"/>
              </w:rPr>
            </w:pPr>
            <w:proofErr w:type="spellStart"/>
            <w:r w:rsidRPr="00AF751E">
              <w:rPr>
                <w:sz w:val="20"/>
                <w:szCs w:val="20"/>
              </w:rPr>
              <w:t>Metilal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7089F84" w14:textId="77777777" w:rsidR="00AF751E" w:rsidRPr="00AF751E" w:rsidRDefault="00AF751E" w:rsidP="00AF751E">
            <w:pPr>
              <w:ind w:right="-108"/>
              <w:jc w:val="right"/>
              <w:rPr>
                <w:color w:val="000000"/>
                <w:sz w:val="20"/>
                <w:szCs w:val="20"/>
                <w:lang w:val="en-CA"/>
              </w:rPr>
            </w:pPr>
            <w:r w:rsidRPr="00AF751E">
              <w:rPr>
                <w:sz w:val="20"/>
                <w:szCs w:val="20"/>
              </w:rPr>
              <w:t>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0DC3536" w14:textId="77777777" w:rsidR="00AF751E" w:rsidRPr="00AF751E" w:rsidRDefault="00AF751E" w:rsidP="00AF751E">
            <w:pPr>
              <w:ind w:right="-85"/>
              <w:jc w:val="right"/>
              <w:rPr>
                <w:bCs/>
                <w:sz w:val="20"/>
                <w:szCs w:val="20"/>
                <w:lang w:val="en-CA"/>
              </w:rPr>
            </w:pPr>
            <w:r w:rsidRPr="00AF751E">
              <w:rPr>
                <w:sz w:val="20"/>
                <w:szCs w:val="20"/>
              </w:rPr>
              <w:t>6 000</w:t>
            </w:r>
          </w:p>
        </w:tc>
      </w:tr>
      <w:tr w:rsidR="00AF751E" w:rsidRPr="00AF751E" w14:paraId="20236BCC" w14:textId="77777777" w:rsidTr="00AF751E">
        <w:trPr>
          <w:trHeight w:val="80"/>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4B15E6C4" w14:textId="77777777" w:rsidR="00AF751E" w:rsidRPr="00AF751E" w:rsidRDefault="00AF751E" w:rsidP="00AF751E">
            <w:pPr>
              <w:jc w:val="left"/>
              <w:rPr>
                <w:color w:val="000000"/>
                <w:sz w:val="20"/>
                <w:szCs w:val="20"/>
                <w:lang w:val="en-CA"/>
              </w:rPr>
            </w:pPr>
            <w:proofErr w:type="spellStart"/>
            <w:r w:rsidRPr="00AF751E">
              <w:rPr>
                <w:sz w:val="20"/>
                <w:szCs w:val="20"/>
              </w:rPr>
              <w:t>Wincool</w:t>
            </w:r>
            <w:proofErr w:type="spellEnd"/>
            <w:r w:rsidRPr="00AF751E">
              <w:rPr>
                <w:sz w:val="20"/>
                <w:szCs w:val="20"/>
              </w:rPr>
              <w:t xml:space="preserve"> Refrigeration and</w:t>
            </w:r>
            <w:r w:rsidRPr="00AF751E">
              <w:rPr>
                <w:sz w:val="20"/>
                <w:szCs w:val="20"/>
              </w:rPr>
              <w:br/>
              <w:t xml:space="preserve">Air-conditioning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2242BAAE" w14:textId="77777777" w:rsidR="00AF751E" w:rsidRPr="00AF751E" w:rsidRDefault="00AF751E" w:rsidP="00AF751E">
            <w:pPr>
              <w:jc w:val="left"/>
              <w:rPr>
                <w:sz w:val="20"/>
                <w:szCs w:val="20"/>
                <w:lang w:val="en-CA"/>
              </w:rPr>
            </w:pPr>
            <w:proofErr w:type="spellStart"/>
            <w:r w:rsidRPr="00AF751E">
              <w:rPr>
                <w:sz w:val="20"/>
                <w:szCs w:val="20"/>
              </w:rPr>
              <w:t>Refrigeración</w:t>
            </w:r>
            <w:proofErr w:type="spellEnd"/>
            <w:r w:rsidRPr="00AF751E">
              <w:rPr>
                <w:sz w:val="20"/>
                <w:szCs w:val="20"/>
              </w:rPr>
              <w:t xml:space="preserve"> </w:t>
            </w:r>
            <w:proofErr w:type="spellStart"/>
            <w:r w:rsidRPr="00AF751E">
              <w:rPr>
                <w:sz w:val="20"/>
                <w:szCs w:val="20"/>
              </w:rPr>
              <w:t>comercial</w:t>
            </w:r>
            <w:proofErr w:type="spellEnd"/>
          </w:p>
        </w:tc>
        <w:tc>
          <w:tcPr>
            <w:tcW w:w="1418" w:type="dxa"/>
            <w:tcBorders>
              <w:top w:val="single" w:sz="4" w:space="0" w:color="auto"/>
              <w:left w:val="nil"/>
              <w:bottom w:val="single" w:sz="4" w:space="0" w:color="auto"/>
              <w:right w:val="single" w:sz="4" w:space="0" w:color="auto"/>
            </w:tcBorders>
          </w:tcPr>
          <w:p w14:paraId="75007801" w14:textId="77777777" w:rsidR="00AF751E" w:rsidRPr="00AF751E" w:rsidRDefault="00AF751E" w:rsidP="00AF751E">
            <w:pPr>
              <w:ind w:right="28"/>
              <w:jc w:val="left"/>
              <w:rPr>
                <w:sz w:val="20"/>
                <w:szCs w:val="20"/>
              </w:rPr>
            </w:pPr>
            <w:proofErr w:type="spellStart"/>
            <w:r w:rsidRPr="00AF751E">
              <w:rPr>
                <w:sz w:val="20"/>
                <w:szCs w:val="20"/>
              </w:rPr>
              <w:t>Ciclopentano</w:t>
            </w:r>
            <w:proofErr w:type="spellEnd"/>
            <w:r w:rsidRPr="00AF751E">
              <w:rPr>
                <w:sz w:val="20"/>
                <w:szCs w:val="20"/>
              </w:rPr>
              <w:t xml:space="preserve"> </w:t>
            </w:r>
            <w:proofErr w:type="spellStart"/>
            <w:r w:rsidRPr="00AF751E">
              <w:rPr>
                <w:sz w:val="20"/>
                <w:szCs w:val="20"/>
              </w:rPr>
              <w:t>premezclado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E08B38D" w14:textId="77777777" w:rsidR="00AF751E" w:rsidRPr="00AF751E" w:rsidRDefault="00AF751E" w:rsidP="00AF751E">
            <w:pPr>
              <w:ind w:right="-108"/>
              <w:jc w:val="right"/>
              <w:rPr>
                <w:color w:val="000000"/>
                <w:sz w:val="20"/>
                <w:szCs w:val="20"/>
                <w:lang w:val="en-CA"/>
              </w:rPr>
            </w:pPr>
            <w:r w:rsidRPr="00AF751E">
              <w:rPr>
                <w:sz w:val="20"/>
                <w:szCs w:val="20"/>
              </w:rPr>
              <w:t>0,44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EDD055C" w14:textId="77777777" w:rsidR="00AF751E" w:rsidRPr="00AF751E" w:rsidRDefault="00AF751E" w:rsidP="00AF751E">
            <w:pPr>
              <w:ind w:right="-85"/>
              <w:jc w:val="right"/>
              <w:rPr>
                <w:bCs/>
                <w:sz w:val="20"/>
                <w:szCs w:val="20"/>
                <w:lang w:val="en-CA"/>
              </w:rPr>
            </w:pPr>
            <w:r w:rsidRPr="00AF751E">
              <w:rPr>
                <w:sz w:val="20"/>
                <w:szCs w:val="20"/>
              </w:rPr>
              <w:t>3 674</w:t>
            </w:r>
          </w:p>
        </w:tc>
      </w:tr>
      <w:tr w:rsidR="00AF751E" w:rsidRPr="00AF751E" w14:paraId="14660156" w14:textId="77777777" w:rsidTr="00AF751E">
        <w:trPr>
          <w:trHeight w:val="11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09EB2EA1" w14:textId="77777777" w:rsidR="00AF751E" w:rsidRPr="00AF751E" w:rsidRDefault="00AF751E" w:rsidP="00AF751E">
            <w:pPr>
              <w:jc w:val="left"/>
              <w:rPr>
                <w:b/>
                <w:color w:val="000000"/>
                <w:sz w:val="20"/>
                <w:szCs w:val="20"/>
                <w:lang w:val="en-CA"/>
              </w:rPr>
            </w:pPr>
            <w:r w:rsidRPr="00AF751E">
              <w:rPr>
                <w:b/>
                <w:color w:val="000000"/>
                <w:sz w:val="20"/>
                <w:szCs w:val="20"/>
                <w:lang w:val="en-CA"/>
              </w:rPr>
              <w:t>Total</w:t>
            </w:r>
          </w:p>
        </w:tc>
        <w:tc>
          <w:tcPr>
            <w:tcW w:w="2268" w:type="dxa"/>
            <w:tcBorders>
              <w:top w:val="single" w:sz="4" w:space="0" w:color="auto"/>
              <w:left w:val="nil"/>
              <w:bottom w:val="single" w:sz="4" w:space="0" w:color="auto"/>
              <w:right w:val="single" w:sz="4" w:space="0" w:color="auto"/>
            </w:tcBorders>
            <w:shd w:val="clear" w:color="auto" w:fill="auto"/>
            <w:noWrap/>
          </w:tcPr>
          <w:p w14:paraId="1E688ED6" w14:textId="77777777" w:rsidR="00AF751E" w:rsidRPr="00AF751E" w:rsidRDefault="00AF751E" w:rsidP="00AF751E">
            <w:pPr>
              <w:jc w:val="left"/>
              <w:rPr>
                <w:b/>
                <w:sz w:val="20"/>
                <w:szCs w:val="20"/>
                <w:lang w:val="en-CA"/>
              </w:rPr>
            </w:pPr>
          </w:p>
        </w:tc>
        <w:tc>
          <w:tcPr>
            <w:tcW w:w="1418" w:type="dxa"/>
            <w:tcBorders>
              <w:top w:val="single" w:sz="4" w:space="0" w:color="auto"/>
              <w:left w:val="nil"/>
              <w:bottom w:val="single" w:sz="4" w:space="0" w:color="auto"/>
              <w:right w:val="single" w:sz="4" w:space="0" w:color="auto"/>
            </w:tcBorders>
          </w:tcPr>
          <w:p w14:paraId="2C3C71FF" w14:textId="77777777" w:rsidR="00AF751E" w:rsidRPr="00AF751E" w:rsidRDefault="00AF751E" w:rsidP="00AF751E">
            <w:pPr>
              <w:ind w:right="-108"/>
              <w:jc w:val="right"/>
              <w:rPr>
                <w:b/>
                <w:bCs/>
                <w:color w:val="000000"/>
                <w:sz w:val="20"/>
                <w:szCs w:val="20"/>
                <w:lang w:val="en-C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5EE1DB4" w14:textId="77777777" w:rsidR="00AF751E" w:rsidRPr="00AF751E" w:rsidRDefault="00AF751E" w:rsidP="00AF751E">
            <w:pPr>
              <w:ind w:right="-108"/>
              <w:jc w:val="right"/>
              <w:rPr>
                <w:b/>
                <w:bCs/>
                <w:color w:val="000000"/>
                <w:sz w:val="20"/>
                <w:szCs w:val="20"/>
                <w:lang w:val="en-CA"/>
              </w:rPr>
            </w:pPr>
            <w:r w:rsidRPr="00AF751E">
              <w:rPr>
                <w:b/>
                <w:bCs/>
                <w:color w:val="000000"/>
                <w:sz w:val="20"/>
                <w:szCs w:val="20"/>
                <w:lang w:val="en-CA"/>
              </w:rPr>
              <w:t>29,47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AF6429B" w14:textId="77777777" w:rsidR="00AF751E" w:rsidRPr="00AF751E" w:rsidRDefault="00AF751E" w:rsidP="00AF751E">
            <w:pPr>
              <w:ind w:right="-85"/>
              <w:jc w:val="right"/>
              <w:rPr>
                <w:b/>
                <w:bCs/>
                <w:color w:val="000000"/>
                <w:sz w:val="20"/>
                <w:szCs w:val="20"/>
                <w:lang w:val="en-CA"/>
              </w:rPr>
            </w:pPr>
            <w:r w:rsidRPr="00AF751E">
              <w:rPr>
                <w:b/>
                <w:bCs/>
                <w:color w:val="000000"/>
                <w:sz w:val="20"/>
                <w:szCs w:val="20"/>
                <w:lang w:val="en-CA"/>
              </w:rPr>
              <w:t>207 568</w:t>
            </w:r>
          </w:p>
        </w:tc>
      </w:tr>
    </w:tbl>
    <w:p w14:paraId="284E0F98" w14:textId="77777777" w:rsidR="00AF751E" w:rsidRPr="00AF751E" w:rsidRDefault="00AF751E" w:rsidP="00AF751E">
      <w:pPr>
        <w:rPr>
          <w:lang w:val="en-CA"/>
        </w:rPr>
      </w:pPr>
    </w:p>
    <w:p w14:paraId="55B8FB68" w14:textId="77777777" w:rsidR="00AF751E" w:rsidRPr="00AF751E" w:rsidRDefault="00AF751E" w:rsidP="00AF751E">
      <w:pPr>
        <w:spacing w:after="240"/>
        <w:rPr>
          <w:u w:val="single"/>
          <w:lang w:val="es-ES"/>
        </w:rPr>
      </w:pPr>
      <w:r w:rsidRPr="00AF751E">
        <w:rPr>
          <w:u w:val="single"/>
          <w:lang w:val="es-ES"/>
        </w:rPr>
        <w:t>Solicitud de retiro de empresas y reasignación de los fondos</w:t>
      </w:r>
    </w:p>
    <w:p w14:paraId="34919FAC" w14:textId="77777777" w:rsidR="00AF751E" w:rsidRPr="00AF751E" w:rsidRDefault="00AF751E" w:rsidP="00AF751E">
      <w:pPr>
        <w:widowControl w:val="0"/>
        <w:numPr>
          <w:ilvl w:val="0"/>
          <w:numId w:val="1"/>
        </w:numPr>
        <w:spacing w:after="240"/>
        <w:outlineLvl w:val="0"/>
        <w:rPr>
          <w:b/>
          <w:lang w:val="es-ES"/>
        </w:rPr>
      </w:pPr>
      <w:r w:rsidRPr="00AF751E">
        <w:rPr>
          <w:lang w:val="es-ES"/>
        </w:rPr>
        <w:t>Las 14 empresas pequeñas y medianas restantes, más una que había sido aprobada antes para un cambio de tecnología en la 85</w:t>
      </w:r>
      <w:r w:rsidRPr="00AF751E">
        <w:rPr>
          <w:vertAlign w:val="superscript"/>
          <w:lang w:val="es-ES"/>
        </w:rPr>
        <w:t>a</w:t>
      </w:r>
      <w:r w:rsidRPr="00AF751E">
        <w:rPr>
          <w:lang w:val="es-ES"/>
        </w:rPr>
        <w:t xml:space="preserve"> reunión, habían considerado la posibilidad de conversión a alternativas de bajo PCA, entre ellas </w:t>
      </w:r>
      <w:proofErr w:type="spellStart"/>
      <w:r w:rsidRPr="00AF751E">
        <w:rPr>
          <w:lang w:val="es-ES"/>
        </w:rPr>
        <w:t>ciclopentano</w:t>
      </w:r>
      <w:proofErr w:type="spellEnd"/>
      <w:r w:rsidRPr="00AF751E">
        <w:rPr>
          <w:lang w:val="es-ES"/>
        </w:rPr>
        <w:t xml:space="preserve"> puro o premezclado en sistemas a base de </w:t>
      </w:r>
      <w:proofErr w:type="spellStart"/>
      <w:r w:rsidRPr="00AF751E">
        <w:rPr>
          <w:lang w:val="es-ES"/>
        </w:rPr>
        <w:t>polioles</w:t>
      </w:r>
      <w:proofErr w:type="spellEnd"/>
      <w:r w:rsidRPr="00AF751E">
        <w:rPr>
          <w:lang w:val="es-ES"/>
        </w:rPr>
        <w:t xml:space="preserve">, formulaciones reducidas de HFO, </w:t>
      </w:r>
      <w:proofErr w:type="spellStart"/>
      <w:r w:rsidRPr="00AF751E">
        <w:rPr>
          <w:lang w:val="es-ES"/>
        </w:rPr>
        <w:t>metilal</w:t>
      </w:r>
      <w:proofErr w:type="spellEnd"/>
      <w:r w:rsidRPr="00AF751E">
        <w:rPr>
          <w:lang w:val="es-ES"/>
        </w:rPr>
        <w:t xml:space="preserve">, y sistemas a base de agua como agente espumante. Estas 15 empresas pequeñas y medianas han determinado que la conversión a un agente espumante inflamable no es rentable, que los sistemas a base de </w:t>
      </w:r>
      <w:proofErr w:type="spellStart"/>
      <w:r w:rsidRPr="00AF751E">
        <w:rPr>
          <w:lang w:val="es-ES"/>
        </w:rPr>
        <w:t>metilal</w:t>
      </w:r>
      <w:proofErr w:type="spellEnd"/>
      <w:r w:rsidRPr="00AF751E">
        <w:rPr>
          <w:lang w:val="es-ES"/>
        </w:rPr>
        <w:t xml:space="preserve"> premezclado pueden ser inflamables debido a que el contenido de </w:t>
      </w:r>
      <w:proofErr w:type="spellStart"/>
      <w:r w:rsidRPr="00AF751E">
        <w:rPr>
          <w:lang w:val="es-ES"/>
        </w:rPr>
        <w:t>metilal</w:t>
      </w:r>
      <w:proofErr w:type="spellEnd"/>
      <w:r w:rsidRPr="00AF751E">
        <w:rPr>
          <w:lang w:val="es-ES"/>
        </w:rPr>
        <w:t xml:space="preserve"> requerido para las aplicaciones de las empresas sería de 2 a 5 partes por cada cien partes de </w:t>
      </w:r>
      <w:proofErr w:type="spellStart"/>
      <w:r w:rsidRPr="00AF751E">
        <w:rPr>
          <w:lang w:val="es-ES"/>
        </w:rPr>
        <w:t>poliol</w:t>
      </w:r>
      <w:proofErr w:type="spellEnd"/>
      <w:r w:rsidRPr="00AF751E">
        <w:rPr>
          <w:lang w:val="es-ES"/>
        </w:rPr>
        <w:t xml:space="preserve"> (</w:t>
      </w:r>
      <w:proofErr w:type="spellStart"/>
      <w:r w:rsidRPr="00AF751E">
        <w:rPr>
          <w:lang w:val="es-ES"/>
        </w:rPr>
        <w:t>php</w:t>
      </w:r>
      <w:proofErr w:type="spellEnd"/>
      <w:r w:rsidRPr="00AF751E">
        <w:rPr>
          <w:lang w:val="es-ES"/>
        </w:rPr>
        <w:t xml:space="preserve">), y que el costo actual de los sistemas a base de HFO es prohibitivo. En consecuencia, las empresas decidieron retirarse del proyecto y, en su lugar, prevén hacer la conversión a HFC en </w:t>
      </w:r>
      <w:proofErr w:type="spellStart"/>
      <w:r w:rsidRPr="00AF751E">
        <w:rPr>
          <w:lang w:val="es-ES"/>
        </w:rPr>
        <w:t>polioles</w:t>
      </w:r>
      <w:proofErr w:type="spellEnd"/>
      <w:r w:rsidRPr="00AF751E">
        <w:rPr>
          <w:lang w:val="es-ES"/>
        </w:rPr>
        <w:t xml:space="preserve"> premezclados (basada en el agente espumante HFC-365mfc primordialmente). El consumo acumulado de esas 15 empresas es de 19,37 </w:t>
      </w:r>
      <w:proofErr w:type="spellStart"/>
      <w:r w:rsidRPr="00AF751E">
        <w:rPr>
          <w:lang w:val="es-ES"/>
        </w:rPr>
        <w:t>tm</w:t>
      </w:r>
      <w:proofErr w:type="spellEnd"/>
      <w:r w:rsidRPr="00AF751E">
        <w:rPr>
          <w:lang w:val="es-ES"/>
        </w:rPr>
        <w:t xml:space="preserve"> para una financiación total aprobada de 169.281 $EUA, como se muestra en el cuadro 6.</w:t>
      </w:r>
    </w:p>
    <w:p w14:paraId="62416200" w14:textId="77777777" w:rsidR="00305D02" w:rsidRDefault="00305D02">
      <w:pPr>
        <w:jc w:val="left"/>
        <w:rPr>
          <w:b/>
          <w:lang w:val="es-ES"/>
        </w:rPr>
      </w:pPr>
      <w:r>
        <w:rPr>
          <w:b/>
          <w:lang w:val="es-ES"/>
        </w:rPr>
        <w:br w:type="page"/>
      </w:r>
    </w:p>
    <w:p w14:paraId="51A7499F" w14:textId="729892B7" w:rsidR="00AF751E" w:rsidRPr="00AF751E" w:rsidRDefault="00AF751E" w:rsidP="00AF751E">
      <w:pPr>
        <w:keepNext/>
        <w:keepLines/>
        <w:rPr>
          <w:b/>
          <w:lang w:val="es-ES"/>
        </w:rPr>
      </w:pPr>
      <w:r w:rsidRPr="00AF751E">
        <w:rPr>
          <w:b/>
          <w:lang w:val="es-ES"/>
        </w:rPr>
        <w:lastRenderedPageBreak/>
        <w:t>Cuadro 6. Empresas pequeñas y medianas que decidieron retirarse de la etapa II del plan de gestión de eliminación de los HCFC</w:t>
      </w:r>
    </w:p>
    <w:tbl>
      <w:tblPr>
        <w:tblW w:w="9351" w:type="dxa"/>
        <w:tblLayout w:type="fixed"/>
        <w:tblLook w:val="04A0" w:firstRow="1" w:lastRow="0" w:firstColumn="1" w:lastColumn="0" w:noHBand="0" w:noVBand="1"/>
      </w:tblPr>
      <w:tblGrid>
        <w:gridCol w:w="4390"/>
        <w:gridCol w:w="2268"/>
        <w:gridCol w:w="1275"/>
        <w:gridCol w:w="1418"/>
      </w:tblGrid>
      <w:tr w:rsidR="00AF751E" w:rsidRPr="00AF751E" w14:paraId="76AA464F" w14:textId="77777777" w:rsidTr="00AF751E">
        <w:trPr>
          <w:trHeight w:val="480"/>
          <w:tblHeader/>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14:paraId="19C04530" w14:textId="77777777" w:rsidR="00AF751E" w:rsidRPr="00AF751E" w:rsidRDefault="00AF751E" w:rsidP="00AF751E">
            <w:pPr>
              <w:widowControl w:val="0"/>
              <w:jc w:val="left"/>
              <w:rPr>
                <w:b/>
                <w:bCs/>
                <w:color w:val="000000"/>
                <w:sz w:val="20"/>
                <w:szCs w:val="20"/>
                <w:lang w:val="en-CA"/>
              </w:rPr>
            </w:pPr>
            <w:proofErr w:type="spellStart"/>
            <w:r w:rsidRPr="00AF751E">
              <w:rPr>
                <w:b/>
                <w:bCs/>
                <w:color w:val="000000"/>
                <w:sz w:val="20"/>
                <w:szCs w:val="20"/>
                <w:lang w:val="en-CA"/>
              </w:rPr>
              <w:t>Empresa</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02AEF8C" w14:textId="77777777" w:rsidR="00AF751E" w:rsidRPr="00AF751E" w:rsidRDefault="00AF751E" w:rsidP="00AF751E">
            <w:pPr>
              <w:widowControl w:val="0"/>
              <w:jc w:val="center"/>
              <w:rPr>
                <w:b/>
                <w:bCs/>
                <w:color w:val="000000"/>
                <w:sz w:val="20"/>
                <w:szCs w:val="20"/>
                <w:lang w:val="en-CA"/>
              </w:rPr>
            </w:pPr>
            <w:proofErr w:type="spellStart"/>
            <w:r w:rsidRPr="00AF751E">
              <w:rPr>
                <w:b/>
                <w:bCs/>
                <w:color w:val="000000"/>
                <w:sz w:val="20"/>
                <w:szCs w:val="20"/>
                <w:lang w:val="en-CA"/>
              </w:rPr>
              <w:t>Aplicación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A348EAD" w14:textId="77777777" w:rsidR="00AF751E" w:rsidRPr="00AF751E" w:rsidRDefault="00AF751E" w:rsidP="00AF751E">
            <w:pPr>
              <w:widowControl w:val="0"/>
              <w:jc w:val="center"/>
              <w:rPr>
                <w:b/>
                <w:bCs/>
                <w:color w:val="000000"/>
                <w:sz w:val="20"/>
                <w:szCs w:val="20"/>
                <w:lang w:val="en-CA"/>
              </w:rPr>
            </w:pPr>
            <w:r w:rsidRPr="00AF751E">
              <w:rPr>
                <w:b/>
                <w:bCs/>
                <w:color w:val="000000"/>
                <w:sz w:val="20"/>
                <w:szCs w:val="20"/>
                <w:lang w:val="en-CA"/>
              </w:rPr>
              <w:t>HCFC</w:t>
            </w:r>
            <w:r w:rsidRPr="00AF751E">
              <w:rPr>
                <w:b/>
                <w:bCs/>
                <w:color w:val="000000"/>
                <w:sz w:val="20"/>
                <w:szCs w:val="20"/>
                <w:lang w:val="en-CA"/>
              </w:rPr>
              <w:noBreakHyphen/>
              <w:t>141b (tm) en 2015</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D523AE6" w14:textId="77777777" w:rsidR="00AF751E" w:rsidRPr="00AF751E" w:rsidRDefault="00AF751E" w:rsidP="00AF751E">
            <w:pPr>
              <w:widowControl w:val="0"/>
              <w:jc w:val="center"/>
              <w:rPr>
                <w:b/>
                <w:bCs/>
                <w:color w:val="000000"/>
                <w:sz w:val="20"/>
                <w:szCs w:val="20"/>
                <w:lang w:val="en-CA"/>
              </w:rPr>
            </w:pPr>
            <w:proofErr w:type="spellStart"/>
            <w:r w:rsidRPr="00AF751E">
              <w:rPr>
                <w:b/>
                <w:bCs/>
                <w:color w:val="000000"/>
                <w:sz w:val="20"/>
                <w:szCs w:val="20"/>
                <w:lang w:val="en-CA"/>
              </w:rPr>
              <w:t>Financiación</w:t>
            </w:r>
            <w:proofErr w:type="spellEnd"/>
            <w:r w:rsidRPr="00AF751E">
              <w:rPr>
                <w:b/>
                <w:bCs/>
                <w:color w:val="000000"/>
                <w:sz w:val="20"/>
                <w:szCs w:val="20"/>
                <w:lang w:val="en-CA"/>
              </w:rPr>
              <w:t xml:space="preserve"> </w:t>
            </w:r>
            <w:proofErr w:type="spellStart"/>
            <w:r w:rsidRPr="00AF751E">
              <w:rPr>
                <w:b/>
                <w:bCs/>
                <w:color w:val="000000"/>
                <w:sz w:val="20"/>
                <w:szCs w:val="20"/>
                <w:lang w:val="en-CA"/>
              </w:rPr>
              <w:t>aprobada</w:t>
            </w:r>
            <w:proofErr w:type="spellEnd"/>
            <w:r w:rsidRPr="00AF751E">
              <w:rPr>
                <w:b/>
                <w:bCs/>
                <w:color w:val="000000"/>
                <w:sz w:val="20"/>
                <w:szCs w:val="20"/>
                <w:lang w:val="en-CA"/>
              </w:rPr>
              <w:t xml:space="preserve"> </w:t>
            </w:r>
            <w:r w:rsidRPr="00AF751E">
              <w:rPr>
                <w:b/>
                <w:bCs/>
                <w:color w:val="000000"/>
                <w:sz w:val="20"/>
                <w:szCs w:val="20"/>
                <w:lang w:val="en-CA"/>
              </w:rPr>
              <w:br/>
              <w:t>($ EUA)</w:t>
            </w:r>
          </w:p>
        </w:tc>
      </w:tr>
      <w:tr w:rsidR="00AF751E" w:rsidRPr="00AF751E" w14:paraId="3DC0F290" w14:textId="77777777" w:rsidTr="00AF751E">
        <w:trPr>
          <w:trHeight w:val="98"/>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D584190" w14:textId="77777777" w:rsidR="00AF751E" w:rsidRPr="00AF751E" w:rsidRDefault="00AF751E" w:rsidP="00AF751E">
            <w:pPr>
              <w:widowControl w:val="0"/>
              <w:jc w:val="left"/>
              <w:rPr>
                <w:sz w:val="20"/>
                <w:szCs w:val="20"/>
                <w:lang w:val="fr-BE"/>
              </w:rPr>
            </w:pPr>
            <w:r w:rsidRPr="00AF751E">
              <w:rPr>
                <w:sz w:val="20"/>
                <w:szCs w:val="20"/>
                <w:lang w:val="fr-BE"/>
              </w:rPr>
              <w:t xml:space="preserve">Hong Yun </w:t>
            </w:r>
            <w:proofErr w:type="spellStart"/>
            <w:r w:rsidRPr="00AF751E">
              <w:rPr>
                <w:sz w:val="20"/>
                <w:szCs w:val="20"/>
                <w:lang w:val="fr-BE"/>
              </w:rPr>
              <w:t>Refrigeration</w:t>
            </w:r>
            <w:proofErr w:type="spellEnd"/>
            <w:r w:rsidRPr="00AF751E">
              <w:rPr>
                <w:sz w:val="20"/>
                <w:szCs w:val="20"/>
                <w:lang w:val="fr-BE"/>
              </w:rPr>
              <w:t xml:space="preserve"> </w:t>
            </w:r>
            <w:proofErr w:type="spellStart"/>
            <w:r w:rsidRPr="00AF751E">
              <w:rPr>
                <w:sz w:val="20"/>
                <w:szCs w:val="20"/>
                <w:lang w:val="fr-BE"/>
              </w:rPr>
              <w:t>Sdn</w:t>
            </w:r>
            <w:proofErr w:type="spellEnd"/>
            <w:r w:rsidRPr="00AF751E">
              <w:rPr>
                <w:sz w:val="20"/>
                <w:szCs w:val="20"/>
                <w:lang w:val="fr-BE"/>
              </w:rPr>
              <w:t xml:space="preserve"> </w:t>
            </w:r>
            <w:proofErr w:type="spellStart"/>
            <w:r w:rsidRPr="00AF751E">
              <w:rPr>
                <w:sz w:val="20"/>
                <w:szCs w:val="20"/>
                <w:lang w:val="fr-BE"/>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3DD83975" w14:textId="77777777" w:rsidR="00AF751E" w:rsidRPr="00AF751E" w:rsidRDefault="00AF751E" w:rsidP="00AF751E">
            <w:pPr>
              <w:widowControl w:val="0"/>
              <w:jc w:val="left"/>
              <w:rPr>
                <w:sz w:val="20"/>
                <w:szCs w:val="20"/>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B2118FE" w14:textId="77777777" w:rsidR="00AF751E" w:rsidRPr="00AF751E" w:rsidRDefault="00AF751E" w:rsidP="00AF751E">
            <w:pPr>
              <w:widowControl w:val="0"/>
              <w:ind w:right="57"/>
              <w:jc w:val="right"/>
              <w:rPr>
                <w:sz w:val="20"/>
                <w:szCs w:val="20"/>
              </w:rPr>
            </w:pPr>
            <w:r w:rsidRPr="00AF751E">
              <w:rPr>
                <w:sz w:val="20"/>
                <w:szCs w:val="20"/>
              </w:rPr>
              <w:t>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FC899CC" w14:textId="77777777" w:rsidR="00AF751E" w:rsidRPr="00AF751E" w:rsidRDefault="00AF751E" w:rsidP="00AF751E">
            <w:pPr>
              <w:widowControl w:val="0"/>
              <w:ind w:right="130"/>
              <w:jc w:val="right"/>
              <w:rPr>
                <w:sz w:val="20"/>
                <w:szCs w:val="20"/>
              </w:rPr>
            </w:pPr>
            <w:r w:rsidRPr="00AF751E">
              <w:rPr>
                <w:sz w:val="20"/>
                <w:szCs w:val="20"/>
              </w:rPr>
              <w:t>23 044</w:t>
            </w:r>
          </w:p>
        </w:tc>
      </w:tr>
      <w:tr w:rsidR="00AF751E" w:rsidRPr="00AF751E" w14:paraId="51341BEF" w14:textId="77777777" w:rsidTr="00AF751E">
        <w:trPr>
          <w:trHeight w:val="71"/>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2E2654C8" w14:textId="77777777" w:rsidR="00AF751E" w:rsidRPr="00AF751E" w:rsidRDefault="00AF751E" w:rsidP="00AF751E">
            <w:pPr>
              <w:widowControl w:val="0"/>
              <w:jc w:val="left"/>
              <w:rPr>
                <w:sz w:val="20"/>
                <w:szCs w:val="20"/>
              </w:rPr>
            </w:pPr>
            <w:r w:rsidRPr="00AF751E">
              <w:rPr>
                <w:sz w:val="20"/>
                <w:szCs w:val="20"/>
              </w:rPr>
              <w:t xml:space="preserve">Hai-Point Marketing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0F8F47AA" w14:textId="77777777" w:rsidR="00AF751E" w:rsidRPr="00AF751E" w:rsidRDefault="00AF751E" w:rsidP="00AF751E">
            <w:pPr>
              <w:widowControl w:val="0"/>
              <w:jc w:val="left"/>
              <w:rPr>
                <w:sz w:val="20"/>
                <w:szCs w:val="20"/>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6BCF16B" w14:textId="77777777" w:rsidR="00AF751E" w:rsidRPr="00AF751E" w:rsidRDefault="00AF751E" w:rsidP="00AF751E">
            <w:pPr>
              <w:widowControl w:val="0"/>
              <w:ind w:right="57"/>
              <w:jc w:val="right"/>
              <w:rPr>
                <w:sz w:val="20"/>
                <w:szCs w:val="20"/>
              </w:rPr>
            </w:pPr>
            <w:r w:rsidRPr="00AF751E">
              <w:rPr>
                <w:sz w:val="20"/>
                <w:szCs w:val="20"/>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1986533D" w14:textId="77777777" w:rsidR="00AF751E" w:rsidRPr="00AF751E" w:rsidRDefault="00AF751E" w:rsidP="00AF751E">
            <w:pPr>
              <w:widowControl w:val="0"/>
              <w:ind w:right="130"/>
              <w:jc w:val="right"/>
              <w:rPr>
                <w:sz w:val="20"/>
                <w:szCs w:val="20"/>
              </w:rPr>
            </w:pPr>
            <w:r w:rsidRPr="00AF751E">
              <w:rPr>
                <w:sz w:val="20"/>
                <w:szCs w:val="20"/>
              </w:rPr>
              <w:t>20 123</w:t>
            </w:r>
          </w:p>
        </w:tc>
      </w:tr>
      <w:tr w:rsidR="00AF751E" w:rsidRPr="00AF751E" w14:paraId="43789653" w14:textId="77777777" w:rsidTr="00AF751E">
        <w:trPr>
          <w:trHeight w:val="170"/>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7207252" w14:textId="77777777" w:rsidR="00AF751E" w:rsidRPr="00AF751E" w:rsidRDefault="00AF751E" w:rsidP="00AF751E">
            <w:pPr>
              <w:widowControl w:val="0"/>
              <w:jc w:val="left"/>
              <w:rPr>
                <w:sz w:val="20"/>
                <w:szCs w:val="20"/>
              </w:rPr>
            </w:pPr>
            <w:r w:rsidRPr="00AF751E">
              <w:rPr>
                <w:sz w:val="20"/>
                <w:szCs w:val="20"/>
              </w:rPr>
              <w:t xml:space="preserve">Welcome Air-Tech (Malaysia)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12CE8D1B" w14:textId="77777777" w:rsidR="00AF751E" w:rsidRPr="00AF751E" w:rsidRDefault="00AF751E" w:rsidP="00AF751E">
            <w:pPr>
              <w:widowControl w:val="0"/>
              <w:jc w:val="left"/>
              <w:rPr>
                <w:sz w:val="20"/>
                <w:szCs w:val="20"/>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9080C11" w14:textId="77777777" w:rsidR="00AF751E" w:rsidRPr="00AF751E" w:rsidRDefault="00AF751E" w:rsidP="00AF751E">
            <w:pPr>
              <w:widowControl w:val="0"/>
              <w:ind w:right="57"/>
              <w:jc w:val="right"/>
              <w:rPr>
                <w:sz w:val="20"/>
                <w:szCs w:val="20"/>
              </w:rPr>
            </w:pPr>
            <w:r w:rsidRPr="00AF751E">
              <w:rPr>
                <w:sz w:val="20"/>
                <w:szCs w:val="20"/>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64C3B80C" w14:textId="77777777" w:rsidR="00AF751E" w:rsidRPr="00AF751E" w:rsidRDefault="00AF751E" w:rsidP="00AF751E">
            <w:pPr>
              <w:widowControl w:val="0"/>
              <w:ind w:right="130"/>
              <w:jc w:val="right"/>
              <w:rPr>
                <w:sz w:val="20"/>
                <w:szCs w:val="20"/>
              </w:rPr>
            </w:pPr>
            <w:r w:rsidRPr="00AF751E">
              <w:rPr>
                <w:sz w:val="20"/>
                <w:szCs w:val="20"/>
              </w:rPr>
              <w:t>19 178</w:t>
            </w:r>
          </w:p>
        </w:tc>
      </w:tr>
      <w:tr w:rsidR="00AF751E" w:rsidRPr="00AF751E" w14:paraId="1AE06619" w14:textId="77777777" w:rsidTr="00AF751E">
        <w:trPr>
          <w:trHeight w:val="215"/>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42BD28F" w14:textId="77777777" w:rsidR="00AF751E" w:rsidRPr="00AF751E" w:rsidRDefault="00AF751E" w:rsidP="00AF751E">
            <w:pPr>
              <w:widowControl w:val="0"/>
              <w:jc w:val="left"/>
              <w:rPr>
                <w:sz w:val="20"/>
                <w:szCs w:val="20"/>
              </w:rPr>
            </w:pPr>
            <w:proofErr w:type="spellStart"/>
            <w:r w:rsidRPr="00AF751E">
              <w:rPr>
                <w:sz w:val="20"/>
                <w:szCs w:val="20"/>
              </w:rPr>
              <w:t>Nobelane</w:t>
            </w:r>
            <w:proofErr w:type="spellEnd"/>
            <w:r w:rsidRPr="00AF751E">
              <w:rPr>
                <w:sz w:val="20"/>
                <w:szCs w:val="20"/>
              </w:rPr>
              <w:t xml:space="preserve"> Industries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20397AB6"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8256BE3" w14:textId="77777777" w:rsidR="00AF751E" w:rsidRPr="00AF751E" w:rsidRDefault="00AF751E" w:rsidP="00AF751E">
            <w:pPr>
              <w:widowControl w:val="0"/>
              <w:ind w:right="57"/>
              <w:jc w:val="right"/>
              <w:rPr>
                <w:sz w:val="20"/>
                <w:szCs w:val="20"/>
              </w:rPr>
            </w:pPr>
            <w:r w:rsidRPr="00AF751E">
              <w:rPr>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EA8C027" w14:textId="77777777" w:rsidR="00AF751E" w:rsidRPr="00AF751E" w:rsidRDefault="00AF751E" w:rsidP="00AF751E">
            <w:pPr>
              <w:widowControl w:val="0"/>
              <w:ind w:right="130"/>
              <w:jc w:val="right"/>
              <w:rPr>
                <w:sz w:val="20"/>
                <w:szCs w:val="20"/>
              </w:rPr>
            </w:pPr>
            <w:r w:rsidRPr="00AF751E">
              <w:rPr>
                <w:sz w:val="20"/>
                <w:szCs w:val="20"/>
              </w:rPr>
              <w:t>19 011</w:t>
            </w:r>
          </w:p>
        </w:tc>
      </w:tr>
      <w:tr w:rsidR="00AF751E" w:rsidRPr="00AF751E" w14:paraId="1AB76ABC" w14:textId="77777777" w:rsidTr="00AF751E">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2DB97CF6" w14:textId="77777777" w:rsidR="00AF751E" w:rsidRPr="00AF751E" w:rsidRDefault="00AF751E" w:rsidP="00AF751E">
            <w:pPr>
              <w:widowControl w:val="0"/>
              <w:jc w:val="left"/>
              <w:rPr>
                <w:sz w:val="20"/>
                <w:szCs w:val="20"/>
              </w:rPr>
            </w:pPr>
            <w:proofErr w:type="spellStart"/>
            <w:r w:rsidRPr="00AF751E">
              <w:rPr>
                <w:sz w:val="20"/>
                <w:szCs w:val="20"/>
              </w:rPr>
              <w:t>Miripoly</w:t>
            </w:r>
            <w:proofErr w:type="spellEnd"/>
            <w:r w:rsidRPr="00AF751E">
              <w:rPr>
                <w:sz w:val="20"/>
                <w:szCs w:val="20"/>
              </w:rPr>
              <w:t xml:space="preserve"> Industries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3FFBC5D4" w14:textId="77777777" w:rsidR="00AF751E" w:rsidRPr="00AF751E" w:rsidRDefault="00AF751E" w:rsidP="00AF751E">
            <w:pPr>
              <w:widowControl w:val="0"/>
              <w:jc w:val="left"/>
              <w:rPr>
                <w:sz w:val="20"/>
                <w:szCs w:val="20"/>
              </w:rPr>
            </w:pPr>
            <w:proofErr w:type="spellStart"/>
            <w:r w:rsidRPr="00AF751E">
              <w:rPr>
                <w:sz w:val="20"/>
                <w:szCs w:val="20"/>
              </w:rPr>
              <w:t>Artículos</w:t>
            </w:r>
            <w:proofErr w:type="spellEnd"/>
            <w:r w:rsidRPr="00AF751E">
              <w:rPr>
                <w:sz w:val="20"/>
                <w:szCs w:val="20"/>
              </w:rPr>
              <w:t xml:space="preserve"> </w:t>
            </w:r>
            <w:proofErr w:type="spellStart"/>
            <w:r w:rsidRPr="00AF751E">
              <w:rPr>
                <w:sz w:val="20"/>
                <w:szCs w:val="20"/>
              </w:rPr>
              <w:t>térmicos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8E13566" w14:textId="77777777" w:rsidR="00AF751E" w:rsidRPr="00AF751E" w:rsidRDefault="00AF751E" w:rsidP="00AF751E">
            <w:pPr>
              <w:widowControl w:val="0"/>
              <w:ind w:right="57"/>
              <w:jc w:val="right"/>
              <w:rPr>
                <w:sz w:val="20"/>
                <w:szCs w:val="20"/>
              </w:rPr>
            </w:pPr>
            <w:r w:rsidRPr="00AF751E">
              <w:rPr>
                <w:sz w:val="20"/>
                <w:szCs w:val="20"/>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32CA6CA9" w14:textId="77777777" w:rsidR="00AF751E" w:rsidRPr="00AF751E" w:rsidRDefault="00AF751E" w:rsidP="00AF751E">
            <w:pPr>
              <w:widowControl w:val="0"/>
              <w:ind w:right="130"/>
              <w:jc w:val="right"/>
              <w:rPr>
                <w:sz w:val="20"/>
                <w:szCs w:val="20"/>
              </w:rPr>
            </w:pPr>
            <w:r w:rsidRPr="00AF751E">
              <w:rPr>
                <w:sz w:val="20"/>
                <w:szCs w:val="20"/>
              </w:rPr>
              <w:t>15 450</w:t>
            </w:r>
          </w:p>
        </w:tc>
      </w:tr>
      <w:tr w:rsidR="00AF751E" w:rsidRPr="00AF751E" w14:paraId="3535ABC2" w14:textId="77777777" w:rsidTr="00AF751E">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98671E3" w14:textId="77777777" w:rsidR="00AF751E" w:rsidRPr="00AF751E" w:rsidRDefault="00AF751E" w:rsidP="00AF751E">
            <w:pPr>
              <w:widowControl w:val="0"/>
              <w:jc w:val="left"/>
              <w:rPr>
                <w:sz w:val="20"/>
                <w:szCs w:val="20"/>
              </w:rPr>
            </w:pPr>
            <w:proofErr w:type="spellStart"/>
            <w:r w:rsidRPr="00AF751E">
              <w:rPr>
                <w:sz w:val="20"/>
                <w:szCs w:val="20"/>
              </w:rPr>
              <w:t>SolidFoam</w:t>
            </w:r>
            <w:proofErr w:type="spellEnd"/>
            <w:r w:rsidRPr="00AF751E">
              <w:rPr>
                <w:sz w:val="20"/>
                <w:szCs w:val="20"/>
              </w:rPr>
              <w:t xml:space="preserve"> Industries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05CBBECD" w14:textId="77777777" w:rsidR="00AF751E" w:rsidRPr="00AF751E" w:rsidRDefault="00AF751E" w:rsidP="00AF751E">
            <w:pPr>
              <w:widowControl w:val="0"/>
              <w:jc w:val="left"/>
              <w:rPr>
                <w:sz w:val="20"/>
                <w:szCs w:val="20"/>
              </w:rPr>
            </w:pPr>
            <w:proofErr w:type="spellStart"/>
            <w:r w:rsidRPr="00AF751E">
              <w:rPr>
                <w:sz w:val="20"/>
                <w:szCs w:val="20"/>
              </w:rPr>
              <w:t>Tuberías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4636DD3" w14:textId="77777777" w:rsidR="00AF751E" w:rsidRPr="00AF751E" w:rsidRDefault="00AF751E" w:rsidP="00AF751E">
            <w:pPr>
              <w:widowControl w:val="0"/>
              <w:ind w:right="57"/>
              <w:jc w:val="right"/>
              <w:rPr>
                <w:sz w:val="20"/>
                <w:szCs w:val="20"/>
              </w:rPr>
            </w:pPr>
            <w:r w:rsidRPr="00AF751E">
              <w:rPr>
                <w:sz w:val="20"/>
                <w:szCs w:val="20"/>
              </w:rPr>
              <w:t>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5793010" w14:textId="77777777" w:rsidR="00AF751E" w:rsidRPr="00AF751E" w:rsidRDefault="00AF751E" w:rsidP="00AF751E">
            <w:pPr>
              <w:widowControl w:val="0"/>
              <w:ind w:right="130"/>
              <w:jc w:val="right"/>
              <w:rPr>
                <w:sz w:val="20"/>
                <w:szCs w:val="20"/>
              </w:rPr>
            </w:pPr>
            <w:r w:rsidRPr="00AF751E">
              <w:rPr>
                <w:sz w:val="20"/>
                <w:szCs w:val="20"/>
              </w:rPr>
              <w:t>13 920</w:t>
            </w:r>
          </w:p>
        </w:tc>
      </w:tr>
      <w:tr w:rsidR="00AF751E" w:rsidRPr="00AF751E" w14:paraId="22CA9F7A" w14:textId="77777777" w:rsidTr="00AF751E">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670AF210" w14:textId="77777777" w:rsidR="00AF751E" w:rsidRPr="00AF751E" w:rsidRDefault="00AF751E" w:rsidP="00AF751E">
            <w:pPr>
              <w:widowControl w:val="0"/>
              <w:jc w:val="left"/>
              <w:rPr>
                <w:sz w:val="20"/>
                <w:szCs w:val="20"/>
              </w:rPr>
            </w:pPr>
            <w:proofErr w:type="spellStart"/>
            <w:r w:rsidRPr="00AF751E">
              <w:rPr>
                <w:sz w:val="20"/>
                <w:szCs w:val="20"/>
              </w:rPr>
              <w:t>Lian</w:t>
            </w:r>
            <w:proofErr w:type="spellEnd"/>
            <w:r w:rsidRPr="00AF751E">
              <w:rPr>
                <w:sz w:val="20"/>
                <w:szCs w:val="20"/>
              </w:rPr>
              <w:t xml:space="preserve"> Pang Refrigeration and Electrical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r w:rsidRPr="00AF751E">
              <w:rPr>
                <w:sz w:val="20"/>
                <w:szCs w:val="20"/>
              </w:rPr>
              <w:t>*</w:t>
            </w:r>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vAlign w:val="bottom"/>
          </w:tcPr>
          <w:p w14:paraId="29F53FAF"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098D751" w14:textId="77777777" w:rsidR="00AF751E" w:rsidRPr="00AF751E" w:rsidRDefault="00AF751E" w:rsidP="00AF751E">
            <w:pPr>
              <w:widowControl w:val="0"/>
              <w:ind w:right="57"/>
              <w:jc w:val="right"/>
              <w:rPr>
                <w:sz w:val="20"/>
                <w:szCs w:val="20"/>
              </w:rPr>
            </w:pPr>
            <w:r w:rsidRPr="00AF751E">
              <w:rPr>
                <w:sz w:val="20"/>
                <w:szCs w:val="20"/>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28927DA" w14:textId="77777777" w:rsidR="00AF751E" w:rsidRPr="00AF751E" w:rsidRDefault="00AF751E" w:rsidP="00AF751E">
            <w:pPr>
              <w:widowControl w:val="0"/>
              <w:ind w:right="130"/>
              <w:jc w:val="right"/>
              <w:rPr>
                <w:sz w:val="20"/>
                <w:szCs w:val="20"/>
              </w:rPr>
            </w:pPr>
            <w:r w:rsidRPr="00AF751E">
              <w:rPr>
                <w:sz w:val="20"/>
                <w:szCs w:val="20"/>
              </w:rPr>
              <w:t>12 334</w:t>
            </w:r>
          </w:p>
        </w:tc>
      </w:tr>
      <w:tr w:rsidR="00AF751E" w:rsidRPr="00AF751E" w14:paraId="5B1DC703" w14:textId="77777777" w:rsidTr="00AF751E">
        <w:trPr>
          <w:trHeight w:val="134"/>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254D786" w14:textId="77777777" w:rsidR="00AF751E" w:rsidRPr="00AF751E" w:rsidRDefault="00AF751E" w:rsidP="00AF751E">
            <w:pPr>
              <w:widowControl w:val="0"/>
              <w:jc w:val="left"/>
              <w:rPr>
                <w:sz w:val="20"/>
                <w:szCs w:val="20"/>
              </w:rPr>
            </w:pPr>
            <w:r w:rsidRPr="00AF751E">
              <w:rPr>
                <w:sz w:val="20"/>
                <w:szCs w:val="20"/>
              </w:rPr>
              <w:t xml:space="preserve">F&amp;C Equipment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vAlign w:val="bottom"/>
          </w:tcPr>
          <w:p w14:paraId="1BDCFF1B"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83376F8" w14:textId="77777777" w:rsidR="00AF751E" w:rsidRPr="00AF751E" w:rsidRDefault="00AF751E" w:rsidP="00AF751E">
            <w:pPr>
              <w:widowControl w:val="0"/>
              <w:ind w:right="57"/>
              <w:jc w:val="right"/>
              <w:rPr>
                <w:sz w:val="20"/>
                <w:szCs w:val="20"/>
              </w:rPr>
            </w:pPr>
            <w:r w:rsidRPr="00AF751E">
              <w:rPr>
                <w:sz w:val="20"/>
                <w:szCs w:val="20"/>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3967B880" w14:textId="77777777" w:rsidR="00AF751E" w:rsidRPr="00AF751E" w:rsidRDefault="00AF751E" w:rsidP="00AF751E">
            <w:pPr>
              <w:widowControl w:val="0"/>
              <w:ind w:right="130"/>
              <w:jc w:val="right"/>
              <w:rPr>
                <w:sz w:val="20"/>
                <w:szCs w:val="20"/>
              </w:rPr>
            </w:pPr>
            <w:r w:rsidRPr="00AF751E">
              <w:rPr>
                <w:sz w:val="20"/>
                <w:szCs w:val="20"/>
              </w:rPr>
              <w:t>11 371</w:t>
            </w:r>
          </w:p>
        </w:tc>
      </w:tr>
      <w:tr w:rsidR="00AF751E" w:rsidRPr="00AF751E" w14:paraId="23E2332C" w14:textId="77777777" w:rsidTr="00AF751E">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2068A6FE" w14:textId="77777777" w:rsidR="00AF751E" w:rsidRPr="00AF751E" w:rsidRDefault="00AF751E" w:rsidP="00AF751E">
            <w:pPr>
              <w:widowControl w:val="0"/>
              <w:jc w:val="left"/>
              <w:rPr>
                <w:sz w:val="20"/>
                <w:szCs w:val="20"/>
              </w:rPr>
            </w:pPr>
            <w:r w:rsidRPr="00AF751E">
              <w:rPr>
                <w:sz w:val="20"/>
                <w:szCs w:val="20"/>
              </w:rPr>
              <w:t>O.A.L. Enterprise</w:t>
            </w:r>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69DB1D23" w14:textId="77777777" w:rsidR="00AF751E" w:rsidRPr="00AF751E" w:rsidRDefault="00AF751E" w:rsidP="00AF751E">
            <w:pPr>
              <w:widowControl w:val="0"/>
              <w:jc w:val="left"/>
              <w:rPr>
                <w:sz w:val="20"/>
                <w:szCs w:val="20"/>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5F9B0C4" w14:textId="77777777" w:rsidR="00AF751E" w:rsidRPr="00AF751E" w:rsidRDefault="00AF751E" w:rsidP="00AF751E">
            <w:pPr>
              <w:widowControl w:val="0"/>
              <w:ind w:right="57"/>
              <w:jc w:val="right"/>
              <w:rPr>
                <w:sz w:val="20"/>
                <w:szCs w:val="20"/>
              </w:rPr>
            </w:pPr>
            <w:r w:rsidRPr="00AF751E">
              <w:rPr>
                <w:sz w:val="20"/>
                <w:szCs w:val="20"/>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6FF1C02" w14:textId="77777777" w:rsidR="00AF751E" w:rsidRPr="00AF751E" w:rsidRDefault="00AF751E" w:rsidP="00AF751E">
            <w:pPr>
              <w:widowControl w:val="0"/>
              <w:ind w:right="130"/>
              <w:jc w:val="right"/>
              <w:rPr>
                <w:sz w:val="20"/>
                <w:szCs w:val="20"/>
              </w:rPr>
            </w:pPr>
            <w:r w:rsidRPr="00AF751E">
              <w:rPr>
                <w:sz w:val="20"/>
                <w:szCs w:val="20"/>
              </w:rPr>
              <w:t>10 916</w:t>
            </w:r>
          </w:p>
        </w:tc>
      </w:tr>
      <w:tr w:rsidR="00AF751E" w:rsidRPr="00AF751E" w14:paraId="3AB35F72" w14:textId="77777777" w:rsidTr="00AF751E">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37D1EC89" w14:textId="77777777" w:rsidR="00AF751E" w:rsidRPr="00AF751E" w:rsidRDefault="00AF751E" w:rsidP="00AF751E">
            <w:pPr>
              <w:widowControl w:val="0"/>
              <w:jc w:val="left"/>
              <w:rPr>
                <w:sz w:val="20"/>
                <w:szCs w:val="20"/>
              </w:rPr>
            </w:pPr>
            <w:r w:rsidRPr="00AF751E">
              <w:rPr>
                <w:sz w:val="20"/>
                <w:szCs w:val="20"/>
              </w:rPr>
              <w:t xml:space="preserve">NKR Continental Manufacturing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0B6C1D8A"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DB5DB79" w14:textId="77777777" w:rsidR="00AF751E" w:rsidRPr="00AF751E" w:rsidRDefault="00AF751E" w:rsidP="00AF751E">
            <w:pPr>
              <w:widowControl w:val="0"/>
              <w:ind w:right="57"/>
              <w:jc w:val="right"/>
              <w:rPr>
                <w:sz w:val="20"/>
                <w:szCs w:val="20"/>
              </w:rPr>
            </w:pPr>
            <w:r w:rsidRPr="00AF751E">
              <w:rPr>
                <w:sz w:val="20"/>
                <w:szCs w:val="20"/>
              </w:rPr>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4B18E77" w14:textId="77777777" w:rsidR="00AF751E" w:rsidRPr="00AF751E" w:rsidRDefault="00AF751E" w:rsidP="00AF751E">
            <w:pPr>
              <w:widowControl w:val="0"/>
              <w:ind w:right="130"/>
              <w:jc w:val="right"/>
              <w:rPr>
                <w:sz w:val="20"/>
                <w:szCs w:val="20"/>
              </w:rPr>
            </w:pPr>
            <w:r w:rsidRPr="00AF751E">
              <w:rPr>
                <w:sz w:val="20"/>
                <w:szCs w:val="20"/>
              </w:rPr>
              <w:t>6 167</w:t>
            </w:r>
          </w:p>
        </w:tc>
      </w:tr>
      <w:tr w:rsidR="00AF751E" w:rsidRPr="00AF751E" w14:paraId="6CE41DBC" w14:textId="77777777" w:rsidTr="00AF751E">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E6167B1" w14:textId="77777777" w:rsidR="00AF751E" w:rsidRPr="00AF751E" w:rsidRDefault="00AF751E" w:rsidP="00AF751E">
            <w:pPr>
              <w:widowControl w:val="0"/>
              <w:jc w:val="left"/>
              <w:rPr>
                <w:sz w:val="20"/>
                <w:szCs w:val="20"/>
              </w:rPr>
            </w:pPr>
            <w:r w:rsidRPr="00AF751E">
              <w:rPr>
                <w:sz w:val="20"/>
                <w:szCs w:val="20"/>
              </w:rPr>
              <w:t xml:space="preserve">COOLDEC Industries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49D3AB85" w14:textId="77777777" w:rsidR="00AF751E" w:rsidRPr="00AF751E" w:rsidRDefault="00AF751E" w:rsidP="00AF751E">
            <w:pPr>
              <w:widowControl w:val="0"/>
              <w:jc w:val="left"/>
              <w:rPr>
                <w:sz w:val="20"/>
                <w:szCs w:val="20"/>
              </w:rPr>
            </w:pPr>
            <w:proofErr w:type="spellStart"/>
            <w:r w:rsidRPr="00AF751E">
              <w:rPr>
                <w:sz w:val="20"/>
                <w:szCs w:val="20"/>
              </w:rPr>
              <w:t>Paneles</w:t>
            </w:r>
            <w:proofErr w:type="spellEnd"/>
            <w:r w:rsidRPr="00AF751E">
              <w:rPr>
                <w:sz w:val="20"/>
                <w:szCs w:val="20"/>
              </w:rPr>
              <w:t xml:space="preserve"> </w:t>
            </w:r>
            <w:proofErr w:type="spellStart"/>
            <w:r w:rsidRPr="00AF751E">
              <w:rPr>
                <w:sz w:val="20"/>
                <w:szCs w:val="20"/>
              </w:rPr>
              <w:t>discontinuos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867EC53" w14:textId="77777777" w:rsidR="00AF751E" w:rsidRPr="00AF751E" w:rsidRDefault="00AF751E" w:rsidP="00AF751E">
            <w:pPr>
              <w:widowControl w:val="0"/>
              <w:ind w:right="57"/>
              <w:jc w:val="right"/>
              <w:rPr>
                <w:sz w:val="20"/>
                <w:szCs w:val="20"/>
              </w:rPr>
            </w:pPr>
            <w:r w:rsidRPr="00AF751E">
              <w:rPr>
                <w:sz w:val="20"/>
                <w:szCs w:val="20"/>
              </w:rPr>
              <w:t>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5E21248" w14:textId="77777777" w:rsidR="00AF751E" w:rsidRPr="00AF751E" w:rsidRDefault="00AF751E" w:rsidP="00AF751E">
            <w:pPr>
              <w:widowControl w:val="0"/>
              <w:ind w:right="130"/>
              <w:jc w:val="right"/>
              <w:rPr>
                <w:sz w:val="20"/>
                <w:szCs w:val="20"/>
              </w:rPr>
            </w:pPr>
            <w:r w:rsidRPr="00AF751E">
              <w:rPr>
                <w:sz w:val="20"/>
                <w:szCs w:val="20"/>
              </w:rPr>
              <w:t>5 889</w:t>
            </w:r>
          </w:p>
        </w:tc>
      </w:tr>
      <w:tr w:rsidR="00AF751E" w:rsidRPr="00AF751E" w14:paraId="65516795" w14:textId="77777777" w:rsidTr="00AF751E">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6559D60" w14:textId="77777777" w:rsidR="00AF751E" w:rsidRPr="00AF751E" w:rsidRDefault="00AF751E" w:rsidP="00AF751E">
            <w:pPr>
              <w:widowControl w:val="0"/>
              <w:jc w:val="left"/>
              <w:rPr>
                <w:sz w:val="20"/>
                <w:szCs w:val="20"/>
              </w:rPr>
            </w:pPr>
            <w:proofErr w:type="spellStart"/>
            <w:r w:rsidRPr="00AF751E">
              <w:rPr>
                <w:sz w:val="20"/>
                <w:szCs w:val="20"/>
              </w:rPr>
              <w:t>Edwincon</w:t>
            </w:r>
            <w:proofErr w:type="spellEnd"/>
            <w:r w:rsidRPr="00AF751E">
              <w:rPr>
                <w:sz w:val="20"/>
                <w:szCs w:val="20"/>
              </w:rPr>
              <w:t xml:space="preserve"> Engineering and Trading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1D832AE4" w14:textId="77777777" w:rsidR="00AF751E" w:rsidRPr="00AF751E" w:rsidRDefault="00AF751E" w:rsidP="00AF751E">
            <w:pPr>
              <w:widowControl w:val="0"/>
              <w:jc w:val="left"/>
              <w:rPr>
                <w:sz w:val="20"/>
                <w:szCs w:val="20"/>
              </w:rPr>
            </w:pPr>
            <w:proofErr w:type="spellStart"/>
            <w:r w:rsidRPr="00AF751E">
              <w:rPr>
                <w:sz w:val="20"/>
                <w:szCs w:val="20"/>
              </w:rPr>
              <w:t>Tuberías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C113D73" w14:textId="77777777" w:rsidR="00AF751E" w:rsidRPr="00AF751E" w:rsidRDefault="00AF751E" w:rsidP="00AF751E">
            <w:pPr>
              <w:widowControl w:val="0"/>
              <w:ind w:right="57"/>
              <w:jc w:val="right"/>
              <w:rPr>
                <w:sz w:val="20"/>
                <w:szCs w:val="20"/>
              </w:rPr>
            </w:pPr>
            <w:r w:rsidRPr="00AF751E">
              <w:rPr>
                <w:sz w:val="20"/>
                <w:szCs w:val="20"/>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C6F4FB3" w14:textId="77777777" w:rsidR="00AF751E" w:rsidRPr="00AF751E" w:rsidRDefault="00AF751E" w:rsidP="00AF751E">
            <w:pPr>
              <w:widowControl w:val="0"/>
              <w:ind w:right="130"/>
              <w:jc w:val="right"/>
              <w:rPr>
                <w:sz w:val="20"/>
                <w:szCs w:val="20"/>
              </w:rPr>
            </w:pPr>
            <w:r w:rsidRPr="00AF751E">
              <w:rPr>
                <w:sz w:val="20"/>
                <w:szCs w:val="20"/>
              </w:rPr>
              <w:t>5 611</w:t>
            </w:r>
          </w:p>
        </w:tc>
      </w:tr>
      <w:tr w:rsidR="00AF751E" w:rsidRPr="00AF751E" w14:paraId="1421A8E5" w14:textId="77777777" w:rsidTr="00AF751E">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EFFABFF" w14:textId="77777777" w:rsidR="00AF751E" w:rsidRPr="00AF751E" w:rsidRDefault="00AF751E" w:rsidP="00AF751E">
            <w:pPr>
              <w:widowControl w:val="0"/>
              <w:jc w:val="left"/>
              <w:rPr>
                <w:sz w:val="20"/>
                <w:szCs w:val="20"/>
              </w:rPr>
            </w:pPr>
            <w:r w:rsidRPr="00AF751E">
              <w:rPr>
                <w:sz w:val="20"/>
                <w:szCs w:val="20"/>
              </w:rPr>
              <w:t xml:space="preserve">BEH Refrigeration and Electrical Works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317652EB"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357CFD3" w14:textId="77777777" w:rsidR="00AF751E" w:rsidRPr="00AF751E" w:rsidRDefault="00AF751E" w:rsidP="00AF751E">
            <w:pPr>
              <w:widowControl w:val="0"/>
              <w:ind w:right="57"/>
              <w:jc w:val="right"/>
              <w:rPr>
                <w:sz w:val="20"/>
                <w:szCs w:val="20"/>
              </w:rPr>
            </w:pPr>
            <w:r w:rsidRPr="00AF751E">
              <w:rPr>
                <w:sz w:val="20"/>
                <w:szCs w:val="20"/>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7ACC8BF1" w14:textId="77777777" w:rsidR="00AF751E" w:rsidRPr="00AF751E" w:rsidRDefault="00AF751E" w:rsidP="00AF751E">
            <w:pPr>
              <w:widowControl w:val="0"/>
              <w:ind w:right="130"/>
              <w:jc w:val="right"/>
              <w:rPr>
                <w:sz w:val="20"/>
                <w:szCs w:val="20"/>
              </w:rPr>
            </w:pPr>
            <w:r w:rsidRPr="00AF751E">
              <w:rPr>
                <w:sz w:val="20"/>
                <w:szCs w:val="20"/>
              </w:rPr>
              <w:t>2 617</w:t>
            </w:r>
          </w:p>
        </w:tc>
      </w:tr>
      <w:tr w:rsidR="00AF751E" w:rsidRPr="00AF751E" w14:paraId="131FDDC4" w14:textId="77777777" w:rsidTr="00AF751E">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6A5914E8" w14:textId="77777777" w:rsidR="00AF751E" w:rsidRPr="00AF751E" w:rsidRDefault="00AF751E" w:rsidP="00AF751E">
            <w:pPr>
              <w:widowControl w:val="0"/>
              <w:jc w:val="left"/>
              <w:rPr>
                <w:sz w:val="20"/>
                <w:szCs w:val="20"/>
              </w:rPr>
            </w:pPr>
            <w:proofErr w:type="spellStart"/>
            <w:r w:rsidRPr="00AF751E">
              <w:rPr>
                <w:sz w:val="20"/>
                <w:szCs w:val="20"/>
              </w:rPr>
              <w:t>Grandcold</w:t>
            </w:r>
            <w:proofErr w:type="spellEnd"/>
            <w:r w:rsidRPr="00AF751E">
              <w:rPr>
                <w:sz w:val="20"/>
                <w:szCs w:val="20"/>
              </w:rPr>
              <w:t xml:space="preserve"> Refrigerator and Commercial Products </w:t>
            </w:r>
            <w:proofErr w:type="spellStart"/>
            <w:r w:rsidRPr="00AF751E">
              <w:rPr>
                <w:sz w:val="20"/>
                <w:szCs w:val="20"/>
              </w:rPr>
              <w:t>Sdn</w:t>
            </w:r>
            <w:proofErr w:type="spellEnd"/>
            <w:r w:rsidRPr="00AF751E">
              <w:rPr>
                <w:sz w:val="20"/>
                <w:szCs w:val="20"/>
              </w:rPr>
              <w:t xml:space="preserve"> </w:t>
            </w:r>
            <w:proofErr w:type="spellStart"/>
            <w:r w:rsidRPr="00AF751E">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7683FF90"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0F03E1C" w14:textId="77777777" w:rsidR="00AF751E" w:rsidRPr="00AF751E" w:rsidRDefault="00AF751E" w:rsidP="00AF751E">
            <w:pPr>
              <w:widowControl w:val="0"/>
              <w:ind w:right="57"/>
              <w:jc w:val="right"/>
              <w:rPr>
                <w:sz w:val="20"/>
                <w:szCs w:val="20"/>
              </w:rPr>
            </w:pPr>
            <w:r w:rsidRPr="00AF751E">
              <w:rPr>
                <w:sz w:val="20"/>
                <w:szCs w:val="20"/>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B8B8951" w14:textId="77777777" w:rsidR="00AF751E" w:rsidRPr="00AF751E" w:rsidRDefault="00AF751E" w:rsidP="00AF751E">
            <w:pPr>
              <w:widowControl w:val="0"/>
              <w:ind w:right="130"/>
              <w:jc w:val="right"/>
              <w:rPr>
                <w:sz w:val="20"/>
                <w:szCs w:val="20"/>
              </w:rPr>
            </w:pPr>
            <w:r w:rsidRPr="00AF751E">
              <w:rPr>
                <w:sz w:val="20"/>
                <w:szCs w:val="20"/>
              </w:rPr>
              <w:t>2 617</w:t>
            </w:r>
          </w:p>
        </w:tc>
      </w:tr>
      <w:tr w:rsidR="00AF751E" w:rsidRPr="00AF751E" w14:paraId="7D3EA89E" w14:textId="77777777" w:rsidTr="00AF751E">
        <w:trPr>
          <w:trHeight w:val="80"/>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488B6CEA" w14:textId="77777777" w:rsidR="00AF751E" w:rsidRPr="00AF751E" w:rsidRDefault="00AF751E" w:rsidP="00AF751E">
            <w:pPr>
              <w:widowControl w:val="0"/>
              <w:jc w:val="left"/>
              <w:rPr>
                <w:sz w:val="20"/>
                <w:szCs w:val="20"/>
              </w:rPr>
            </w:pPr>
            <w:r w:rsidRPr="00AF751E">
              <w:rPr>
                <w:sz w:val="20"/>
                <w:szCs w:val="20"/>
              </w:rPr>
              <w:t>Ban Lee Refrigeration Works</w:t>
            </w:r>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27DE1624" w14:textId="77777777" w:rsidR="00AF751E" w:rsidRPr="00AF751E" w:rsidRDefault="00AF751E" w:rsidP="00AF751E">
            <w:pPr>
              <w:widowControl w:val="0"/>
              <w:jc w:val="left"/>
              <w:rPr>
                <w:sz w:val="20"/>
                <w:szCs w:val="20"/>
              </w:rPr>
            </w:pPr>
            <w:proofErr w:type="spellStart"/>
            <w:r w:rsidRPr="00AF751E">
              <w:rPr>
                <w:sz w:val="20"/>
                <w:szCs w:val="20"/>
              </w:rPr>
              <w:t>Refrigeración</w:t>
            </w:r>
            <w:proofErr w:type="spellEnd"/>
            <w:r w:rsidRPr="00AF751E">
              <w:rPr>
                <w:sz w:val="20"/>
                <w:szCs w:val="20"/>
              </w:rPr>
              <w:t xml:space="preserve"> commercial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E042159" w14:textId="77777777" w:rsidR="00AF751E" w:rsidRPr="00AF751E" w:rsidRDefault="00AF751E" w:rsidP="00AF751E">
            <w:pPr>
              <w:widowControl w:val="0"/>
              <w:ind w:right="57"/>
              <w:jc w:val="right"/>
              <w:rPr>
                <w:sz w:val="20"/>
                <w:szCs w:val="20"/>
              </w:rPr>
            </w:pPr>
            <w:r w:rsidRPr="00AF751E">
              <w:rPr>
                <w:sz w:val="20"/>
                <w:szCs w:val="20"/>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F8004A2" w14:textId="77777777" w:rsidR="00AF751E" w:rsidRPr="00AF751E" w:rsidRDefault="00AF751E" w:rsidP="00AF751E">
            <w:pPr>
              <w:widowControl w:val="0"/>
              <w:ind w:right="130"/>
              <w:jc w:val="right"/>
              <w:rPr>
                <w:sz w:val="20"/>
                <w:szCs w:val="20"/>
              </w:rPr>
            </w:pPr>
            <w:r w:rsidRPr="00AF751E">
              <w:rPr>
                <w:sz w:val="20"/>
                <w:szCs w:val="20"/>
              </w:rPr>
              <w:t>1 034</w:t>
            </w:r>
          </w:p>
        </w:tc>
      </w:tr>
      <w:tr w:rsidR="00AF751E" w:rsidRPr="00AF751E" w14:paraId="010D1E0F" w14:textId="77777777" w:rsidTr="00AF751E">
        <w:trPr>
          <w:trHeight w:val="11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67D7B992" w14:textId="77777777" w:rsidR="00AF751E" w:rsidRPr="00AF751E" w:rsidRDefault="00AF751E" w:rsidP="00AF751E">
            <w:pPr>
              <w:widowControl w:val="0"/>
              <w:jc w:val="left"/>
              <w:rPr>
                <w:b/>
                <w:color w:val="000000"/>
                <w:sz w:val="20"/>
                <w:szCs w:val="20"/>
                <w:lang w:val="en-CA"/>
              </w:rPr>
            </w:pPr>
            <w:r w:rsidRPr="00AF751E">
              <w:rPr>
                <w:b/>
                <w:color w:val="000000"/>
                <w:sz w:val="20"/>
                <w:szCs w:val="20"/>
                <w:lang w:val="en-CA"/>
              </w:rPr>
              <w:t>Total</w:t>
            </w:r>
          </w:p>
        </w:tc>
        <w:tc>
          <w:tcPr>
            <w:tcW w:w="2268" w:type="dxa"/>
            <w:tcBorders>
              <w:top w:val="single" w:sz="4" w:space="0" w:color="auto"/>
              <w:left w:val="nil"/>
              <w:bottom w:val="single" w:sz="4" w:space="0" w:color="auto"/>
              <w:right w:val="single" w:sz="4" w:space="0" w:color="auto"/>
            </w:tcBorders>
            <w:shd w:val="clear" w:color="auto" w:fill="auto"/>
            <w:noWrap/>
          </w:tcPr>
          <w:p w14:paraId="59F6FFC3" w14:textId="77777777" w:rsidR="00AF751E" w:rsidRPr="00AF751E" w:rsidRDefault="00AF751E" w:rsidP="00AF751E">
            <w:pPr>
              <w:widowControl w:val="0"/>
              <w:jc w:val="left"/>
              <w:rPr>
                <w:b/>
                <w:sz w:val="20"/>
                <w:szCs w:val="20"/>
                <w:lang w:val="en-C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3BEC0FD" w14:textId="77777777" w:rsidR="00AF751E" w:rsidRPr="00AF751E" w:rsidRDefault="00AF751E" w:rsidP="00AF751E">
            <w:pPr>
              <w:widowControl w:val="0"/>
              <w:ind w:right="57"/>
              <w:jc w:val="right"/>
              <w:rPr>
                <w:b/>
                <w:bCs/>
                <w:color w:val="000000"/>
                <w:sz w:val="20"/>
                <w:szCs w:val="20"/>
                <w:lang w:val="en-CA"/>
              </w:rPr>
            </w:pPr>
            <w:r w:rsidRPr="00AF751E">
              <w:rPr>
                <w:b/>
                <w:bCs/>
                <w:color w:val="000000"/>
                <w:sz w:val="20"/>
                <w:szCs w:val="20"/>
                <w:lang w:val="en-CA"/>
              </w:rPr>
              <w:t>19,37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7FEB25A" w14:textId="77777777" w:rsidR="00AF751E" w:rsidRPr="00AF751E" w:rsidRDefault="00AF751E" w:rsidP="00AF751E">
            <w:pPr>
              <w:widowControl w:val="0"/>
              <w:ind w:right="130"/>
              <w:jc w:val="right"/>
              <w:rPr>
                <w:b/>
                <w:bCs/>
                <w:color w:val="000000"/>
                <w:sz w:val="20"/>
                <w:szCs w:val="20"/>
                <w:lang w:val="en-CA"/>
              </w:rPr>
            </w:pPr>
            <w:r w:rsidRPr="00AF751E">
              <w:rPr>
                <w:b/>
                <w:bCs/>
                <w:color w:val="000000"/>
                <w:sz w:val="20"/>
                <w:szCs w:val="20"/>
                <w:lang w:val="en-CA"/>
              </w:rPr>
              <w:fldChar w:fldCharType="begin"/>
            </w:r>
            <w:r w:rsidRPr="00AF751E">
              <w:rPr>
                <w:b/>
                <w:bCs/>
                <w:color w:val="000000"/>
                <w:sz w:val="20"/>
                <w:szCs w:val="20"/>
                <w:lang w:val="en-CA"/>
              </w:rPr>
              <w:instrText xml:space="preserve"> =SUM(ABOVE) </w:instrText>
            </w:r>
            <w:r w:rsidRPr="00AF751E">
              <w:rPr>
                <w:b/>
                <w:bCs/>
                <w:color w:val="000000"/>
                <w:sz w:val="20"/>
                <w:szCs w:val="20"/>
                <w:lang w:val="en-CA"/>
              </w:rPr>
              <w:fldChar w:fldCharType="separate"/>
            </w:r>
            <w:r w:rsidRPr="00AF751E">
              <w:rPr>
                <w:b/>
                <w:bCs/>
                <w:noProof/>
                <w:color w:val="000000"/>
                <w:sz w:val="20"/>
                <w:szCs w:val="20"/>
                <w:lang w:val="en-CA"/>
              </w:rPr>
              <w:t xml:space="preserve">169 </w:t>
            </w:r>
            <w:r w:rsidRPr="00AF751E">
              <w:rPr>
                <w:b/>
                <w:bCs/>
                <w:color w:val="000000"/>
                <w:sz w:val="20"/>
                <w:szCs w:val="20"/>
                <w:lang w:val="en-CA"/>
              </w:rPr>
              <w:fldChar w:fldCharType="end"/>
            </w:r>
            <w:r w:rsidRPr="00AF751E">
              <w:rPr>
                <w:b/>
                <w:bCs/>
                <w:color w:val="000000"/>
                <w:sz w:val="20"/>
                <w:szCs w:val="20"/>
                <w:lang w:val="en-CA"/>
              </w:rPr>
              <w:t>281</w:t>
            </w:r>
          </w:p>
        </w:tc>
      </w:tr>
    </w:tbl>
    <w:p w14:paraId="6F46E68F" w14:textId="77777777" w:rsidR="00AF751E" w:rsidRPr="00AF751E" w:rsidRDefault="00AF751E" w:rsidP="00AF751E">
      <w:pPr>
        <w:widowControl w:val="0"/>
        <w:spacing w:after="240"/>
        <w:outlineLvl w:val="0"/>
        <w:rPr>
          <w:bCs/>
          <w:sz w:val="19"/>
          <w:szCs w:val="19"/>
          <w:lang w:val="es-ES"/>
        </w:rPr>
      </w:pPr>
      <w:r w:rsidRPr="00AF751E">
        <w:rPr>
          <w:bCs/>
          <w:sz w:val="19"/>
          <w:szCs w:val="19"/>
          <w:lang w:val="es-ES"/>
        </w:rPr>
        <w:t xml:space="preserve">* Esta empresa había sido aprobada antes para un cambio de tecnología (decisión 85/11 b)) pero posteriormente se decidió retirarla del proyecto. </w:t>
      </w:r>
    </w:p>
    <w:p w14:paraId="0E07F63D" w14:textId="77777777" w:rsidR="00AF751E" w:rsidRPr="00AF751E" w:rsidRDefault="00AF751E" w:rsidP="00AF751E">
      <w:pPr>
        <w:pStyle w:val="Heading1"/>
        <w:rPr>
          <w:bCs/>
          <w:lang w:val="es-ES"/>
        </w:rPr>
      </w:pPr>
      <w:r w:rsidRPr="00AF751E">
        <w:rPr>
          <w:lang w:val="es-ES"/>
        </w:rPr>
        <w:t xml:space="preserve">Anteriormente, durante la preparación de la etapa II, se había considerado que </w:t>
      </w:r>
      <w:proofErr w:type="spellStart"/>
      <w:r w:rsidRPr="00AF751E">
        <w:rPr>
          <w:lang w:val="es-ES"/>
        </w:rPr>
        <w:t>Thermofoam</w:t>
      </w:r>
      <w:proofErr w:type="spellEnd"/>
      <w:r w:rsidRPr="00AF751E">
        <w:rPr>
          <w:lang w:val="es-ES"/>
        </w:rPr>
        <w:t xml:space="preserve"> Marketing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una empresa que en 2015 registró un consumo de 22,3 </w:t>
      </w:r>
      <w:proofErr w:type="spellStart"/>
      <w:r w:rsidRPr="00AF751E">
        <w:rPr>
          <w:lang w:val="es-ES"/>
        </w:rPr>
        <w:t>tm</w:t>
      </w:r>
      <w:proofErr w:type="spellEnd"/>
      <w:r w:rsidRPr="00AF751E">
        <w:rPr>
          <w:lang w:val="es-ES"/>
        </w:rPr>
        <w:t xml:space="preserve">, no reunía los requisitos de admisibilidad, debido a que la empresa se había establecido después de la fecha límite del 21 de septiembre de 2007. No se habían asignado fondos para la conversión de la empresa. El PNUD posteriormente determine que la empresa se había establecido en 2003 con otro nombre y, por consiguiente, era admisible; basándose en esta consideración, el PNUD solicitó que se reasignaran las economías logradas con el retiro de las15 empresas pequeñas y medianas por la suma de </w:t>
      </w:r>
      <w:r w:rsidRPr="00AF751E">
        <w:rPr>
          <w:bCs/>
          <w:lang w:val="es-ES"/>
        </w:rPr>
        <w:t xml:space="preserve">169.281 $EUA para apoyar la conversión de esta empresa al </w:t>
      </w:r>
      <w:proofErr w:type="spellStart"/>
      <w:r w:rsidRPr="00AF751E">
        <w:rPr>
          <w:bCs/>
          <w:lang w:val="es-ES"/>
        </w:rPr>
        <w:t>ciclopentano</w:t>
      </w:r>
      <w:proofErr w:type="spellEnd"/>
      <w:r w:rsidRPr="00AF751E">
        <w:rPr>
          <w:bCs/>
          <w:lang w:val="es-ES"/>
        </w:rPr>
        <w:t xml:space="preserve"> premezclado. </w:t>
      </w:r>
    </w:p>
    <w:p w14:paraId="627E2B98" w14:textId="77777777" w:rsidR="00AF751E" w:rsidRPr="00AF751E" w:rsidRDefault="00AF751E" w:rsidP="00AF751E">
      <w:pPr>
        <w:widowControl w:val="0"/>
        <w:spacing w:after="240"/>
        <w:outlineLvl w:val="0"/>
        <w:rPr>
          <w:b/>
          <w:lang w:val="es-ES"/>
        </w:rPr>
      </w:pPr>
      <w:r w:rsidRPr="00AF751E">
        <w:rPr>
          <w:b/>
          <w:lang w:val="es-ES"/>
        </w:rPr>
        <w:t>Observaciones de la Secretaría</w:t>
      </w:r>
    </w:p>
    <w:p w14:paraId="1D5B5138" w14:textId="77777777" w:rsidR="00AF751E" w:rsidRPr="00AF751E" w:rsidRDefault="00AF751E" w:rsidP="00AF751E">
      <w:pPr>
        <w:numPr>
          <w:ilvl w:val="0"/>
          <w:numId w:val="1"/>
        </w:numPr>
        <w:spacing w:after="240"/>
        <w:outlineLvl w:val="0"/>
        <w:rPr>
          <w:lang w:val="es-ES"/>
        </w:rPr>
      </w:pPr>
      <w:r w:rsidRPr="00AF751E">
        <w:rPr>
          <w:lang w:val="es-ES"/>
        </w:rPr>
        <w:t xml:space="preserve">El PNUD confirmó la capacidad de las empresas que deseaban cambiar la tecnología para usar el </w:t>
      </w:r>
      <w:proofErr w:type="spellStart"/>
      <w:r w:rsidRPr="00AF751E">
        <w:rPr>
          <w:lang w:val="es-ES"/>
        </w:rPr>
        <w:t>ciclopentano</w:t>
      </w:r>
      <w:proofErr w:type="spellEnd"/>
      <w:r w:rsidRPr="00AF751E">
        <w:rPr>
          <w:lang w:val="es-ES"/>
        </w:rPr>
        <w:t xml:space="preserve"> premezclado en condiciones seguras en cinco empresas pequeñas y medianas y el </w:t>
      </w:r>
      <w:proofErr w:type="spellStart"/>
      <w:r w:rsidRPr="00AF751E">
        <w:rPr>
          <w:lang w:val="es-ES"/>
        </w:rPr>
        <w:t>metilal</w:t>
      </w:r>
      <w:proofErr w:type="spellEnd"/>
      <w:r w:rsidRPr="00AF751E">
        <w:rPr>
          <w:lang w:val="es-ES"/>
        </w:rPr>
        <w:t xml:space="preserve"> en cuatro empresas pequeñas y medianas. Sobre esa base, la Secretaría emprendió una evaluación detallada de los costos adicionales admisibles para la conversión de las nueve empresas pequeñas y medianas, lo que confirmaba que no se registrarían economías en relación con el cambio de tecnología. El PNUD confirmó que las empresas cofinanciarían cualquier costo adicional en que se incurriera con el cambio de tecnología. En consecuencia, y considerando la disponibilidad comercial de los sistemas a base de </w:t>
      </w:r>
      <w:proofErr w:type="spellStart"/>
      <w:r w:rsidRPr="00AF751E">
        <w:rPr>
          <w:lang w:val="es-ES"/>
        </w:rPr>
        <w:t>ciclopentano</w:t>
      </w:r>
      <w:proofErr w:type="spellEnd"/>
      <w:r w:rsidRPr="00AF751E">
        <w:rPr>
          <w:lang w:val="es-ES"/>
        </w:rPr>
        <w:t xml:space="preserve"> premezclado y </w:t>
      </w:r>
      <w:proofErr w:type="spellStart"/>
      <w:r w:rsidRPr="00AF751E">
        <w:rPr>
          <w:lang w:val="es-ES"/>
        </w:rPr>
        <w:t>metilal</w:t>
      </w:r>
      <w:proofErr w:type="spellEnd"/>
      <w:r w:rsidRPr="00AF751E">
        <w:rPr>
          <w:lang w:val="es-ES"/>
        </w:rPr>
        <w:t xml:space="preserve"> con que contaban los proveedores de sistemas del país, la Secretaría recomienda la aprobación del cambio de tecnología en las nueve empresas pequeñas y medianas, y señala que la fecha de terminación del proceso de conversión de las empresas no se demoraría debido al cambio de tecnología.</w:t>
      </w:r>
    </w:p>
    <w:p w14:paraId="53479381" w14:textId="77777777" w:rsidR="00AF751E" w:rsidRPr="00AF751E" w:rsidRDefault="00AF751E" w:rsidP="00AF751E">
      <w:pPr>
        <w:widowControl w:val="0"/>
        <w:numPr>
          <w:ilvl w:val="0"/>
          <w:numId w:val="1"/>
        </w:numPr>
        <w:spacing w:after="240"/>
        <w:outlineLvl w:val="0"/>
        <w:rPr>
          <w:lang w:val="es-ES"/>
        </w:rPr>
      </w:pPr>
      <w:r w:rsidRPr="00AF751E">
        <w:rPr>
          <w:lang w:val="es-ES"/>
        </w:rPr>
        <w:t xml:space="preserve">El PNUD informó de que, pese a que avanzaban las conversiones en el caso de las 32 empresas pequeñas y medianas cuyo cambio de tecnología se había aprobado anteriormente, esas conversiones no se habían completado por demoras debidas a las alteraciones provocadas por la pandemia del COVID-19. El Gobierno y el PNUD estaban realizando sus mejores esfuerzos para cerciorarse de que todas las conversiones restantes en empresas de fabricación de espumas de poliuretano se completaran a más tardar el 1 de enero de 2022, en consonancia con la prohibición prevista de las importaciones y del uso del HCFC-141b contenido en los </w:t>
      </w:r>
      <w:proofErr w:type="spellStart"/>
      <w:r w:rsidRPr="00AF751E">
        <w:rPr>
          <w:lang w:val="es-ES"/>
        </w:rPr>
        <w:t>polioles</w:t>
      </w:r>
      <w:proofErr w:type="spellEnd"/>
      <w:r w:rsidRPr="00AF751E">
        <w:rPr>
          <w:lang w:val="es-ES"/>
        </w:rPr>
        <w:t xml:space="preserve"> premezclados y la eliminación de los usos del HCFC</w:t>
      </w:r>
      <w:r w:rsidRPr="00AF751E">
        <w:rPr>
          <w:lang w:val="es-ES"/>
        </w:rPr>
        <w:noBreakHyphen/>
        <w:t xml:space="preserve">141b, con excepción </w:t>
      </w:r>
      <w:r w:rsidRPr="00AF751E">
        <w:rPr>
          <w:lang w:val="es-ES"/>
        </w:rPr>
        <w:lastRenderedPageBreak/>
        <w:t>del sector de disolventes, para el 1 de enero de 2022; sin embargo, en el momento de terminar el presente documento, el país entraba de nuevo en un período de aislamiento debido a la pandemia del COVID-19 y, por consiguiente, la conversión de las empresas posiblemente quede terminada después del 1 de enero de 2022. El PNUD proporcionaría una actualización del estado de las conversiones en las empresas de fabricación de espumas de poliuretano a la 88</w:t>
      </w:r>
      <w:r w:rsidRPr="00AF751E">
        <w:rPr>
          <w:vertAlign w:val="superscript"/>
          <w:lang w:val="es-ES"/>
        </w:rPr>
        <w:t>a</w:t>
      </w:r>
      <w:r w:rsidRPr="00AF751E">
        <w:rPr>
          <w:lang w:val="es-ES"/>
        </w:rPr>
        <w:t xml:space="preserve"> reunión como parte de la solicitud para el tercer tramo de la etapa II del plan de gestión de eliminación de los HCFC. </w:t>
      </w:r>
    </w:p>
    <w:p w14:paraId="7BF2A49C" w14:textId="77777777" w:rsidR="00AF751E" w:rsidRPr="00AF751E" w:rsidRDefault="00AF751E" w:rsidP="00AF751E">
      <w:pPr>
        <w:pStyle w:val="Heading1"/>
        <w:rPr>
          <w:lang w:val="es-ES"/>
        </w:rPr>
      </w:pPr>
      <w:r w:rsidRPr="00AF751E">
        <w:rPr>
          <w:lang w:val="es-ES"/>
        </w:rPr>
        <w:t xml:space="preserve">Las 15 empresas pequeñas y medianas que decidieron retirarse del proyecto cuentan con una capacidad técnica limitada y, por consiguiente, es probable que se beneficien de la asistencia para la conversión prevista por el Fondo Multilateral. Por esa razón, la Secretaría preguntó si se había tomado en consideración una demora limitada de manera que las empresas pudieran realizar la conversión </w:t>
      </w:r>
      <w:bookmarkStart w:id="1" w:name="_Hlk71711737"/>
      <w:r w:rsidRPr="00AF751E">
        <w:rPr>
          <w:lang w:val="es-ES"/>
        </w:rPr>
        <w:t xml:space="preserve">a alternativas de bajo PCA y recibir financiación </w:t>
      </w:r>
      <w:bookmarkEnd w:id="1"/>
      <w:r w:rsidRPr="00AF751E">
        <w:rPr>
          <w:lang w:val="es-ES"/>
        </w:rPr>
        <w:t xml:space="preserve">con arreglo al plan de gestión de eliminación de los HCFC. El PNUD consideró que en lo inmediato era probable que persistieran los obstáculos a la conversión de esas empresas. Por otra parte, se había detectado una empresa admisible que estaba lista para su conversión a una alternativa de bajo PCA y que deseaba participar en el plan de gestión de eliminación de los HCFC. En consecuencia, el Gobierno deseaba reasignar las economías derivadas del retiro de las 15 </w:t>
      </w:r>
      <w:proofErr w:type="gramStart"/>
      <w:r w:rsidRPr="00AF751E">
        <w:rPr>
          <w:lang w:val="es-ES"/>
        </w:rPr>
        <w:t>empresas  para</w:t>
      </w:r>
      <w:proofErr w:type="gramEnd"/>
      <w:r w:rsidRPr="00AF751E">
        <w:rPr>
          <w:lang w:val="es-ES"/>
        </w:rPr>
        <w:t xml:space="preserve"> la conversión de </w:t>
      </w:r>
      <w:proofErr w:type="spellStart"/>
      <w:r w:rsidRPr="00AF751E">
        <w:rPr>
          <w:lang w:val="es-ES"/>
        </w:rPr>
        <w:t>Thermofoam</w:t>
      </w:r>
      <w:proofErr w:type="spellEnd"/>
      <w:r w:rsidRPr="00AF751E">
        <w:rPr>
          <w:lang w:val="es-ES"/>
        </w:rPr>
        <w:t xml:space="preserve"> Marketing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xml:space="preserve">, y confirmó que entendía que en adelante esas 15 empresas no serían admisibles para la financiación de la reducción de los HFC con cargo al Fondo Multilateral. </w:t>
      </w:r>
    </w:p>
    <w:p w14:paraId="26A1F254" w14:textId="77777777" w:rsidR="00AF751E" w:rsidRPr="00AF751E" w:rsidRDefault="00AF751E" w:rsidP="00AF751E">
      <w:pPr>
        <w:pStyle w:val="Heading1"/>
        <w:rPr>
          <w:lang w:val="es-ES"/>
        </w:rPr>
      </w:pPr>
      <w:r w:rsidRPr="00AF751E">
        <w:rPr>
          <w:lang w:val="es-ES"/>
        </w:rPr>
        <w:t xml:space="preserve">El PNUD confirmó que </w:t>
      </w:r>
      <w:proofErr w:type="spellStart"/>
      <w:r w:rsidRPr="00AF751E">
        <w:rPr>
          <w:lang w:val="es-ES"/>
        </w:rPr>
        <w:t>Thermofoam</w:t>
      </w:r>
      <w:proofErr w:type="spellEnd"/>
      <w:r w:rsidRPr="00AF751E">
        <w:rPr>
          <w:lang w:val="es-ES"/>
        </w:rPr>
        <w:t xml:space="preserve"> Marketing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xml:space="preserve"> es una empresa de propiedad totalmente local que consumía HCFC-141b antes del 21 de septiembre de 2007, fecha límite establecida para la admisibilidad. Por tanto, la Secretaría emprendió una evaluación detallada de los adicionales admisibles para realizar la conversión en la empresa. Con arreglo a los costos convenidos en relación con las otras 10 empresas fabricantes de espumas, cuyo consumo superaba las 20 </w:t>
      </w:r>
      <w:proofErr w:type="spellStart"/>
      <w:r w:rsidRPr="00AF751E">
        <w:rPr>
          <w:lang w:val="es-ES"/>
        </w:rPr>
        <w:t>tm</w:t>
      </w:r>
      <w:proofErr w:type="spellEnd"/>
      <w:r w:rsidRPr="00AF751E">
        <w:rPr>
          <w:lang w:val="es-ES"/>
        </w:rPr>
        <w:t xml:space="preserve"> en 2015 que ya se habían convertido a </w:t>
      </w:r>
      <w:proofErr w:type="spellStart"/>
      <w:r w:rsidRPr="00AF751E">
        <w:rPr>
          <w:lang w:val="es-ES"/>
        </w:rPr>
        <w:t>ciclopentano</w:t>
      </w:r>
      <w:proofErr w:type="spellEnd"/>
      <w:r w:rsidRPr="00AF751E">
        <w:rPr>
          <w:lang w:val="es-ES"/>
        </w:rPr>
        <w:t xml:space="preserve"> puro o premezclado, la empresa sería admisible para un total de 205.818 $EUA. En consecuencia, la Secretaría recomendó la reasignación de </w:t>
      </w:r>
      <w:r w:rsidRPr="00AF751E">
        <w:rPr>
          <w:bCs/>
          <w:lang w:val="es-ES"/>
        </w:rPr>
        <w:t xml:space="preserve">169.281 $EUA obtenida del retiro de las 15 empresas pequeñas y medianas incluidas en el cuadro 6 a la conversión de </w:t>
      </w:r>
      <w:proofErr w:type="spellStart"/>
      <w:r w:rsidRPr="00AF751E">
        <w:rPr>
          <w:lang w:val="es-ES"/>
        </w:rPr>
        <w:t>Thermofoam</w:t>
      </w:r>
      <w:proofErr w:type="spellEnd"/>
      <w:r w:rsidRPr="00AF751E">
        <w:rPr>
          <w:lang w:val="es-ES"/>
        </w:rPr>
        <w:t xml:space="preserve"> Marketing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xml:space="preserve"> al </w:t>
      </w:r>
      <w:proofErr w:type="spellStart"/>
      <w:r w:rsidRPr="00AF751E">
        <w:rPr>
          <w:lang w:val="es-ES"/>
        </w:rPr>
        <w:t>ciclopentano</w:t>
      </w:r>
      <w:proofErr w:type="spellEnd"/>
      <w:r w:rsidRPr="00AF751E">
        <w:rPr>
          <w:lang w:val="es-ES"/>
        </w:rPr>
        <w:t xml:space="preserve"> premezclado. El PNUD confirmó que la empresa cofinanciaría los 36.537 $EUA (es decir, 205.818 $EUA menos </w:t>
      </w:r>
      <w:r w:rsidRPr="00AF751E">
        <w:rPr>
          <w:bCs/>
          <w:lang w:val="es-ES"/>
        </w:rPr>
        <w:t>169.281 $EUA), que habría podido recibir además de cualquier costo adicional relacionado con la conversión</w:t>
      </w:r>
      <w:r w:rsidRPr="00AF751E">
        <w:rPr>
          <w:lang w:val="es-ES"/>
        </w:rPr>
        <w:t xml:space="preserve">. </w:t>
      </w:r>
    </w:p>
    <w:p w14:paraId="2DDA4B85" w14:textId="77777777" w:rsidR="00AF751E" w:rsidRPr="00AF751E" w:rsidRDefault="00AF751E" w:rsidP="00AF751E">
      <w:pPr>
        <w:widowControl w:val="0"/>
        <w:spacing w:after="240"/>
        <w:rPr>
          <w:b/>
          <w:lang w:val="en-CA"/>
        </w:rPr>
      </w:pPr>
      <w:proofErr w:type="spellStart"/>
      <w:r w:rsidRPr="00AF751E">
        <w:rPr>
          <w:b/>
          <w:lang w:val="en-CA"/>
        </w:rPr>
        <w:t>Recomendación</w:t>
      </w:r>
      <w:proofErr w:type="spellEnd"/>
    </w:p>
    <w:p w14:paraId="2A900057" w14:textId="77777777" w:rsidR="00AF751E" w:rsidRPr="00AF751E" w:rsidRDefault="00AF751E" w:rsidP="00AF751E">
      <w:pPr>
        <w:widowControl w:val="0"/>
        <w:numPr>
          <w:ilvl w:val="0"/>
          <w:numId w:val="1"/>
        </w:numPr>
        <w:spacing w:after="240"/>
        <w:outlineLvl w:val="0"/>
        <w:rPr>
          <w:lang w:val="es-ES"/>
        </w:rPr>
      </w:pPr>
      <w:r w:rsidRPr="00AF751E">
        <w:rPr>
          <w:lang w:val="es-ES"/>
        </w:rPr>
        <w:t>El Comité Ejecutivo tal vez desee:</w:t>
      </w:r>
    </w:p>
    <w:p w14:paraId="7169C6F8" w14:textId="77777777" w:rsidR="00AF751E" w:rsidRPr="00AF751E" w:rsidRDefault="00AF751E" w:rsidP="00AF751E">
      <w:pPr>
        <w:pStyle w:val="Heading2"/>
        <w:rPr>
          <w:lang w:val="es-ES"/>
        </w:rPr>
      </w:pPr>
      <w:r w:rsidRPr="00AF751E">
        <w:rPr>
          <w:lang w:val="es-ES"/>
        </w:rPr>
        <w:t xml:space="preserve">Tomar nota de las solicitudes presentadas por el PNUD en nombre del Gobierno de Malasia para el cambio de tecnología en nueve empresas fabricantes de espumas incluida en la etapa II del plan de gestión de eliminación de los </w:t>
      </w:r>
      <w:proofErr w:type="gramStart"/>
      <w:r w:rsidRPr="00AF751E">
        <w:rPr>
          <w:lang w:val="es-ES"/>
        </w:rPr>
        <w:t>HCFC  y</w:t>
      </w:r>
      <w:proofErr w:type="gramEnd"/>
      <w:r w:rsidRPr="00AF751E">
        <w:rPr>
          <w:lang w:val="es-ES"/>
        </w:rPr>
        <w:t xml:space="preserve"> la conversión de otra empresa de espumas que no se había incluido en la etapa II, que figura en el documento UNEP/OzL.Pro/ExCom/87/9;</w:t>
      </w:r>
    </w:p>
    <w:p w14:paraId="02030F3C" w14:textId="77777777" w:rsidR="00AF751E" w:rsidRPr="00AF751E" w:rsidRDefault="00AF751E" w:rsidP="00AF751E">
      <w:pPr>
        <w:pStyle w:val="Heading2"/>
        <w:rPr>
          <w:lang w:val="es-ES"/>
        </w:rPr>
      </w:pPr>
      <w:r w:rsidRPr="00AF751E">
        <w:rPr>
          <w:lang w:val="es-ES"/>
        </w:rPr>
        <w:t>Tomar nota de:</w:t>
      </w:r>
    </w:p>
    <w:p w14:paraId="4A6C1D14" w14:textId="77777777" w:rsidR="00AF751E" w:rsidRPr="00AF751E" w:rsidRDefault="00AF751E" w:rsidP="00AF751E">
      <w:pPr>
        <w:pStyle w:val="Heading3"/>
        <w:rPr>
          <w:lang w:val="es-ES"/>
        </w:rPr>
      </w:pPr>
      <w:r w:rsidRPr="00AF751E">
        <w:rPr>
          <w:lang w:val="es-ES"/>
        </w:rPr>
        <w:t xml:space="preserve">El cambio de tecnología de cuatro empresas que usaban </w:t>
      </w:r>
      <w:proofErr w:type="spellStart"/>
      <w:r w:rsidRPr="00AF751E">
        <w:rPr>
          <w:lang w:val="es-ES"/>
        </w:rPr>
        <w:t>hidrofluorooleofinos</w:t>
      </w:r>
      <w:proofErr w:type="spellEnd"/>
      <w:r w:rsidRPr="00AF751E">
        <w:rPr>
          <w:lang w:val="es-ES"/>
        </w:rPr>
        <w:t xml:space="preserve"> (HFO) a </w:t>
      </w:r>
      <w:proofErr w:type="spellStart"/>
      <w:r w:rsidRPr="00AF751E">
        <w:rPr>
          <w:lang w:val="es-ES"/>
        </w:rPr>
        <w:t>ciclopentano</w:t>
      </w:r>
      <w:proofErr w:type="spellEnd"/>
      <w:r w:rsidRPr="00AF751E">
        <w:rPr>
          <w:lang w:val="es-ES"/>
        </w:rPr>
        <w:t xml:space="preserve"> premezclado y de cinco empresas a </w:t>
      </w:r>
      <w:proofErr w:type="spellStart"/>
      <w:r w:rsidRPr="00AF751E">
        <w:rPr>
          <w:lang w:val="es-ES"/>
        </w:rPr>
        <w:t>metilal</w:t>
      </w:r>
      <w:proofErr w:type="spellEnd"/>
      <w:r w:rsidRPr="00AF751E">
        <w:rPr>
          <w:lang w:val="es-ES"/>
        </w:rPr>
        <w:t>, en el contexto de la etapa II del plan de gestión de eliminación de los HCFC;</w:t>
      </w:r>
    </w:p>
    <w:p w14:paraId="30A46F85" w14:textId="77777777" w:rsidR="00AF751E" w:rsidRPr="00AF751E" w:rsidRDefault="00AF751E" w:rsidP="00AF751E">
      <w:pPr>
        <w:pStyle w:val="Heading3"/>
        <w:rPr>
          <w:lang w:val="es-ES"/>
        </w:rPr>
      </w:pPr>
      <w:r w:rsidRPr="00AF751E">
        <w:rPr>
          <w:lang w:val="es-ES"/>
        </w:rPr>
        <w:t xml:space="preserve">El retiro de 15 empresas pequeñas de espumas de la etapa II del plan de gestión de eliminación de los HCFC; </w:t>
      </w:r>
    </w:p>
    <w:p w14:paraId="2F571756" w14:textId="77777777" w:rsidR="00AF751E" w:rsidRPr="00AF751E" w:rsidRDefault="00AF751E" w:rsidP="00305D02">
      <w:pPr>
        <w:pStyle w:val="Heading3"/>
        <w:keepNext/>
        <w:keepLines/>
        <w:rPr>
          <w:lang w:val="es-ES"/>
        </w:rPr>
      </w:pPr>
      <w:r w:rsidRPr="00AF751E">
        <w:rPr>
          <w:lang w:val="es-ES"/>
        </w:rPr>
        <w:lastRenderedPageBreak/>
        <w:t xml:space="preserve">La reasignación de 169.281 $EUA de las economías logradas con el retiro de las 15 empresas mencionadas en el apartado b) ii) precedente a la conversión de </w:t>
      </w:r>
      <w:proofErr w:type="spellStart"/>
      <w:r w:rsidRPr="00AF751E">
        <w:rPr>
          <w:lang w:val="es-ES"/>
        </w:rPr>
        <w:t>Thermofoam</w:t>
      </w:r>
      <w:proofErr w:type="spellEnd"/>
      <w:r w:rsidRPr="00AF751E">
        <w:rPr>
          <w:lang w:val="es-ES"/>
        </w:rPr>
        <w:t xml:space="preserve"> Marketing </w:t>
      </w:r>
      <w:proofErr w:type="spellStart"/>
      <w:r w:rsidRPr="00AF751E">
        <w:rPr>
          <w:lang w:val="es-ES"/>
        </w:rPr>
        <w:t>Sdn</w:t>
      </w:r>
      <w:proofErr w:type="spellEnd"/>
      <w:r w:rsidRPr="00AF751E">
        <w:rPr>
          <w:lang w:val="es-ES"/>
        </w:rPr>
        <w:t xml:space="preserve"> </w:t>
      </w:r>
      <w:proofErr w:type="spellStart"/>
      <w:r w:rsidRPr="00AF751E">
        <w:rPr>
          <w:lang w:val="es-ES"/>
        </w:rPr>
        <w:t>Bhd</w:t>
      </w:r>
      <w:proofErr w:type="spellEnd"/>
      <w:r w:rsidRPr="00AF751E">
        <w:rPr>
          <w:lang w:val="es-ES"/>
        </w:rPr>
        <w:t xml:space="preserve"> a </w:t>
      </w:r>
      <w:proofErr w:type="spellStart"/>
      <w:r w:rsidRPr="00AF751E">
        <w:rPr>
          <w:lang w:val="es-ES"/>
        </w:rPr>
        <w:t>ciclopentano</w:t>
      </w:r>
      <w:proofErr w:type="spellEnd"/>
      <w:r w:rsidRPr="00AF751E">
        <w:rPr>
          <w:lang w:val="es-ES"/>
        </w:rPr>
        <w:t xml:space="preserve"> premezclado; </w:t>
      </w:r>
    </w:p>
    <w:p w14:paraId="3B2705CD" w14:textId="77777777" w:rsidR="00AF751E" w:rsidRPr="00AF751E" w:rsidRDefault="00AF751E" w:rsidP="00305D02">
      <w:pPr>
        <w:pStyle w:val="Heading3"/>
        <w:keepNext/>
        <w:keepLines/>
        <w:rPr>
          <w:lang w:val="es-ES"/>
        </w:rPr>
      </w:pPr>
      <w:r w:rsidRPr="00AF751E">
        <w:rPr>
          <w:lang w:val="es-ES"/>
        </w:rPr>
        <w:t>Que el PNUD presentará a la 88</w:t>
      </w:r>
      <w:r w:rsidRPr="00AF751E">
        <w:rPr>
          <w:vertAlign w:val="superscript"/>
          <w:lang w:val="es-ES"/>
        </w:rPr>
        <w:t>a</w:t>
      </w:r>
      <w:r w:rsidRPr="00AF751E">
        <w:rPr>
          <w:lang w:val="es-ES"/>
        </w:rPr>
        <w:t xml:space="preserve"> reunión una actualización del estado de las conversiones en la fabricación de espumas de poliuretano como parte de la solicitud para el tercer tramo de la etapa II del plan de gestión de eliminación de los HCFC; </w:t>
      </w:r>
    </w:p>
    <w:p w14:paraId="63164EDB" w14:textId="77777777" w:rsidR="00AF751E" w:rsidRPr="00AF751E" w:rsidRDefault="00AF751E" w:rsidP="00AF751E">
      <w:pPr>
        <w:keepNext/>
        <w:keepLines/>
        <w:widowControl w:val="0"/>
        <w:numPr>
          <w:ilvl w:val="1"/>
          <w:numId w:val="1"/>
        </w:numPr>
        <w:spacing w:after="240"/>
        <w:outlineLvl w:val="1"/>
        <w:rPr>
          <w:lang w:val="en-CA"/>
        </w:rPr>
      </w:pPr>
      <w:proofErr w:type="spellStart"/>
      <w:r w:rsidRPr="00AF751E">
        <w:rPr>
          <w:lang w:val="en-CA"/>
        </w:rPr>
        <w:t>Aprobar</w:t>
      </w:r>
      <w:proofErr w:type="spellEnd"/>
      <w:r w:rsidRPr="00AF751E">
        <w:rPr>
          <w:lang w:val="en-CA"/>
        </w:rPr>
        <w:t>:</w:t>
      </w:r>
    </w:p>
    <w:p w14:paraId="69DC090A" w14:textId="77777777" w:rsidR="00AF751E" w:rsidRPr="00AF751E" w:rsidRDefault="00AF751E" w:rsidP="00AF751E">
      <w:pPr>
        <w:pStyle w:val="Heading3"/>
        <w:rPr>
          <w:lang w:val="es-ES"/>
        </w:rPr>
      </w:pPr>
      <w:r w:rsidRPr="00AF751E">
        <w:rPr>
          <w:lang w:val="es-ES"/>
        </w:rPr>
        <w:t xml:space="preserve">El cambio de tecnología de cuatro empresas que usaban HFO a </w:t>
      </w:r>
      <w:proofErr w:type="spellStart"/>
      <w:r w:rsidRPr="00AF751E">
        <w:rPr>
          <w:lang w:val="es-ES"/>
        </w:rPr>
        <w:t>ciclopentano</w:t>
      </w:r>
      <w:proofErr w:type="spellEnd"/>
      <w:r w:rsidRPr="00AF751E">
        <w:rPr>
          <w:lang w:val="es-ES"/>
        </w:rPr>
        <w:t xml:space="preserve"> premezclado y de otras cinco empresas a </w:t>
      </w:r>
      <w:proofErr w:type="spellStart"/>
      <w:r w:rsidRPr="00AF751E">
        <w:rPr>
          <w:lang w:val="es-ES"/>
        </w:rPr>
        <w:t>metilal</w:t>
      </w:r>
      <w:proofErr w:type="spellEnd"/>
      <w:r w:rsidRPr="00AF751E">
        <w:rPr>
          <w:lang w:val="es-ES"/>
        </w:rPr>
        <w:t>, sobreentendiéndose que cualquier costo adicional sería sufragado por esas empresas y que la fecha para completar la conversión de la empresa no se demoraría debido al cambio de tecnología; y</w:t>
      </w:r>
    </w:p>
    <w:p w14:paraId="3953AA89" w14:textId="77777777" w:rsidR="00AF751E" w:rsidRPr="00AF751E" w:rsidRDefault="00AF751E" w:rsidP="00AF751E">
      <w:pPr>
        <w:pStyle w:val="Heading3"/>
        <w:rPr>
          <w:lang w:val="es-ES"/>
        </w:rPr>
      </w:pPr>
      <w:r w:rsidRPr="00AF751E">
        <w:rPr>
          <w:lang w:val="es-ES"/>
        </w:rPr>
        <w:t xml:space="preserve">La reasignación de 169.281 $EUA de las economías logradas gracias al retiro de las 15 empresas a las que se hace referencia en el párrafo b) ii) precedente a la reconversión de </w:t>
      </w:r>
      <w:proofErr w:type="spellStart"/>
      <w:r w:rsidRPr="00AF751E">
        <w:rPr>
          <w:bCs/>
          <w:lang w:val="es-ES"/>
        </w:rPr>
        <w:t>Thermofoam</w:t>
      </w:r>
      <w:proofErr w:type="spellEnd"/>
      <w:r w:rsidRPr="00AF751E">
        <w:rPr>
          <w:bCs/>
          <w:lang w:val="es-ES"/>
        </w:rPr>
        <w:t xml:space="preserve"> Marketing </w:t>
      </w:r>
      <w:proofErr w:type="spellStart"/>
      <w:r w:rsidRPr="00AF751E">
        <w:rPr>
          <w:bCs/>
          <w:lang w:val="es-ES"/>
        </w:rPr>
        <w:t>Sdn</w:t>
      </w:r>
      <w:proofErr w:type="spellEnd"/>
      <w:r w:rsidRPr="00AF751E">
        <w:rPr>
          <w:bCs/>
          <w:lang w:val="es-ES"/>
        </w:rPr>
        <w:t xml:space="preserve"> </w:t>
      </w:r>
      <w:proofErr w:type="spellStart"/>
      <w:r w:rsidRPr="00AF751E">
        <w:rPr>
          <w:bCs/>
          <w:lang w:val="es-ES"/>
        </w:rPr>
        <w:t>Bhd</w:t>
      </w:r>
      <w:proofErr w:type="spellEnd"/>
      <w:r w:rsidRPr="00AF751E">
        <w:rPr>
          <w:bCs/>
          <w:lang w:val="es-ES"/>
        </w:rPr>
        <w:t xml:space="preserve"> a </w:t>
      </w:r>
      <w:proofErr w:type="spellStart"/>
      <w:r w:rsidRPr="00AF751E">
        <w:rPr>
          <w:bCs/>
          <w:lang w:val="es-ES"/>
        </w:rPr>
        <w:t>ciclopentano</w:t>
      </w:r>
      <w:proofErr w:type="spellEnd"/>
      <w:r w:rsidRPr="00AF751E">
        <w:rPr>
          <w:bCs/>
          <w:lang w:val="es-ES"/>
        </w:rPr>
        <w:t xml:space="preserve"> premezclado</w:t>
      </w:r>
      <w:r w:rsidRPr="00AF751E">
        <w:rPr>
          <w:lang w:val="es-ES"/>
        </w:rPr>
        <w:t>, sobreentendiéndose que cualquier costo adicional de la conversión sería sufragado por esa empresa y que las 15 empresas mencionadas en el párrafo b) ii) precedente no serían admisibles en el futuro para recibir financiación del Fondo Multilateral destinada a reducir los HFC.</w:t>
      </w:r>
    </w:p>
    <w:p w14:paraId="5158C480" w14:textId="77777777" w:rsidR="00AF751E" w:rsidRPr="00A22BE4" w:rsidRDefault="00AF751E" w:rsidP="00AF751E">
      <w:pPr>
        <w:keepNext/>
        <w:keepLines/>
        <w:spacing w:after="240"/>
        <w:jc w:val="left"/>
        <w:rPr>
          <w:lang w:val="es-ES_tradnl"/>
        </w:rPr>
      </w:pPr>
      <w:r w:rsidRPr="00D17F84">
        <w:rPr>
          <w:u w:val="single"/>
          <w:lang w:val="es-ES_tradnl"/>
        </w:rPr>
        <w:t>México: Plan de gestión para la eliminación de HCFC (etapa</w:t>
      </w:r>
      <w:r w:rsidRPr="00A22BE4">
        <w:rPr>
          <w:u w:val="single"/>
          <w:lang w:val="es-ES_tradnl"/>
        </w:rPr>
        <w:t xml:space="preserve"> I, informe de avance</w:t>
      </w:r>
      <w:r w:rsidRPr="00A22BE4">
        <w:rPr>
          <w:lang w:val="es-ES_tradnl"/>
        </w:rPr>
        <w:t>) (ONUDI y PNUD)</w:t>
      </w:r>
    </w:p>
    <w:p w14:paraId="5577475A" w14:textId="77777777" w:rsidR="00AF751E" w:rsidRPr="00A22BE4" w:rsidRDefault="00AF751E" w:rsidP="00AF751E">
      <w:pPr>
        <w:keepNext/>
        <w:keepLines/>
        <w:spacing w:after="240"/>
        <w:rPr>
          <w:b/>
          <w:lang w:val="es-ES_tradnl"/>
        </w:rPr>
      </w:pPr>
      <w:r w:rsidRPr="00A22BE4">
        <w:rPr>
          <w:b/>
          <w:lang w:val="es-ES_tradnl"/>
        </w:rPr>
        <w:t>Antecedentes</w:t>
      </w:r>
    </w:p>
    <w:p w14:paraId="5BF93444" w14:textId="77777777" w:rsidR="00AF751E" w:rsidRPr="00A22BE4" w:rsidRDefault="00AF751E" w:rsidP="00AF751E">
      <w:pPr>
        <w:pStyle w:val="Heading1"/>
        <w:rPr>
          <w:lang w:val="es-ES_tradnl"/>
        </w:rPr>
      </w:pPr>
      <w:r w:rsidRPr="00A22BE4">
        <w:rPr>
          <w:lang w:val="es-ES_tradnl"/>
        </w:rPr>
        <w:t>Durante la 84ª reunión, el Comité Ejecutivo sometió a consideración el último informe de avance anual del programa de trabajo relativo al quinto y último tramo del PGEH para México,</w:t>
      </w:r>
      <w:r w:rsidRPr="00A22BE4">
        <w:rPr>
          <w:vertAlign w:val="superscript"/>
          <w:lang w:val="es-ES_tradnl"/>
        </w:rPr>
        <w:footnoteReference w:id="26"/>
      </w:r>
      <w:r w:rsidRPr="00A22BE4">
        <w:rPr>
          <w:lang w:val="es-ES_tradnl"/>
        </w:rPr>
        <w:t xml:space="preserve"> conforme a lo dispuesto en la decisión 75/29 a).</w:t>
      </w:r>
      <w:r w:rsidRPr="00A22BE4">
        <w:rPr>
          <w:vertAlign w:val="superscript"/>
          <w:lang w:val="es-ES_tradnl"/>
        </w:rPr>
        <w:footnoteReference w:id="27"/>
      </w:r>
    </w:p>
    <w:p w14:paraId="0256F61D" w14:textId="77777777" w:rsidR="00AF751E" w:rsidRPr="00A22BE4" w:rsidRDefault="00AF751E" w:rsidP="00AF751E">
      <w:pPr>
        <w:pStyle w:val="Heading1"/>
        <w:rPr>
          <w:lang w:val="es-ES_tradnl"/>
        </w:rPr>
      </w:pPr>
      <w:r w:rsidRPr="00A22BE4">
        <w:rPr>
          <w:lang w:val="es-ES_tradnl"/>
        </w:rPr>
        <w:t xml:space="preserve">Dicho informe indicaba que se ha dado cumplimiento a todas las actividades de inversión, que las actividades del sector servicio técnico estaban próximas a concluir, que se reintegrarían al Fondo los recursos correspondientes a una empresa de espuma de </w:t>
      </w:r>
      <w:proofErr w:type="spellStart"/>
      <w:r w:rsidRPr="00A22BE4">
        <w:rPr>
          <w:lang w:val="es-ES_tradnl"/>
        </w:rPr>
        <w:t>poliestireno</w:t>
      </w:r>
      <w:proofErr w:type="spellEnd"/>
      <w:r w:rsidRPr="00A22BE4">
        <w:rPr>
          <w:lang w:val="es-ES_tradnl"/>
        </w:rPr>
        <w:t xml:space="preserve"> extruido (Plásticos Espumados) que se retiró del plan y que, de conformidad con el Acuerdo entre el Gobierno y el Comité Ejecutivo, las operaciones de la etapa I del PGEH quedarían terminadas a más tardar el 31 de diciembre de 2019 y que el informe de finalización se presentaría a más tardar el 30 de junio de 2020, según lo dispuesto en la decisión 82/33 c). Visto lo anterior, el Comité Ejecutivo resolvió, entre otros, tomar nota de que:</w:t>
      </w:r>
    </w:p>
    <w:p w14:paraId="5D2C6F1B" w14:textId="77777777" w:rsidR="00AF751E" w:rsidRPr="00A22BE4" w:rsidRDefault="00AF751E" w:rsidP="00AF751E">
      <w:pPr>
        <w:pStyle w:val="Heading2"/>
        <w:rPr>
          <w:lang w:val="es-ES_tradnl"/>
        </w:rPr>
      </w:pPr>
      <w:r w:rsidRPr="00A22BE4">
        <w:rPr>
          <w:lang w:val="es-ES_tradnl"/>
        </w:rPr>
        <w:t>La empresa Plásticos Espumados se retiró de la etapa I del PGEH y que el financiamiento aprobado, en la suma de 683.300 $EUA, será reintegrado al Fondo en la 87ª reunión una vez producido el cierre financiero de la etapa I;</w:t>
      </w:r>
    </w:p>
    <w:p w14:paraId="0CAF3DF9" w14:textId="77777777" w:rsidR="00AF751E" w:rsidRPr="00A22BE4" w:rsidRDefault="00AF751E" w:rsidP="00AF751E">
      <w:pPr>
        <w:widowControl w:val="0"/>
        <w:numPr>
          <w:ilvl w:val="1"/>
          <w:numId w:val="1"/>
        </w:numPr>
        <w:spacing w:after="240"/>
        <w:outlineLvl w:val="1"/>
        <w:rPr>
          <w:lang w:val="es-ES_tradnl"/>
        </w:rPr>
      </w:pPr>
      <w:r w:rsidRPr="00A22BE4">
        <w:rPr>
          <w:lang w:val="es-ES_tradnl"/>
        </w:rPr>
        <w:t xml:space="preserve">El saldo de 24 $EUA que la ONUDI debía reintegrar en la 85ª reunión, así como el saldo estimado de 300.000 $EUA y cualquier otro remanente en el sector de servicio técnico que </w:t>
      </w:r>
      <w:r w:rsidRPr="00A22BE4">
        <w:rPr>
          <w:lang w:val="es-ES_tradnl"/>
        </w:rPr>
        <w:lastRenderedPageBreak/>
        <w:t>deban reintegrar el PNUD y la ONUDI, respectivamente, se reintegrarán en la 87ª reunión una vez producido el cierre financiero de la etapa I del PGEH; y</w:t>
      </w:r>
    </w:p>
    <w:p w14:paraId="39E937CC" w14:textId="77777777" w:rsidR="00AF751E" w:rsidRPr="00A22BE4" w:rsidRDefault="00AF751E" w:rsidP="00AF751E">
      <w:pPr>
        <w:pStyle w:val="Heading2"/>
        <w:rPr>
          <w:lang w:val="es-ES_tradnl"/>
        </w:rPr>
      </w:pPr>
      <w:r w:rsidRPr="00A22BE4">
        <w:rPr>
          <w:lang w:val="es-ES_tradnl"/>
        </w:rPr>
        <w:t>El PNUD y la ONUDI presentarán el informe final sobre el término de las restantes actividades de la etapa I del PGEH como parte del posterior informe de avance relativo a la etapa II, y el informe de finalización de la etapa I del proyecto a más tardar el 30 de junio de 2020, conforme a lo dispuesto en la decisión 82/33 c) (decisión 84/22).</w:t>
      </w:r>
    </w:p>
    <w:p w14:paraId="430E6BBE" w14:textId="77777777" w:rsidR="00AF751E" w:rsidRPr="00A22BE4" w:rsidRDefault="00AF751E" w:rsidP="00AF751E">
      <w:pPr>
        <w:pStyle w:val="Heading1"/>
        <w:rPr>
          <w:lang w:val="es-ES_tradnl"/>
        </w:rPr>
      </w:pPr>
      <w:r w:rsidRPr="00A22BE4">
        <w:rPr>
          <w:lang w:val="es-ES_tradnl"/>
        </w:rPr>
        <w:t>En respuesta a la decisión 84/22 b) y c), el 3 de julio de 2020 la ONUDI presentó el informe de finalización de la etapa I del PGEH y reintegró en la 86ª reunión los saldos remanentes de sus proyectos en los sectores espuma y servicio técnico,</w:t>
      </w:r>
      <w:r w:rsidRPr="00A22BE4">
        <w:rPr>
          <w:rStyle w:val="FootnoteReference"/>
          <w:lang w:val="es-ES_tradnl"/>
        </w:rPr>
        <w:footnoteReference w:id="28"/>
      </w:r>
      <w:r w:rsidRPr="00A22BE4">
        <w:rPr>
          <w:lang w:val="es-ES_tradnl"/>
        </w:rPr>
        <w:t xml:space="preserve"> consistentes en 3.615 $EUA más gastos de apoyo de 271 $EUA para el primer tramo</w:t>
      </w:r>
      <w:r w:rsidRPr="00A22BE4">
        <w:rPr>
          <w:rStyle w:val="FootnoteReference"/>
          <w:lang w:val="es-ES_tradnl"/>
        </w:rPr>
        <w:footnoteReference w:id="29"/>
      </w:r>
      <w:r w:rsidRPr="00A22BE4">
        <w:rPr>
          <w:lang w:val="es-ES_tradnl"/>
        </w:rPr>
        <w:t xml:space="preserve"> y 11.701 $EUA más gastos de apoyo de 878 $EUA para el quinto tramo.</w:t>
      </w:r>
      <w:r w:rsidRPr="00A22BE4">
        <w:rPr>
          <w:rStyle w:val="FootnoteReference"/>
          <w:lang w:val="es-ES_tradnl"/>
        </w:rPr>
        <w:footnoteReference w:id="30"/>
      </w:r>
      <w:r w:rsidRPr="00A22BE4">
        <w:rPr>
          <w:lang w:val="es-ES_tradnl"/>
        </w:rPr>
        <w:t xml:space="preserve"> El PNUD no entregó información.</w:t>
      </w:r>
    </w:p>
    <w:p w14:paraId="1B4841AD" w14:textId="77777777" w:rsidR="00AF751E" w:rsidRPr="00A22BE4" w:rsidRDefault="00AF751E" w:rsidP="00AF751E">
      <w:pPr>
        <w:keepNext/>
        <w:keepLines/>
        <w:spacing w:after="240"/>
        <w:outlineLvl w:val="0"/>
        <w:rPr>
          <w:b/>
          <w:lang w:val="es-ES_tradnl"/>
        </w:rPr>
      </w:pPr>
      <w:r w:rsidRPr="00A22BE4">
        <w:rPr>
          <w:b/>
          <w:lang w:val="es-ES_tradnl"/>
        </w:rPr>
        <w:t>Observaciones de la Secretaría</w:t>
      </w:r>
    </w:p>
    <w:p w14:paraId="3E0C41AB" w14:textId="77777777" w:rsidR="00AF751E" w:rsidRPr="00A22BE4" w:rsidRDefault="00AF751E" w:rsidP="00AF751E">
      <w:pPr>
        <w:pStyle w:val="Heading1"/>
        <w:rPr>
          <w:lang w:val="es-ES_tradnl"/>
        </w:rPr>
      </w:pPr>
      <w:r w:rsidRPr="00A22BE4">
        <w:rPr>
          <w:lang w:val="es-ES_tradnl"/>
        </w:rPr>
        <w:t xml:space="preserve">La Secretaría solicitó al PNUD informar sobre el reintegro de 683.300 $EUA correspondientes a Plásticos Espumados, empresa de espuma de </w:t>
      </w:r>
      <w:proofErr w:type="spellStart"/>
      <w:r w:rsidRPr="00A22BE4">
        <w:rPr>
          <w:lang w:val="es-ES_tradnl"/>
        </w:rPr>
        <w:t>poliestireno</w:t>
      </w:r>
      <w:proofErr w:type="spellEnd"/>
      <w:r w:rsidRPr="00A22BE4">
        <w:rPr>
          <w:lang w:val="es-ES_tradnl"/>
        </w:rPr>
        <w:t xml:space="preserve"> extruido que se retiró de la etapa I del PGEH; de la suma de 300.000 $EUA estimada como saldo del plan sectorial espuma de poliuretano, y de otros saldos correspondientes a actividades completadas en la etapa I del PGEH.</w:t>
      </w:r>
    </w:p>
    <w:p w14:paraId="77402352" w14:textId="77777777" w:rsidR="00AF751E" w:rsidRPr="00A22BE4" w:rsidRDefault="00AF751E" w:rsidP="00AF751E">
      <w:pPr>
        <w:pStyle w:val="Heading1"/>
        <w:rPr>
          <w:lang w:val="es-ES_tradnl"/>
        </w:rPr>
      </w:pPr>
      <w:r w:rsidRPr="00A22BE4">
        <w:rPr>
          <w:lang w:val="es-ES_tradnl"/>
        </w:rPr>
        <w:t>El PNUD explicó que las operaciones del plan sectorial habían concluido a fines del 2019, según lo acordado, pero que un incendio en una instalación contigua obligó a reprogramar de diciembre de 2019 a principios del 2020 la verificación in situ necesaria para hacer la evaluación de seguridad y autorizar el pago final a la última empresa de espuma en convertirse. Sin embargo, debido a las dificultades impuestas por la pandemia del Covid-19, la inspección y auditoría de seguridad sólo se pudo hacer a principios de 2021. El PNUD confirmó estar terminando el cierre financiero del proyecto y que reintegrará los fondos en la 88ª reunión.</w:t>
      </w:r>
    </w:p>
    <w:p w14:paraId="7297F7B3" w14:textId="77777777" w:rsidR="00AF751E" w:rsidRPr="00A22BE4" w:rsidRDefault="00AF751E" w:rsidP="00AF751E">
      <w:pPr>
        <w:rPr>
          <w:b/>
          <w:lang w:val="es-ES_tradnl"/>
        </w:rPr>
      </w:pPr>
      <w:r w:rsidRPr="00A22BE4">
        <w:rPr>
          <w:b/>
          <w:lang w:val="es-ES_tradnl"/>
        </w:rPr>
        <w:t>Recomendación</w:t>
      </w:r>
    </w:p>
    <w:p w14:paraId="4B06720E" w14:textId="77777777" w:rsidR="00AF751E" w:rsidRPr="00A22BE4" w:rsidRDefault="00AF751E" w:rsidP="00AF751E">
      <w:pPr>
        <w:rPr>
          <w:lang w:val="es-ES_tradnl"/>
        </w:rPr>
      </w:pPr>
    </w:p>
    <w:p w14:paraId="51526FCE" w14:textId="77777777" w:rsidR="00AF751E" w:rsidRPr="00A22BE4" w:rsidRDefault="00AF751E" w:rsidP="00AF751E">
      <w:pPr>
        <w:pStyle w:val="Heading1"/>
        <w:rPr>
          <w:lang w:val="es-ES_tradnl"/>
        </w:rPr>
      </w:pPr>
      <w:r w:rsidRPr="00A22BE4">
        <w:rPr>
          <w:lang w:val="es-ES_tradnl"/>
        </w:rPr>
        <w:t>El Comité Ejecutivo podrá estimar oportuno tomar nota de que:</w:t>
      </w:r>
    </w:p>
    <w:p w14:paraId="6298212D" w14:textId="77777777" w:rsidR="00AF751E" w:rsidRPr="00A22BE4" w:rsidRDefault="00AF751E" w:rsidP="00AF751E">
      <w:pPr>
        <w:pStyle w:val="Heading2"/>
        <w:rPr>
          <w:lang w:val="es-ES_tradnl"/>
        </w:rPr>
      </w:pPr>
      <w:r w:rsidRPr="00A22BE4">
        <w:rPr>
          <w:lang w:val="es-ES_tradnl"/>
        </w:rPr>
        <w:t>La postergación de la verificación y pago final a una empresa producto de la pandemia del Covid-19 impidió al PNUD concretar el cierre financiero de la etapa I del plan de gestión para la eliminación de HCFC (PGEH) para México al 31 de diciembre de 2020 y reintegrar los saldos en la 87ª reunión, como estaba previsto en la decisión 84/22 a) y b); y</w:t>
      </w:r>
    </w:p>
    <w:p w14:paraId="013DB868" w14:textId="77777777" w:rsidR="00AF751E" w:rsidRPr="00A22BE4" w:rsidRDefault="00AF751E" w:rsidP="00AF751E">
      <w:pPr>
        <w:pStyle w:val="Heading2"/>
        <w:rPr>
          <w:lang w:val="es-ES_tradnl"/>
        </w:rPr>
      </w:pPr>
      <w:r w:rsidRPr="00A22BE4">
        <w:rPr>
          <w:lang w:val="es-ES_tradnl"/>
        </w:rPr>
        <w:t>El PNUD realizará el cierre financiero de la etapa I del PGEH para México antes de la 88ª reunión y reintegrará en dicha reunión la suma de 683.300 $EUA aprobada para Plásticos Espumados, empresa que finalmente se retiró de la etapa I, así como un saldo estimado de 300.000 $EUA y cualquier otro saldo que reste de la etapa I del PGEH.</w:t>
      </w:r>
    </w:p>
    <w:p w14:paraId="37D82754" w14:textId="77777777" w:rsidR="00AF751E" w:rsidRPr="00A22BE4" w:rsidRDefault="00AF751E" w:rsidP="00AF751E">
      <w:pPr>
        <w:keepNext/>
        <w:spacing w:after="240"/>
        <w:rPr>
          <w:lang w:val="es-ES_tradnl"/>
        </w:rPr>
      </w:pPr>
      <w:r w:rsidRPr="00D17F84">
        <w:rPr>
          <w:u w:val="single"/>
          <w:lang w:val="es-ES_tradnl"/>
        </w:rPr>
        <w:lastRenderedPageBreak/>
        <w:t>Marruecos: Plan de gestión para la eliminación de HCFC (etapa I, informe de avance final</w:t>
      </w:r>
      <w:r w:rsidRPr="00D17F84">
        <w:rPr>
          <w:lang w:val="es-ES_tradnl"/>
        </w:rPr>
        <w:t>) (ONUDI)</w:t>
      </w:r>
    </w:p>
    <w:p w14:paraId="7A69882C" w14:textId="77777777" w:rsidR="00AF751E" w:rsidRPr="00A22BE4" w:rsidRDefault="00AF751E" w:rsidP="00AF751E">
      <w:pPr>
        <w:keepNext/>
        <w:spacing w:after="240"/>
        <w:rPr>
          <w:b/>
          <w:lang w:val="es-ES_tradnl"/>
        </w:rPr>
      </w:pPr>
      <w:r w:rsidRPr="00A22BE4">
        <w:rPr>
          <w:b/>
          <w:lang w:val="es-ES_tradnl"/>
        </w:rPr>
        <w:t>Antecedentes</w:t>
      </w:r>
    </w:p>
    <w:p w14:paraId="3D99F04D" w14:textId="77777777" w:rsidR="00AF751E" w:rsidRPr="00A22BE4" w:rsidRDefault="00AF751E" w:rsidP="00AF751E">
      <w:pPr>
        <w:pStyle w:val="Heading1"/>
        <w:rPr>
          <w:lang w:val="es-ES_tradnl"/>
        </w:rPr>
      </w:pPr>
      <w:r w:rsidRPr="00A22BE4">
        <w:rPr>
          <w:lang w:val="es-ES_tradnl"/>
        </w:rPr>
        <w:t>A nombre del Gobierno de Marruecos, la ONUDI, en calidad de principal organismo de ejecución, presentó el informe final de avance de la etapa I del PGEH</w:t>
      </w:r>
      <w:r w:rsidRPr="00A22BE4">
        <w:rPr>
          <w:rStyle w:val="FootnoteReference"/>
          <w:lang w:val="es-ES_tradnl"/>
        </w:rPr>
        <w:footnoteReference w:id="31"/>
      </w:r>
      <w:r w:rsidRPr="00A22BE4">
        <w:rPr>
          <w:lang w:val="es-ES_tradnl"/>
        </w:rPr>
        <w:t xml:space="preserve"> según lo dispuesto en la decisión 83/57 d).</w:t>
      </w:r>
      <w:r w:rsidRPr="00A22BE4">
        <w:rPr>
          <w:rStyle w:val="FootnoteReference"/>
          <w:lang w:val="es-ES_tradnl"/>
        </w:rPr>
        <w:footnoteReference w:id="32"/>
      </w:r>
    </w:p>
    <w:p w14:paraId="55A49E9A" w14:textId="77777777" w:rsidR="00AF751E" w:rsidRPr="00A22BE4" w:rsidRDefault="00AF751E" w:rsidP="00AF751E">
      <w:pPr>
        <w:spacing w:after="240"/>
        <w:rPr>
          <w:i/>
          <w:lang w:val="es-ES_tradnl"/>
        </w:rPr>
      </w:pPr>
      <w:r w:rsidRPr="00A22BE4">
        <w:rPr>
          <w:i/>
          <w:lang w:val="es-ES_tradnl"/>
        </w:rPr>
        <w:t>Consumo de HCFC</w:t>
      </w:r>
    </w:p>
    <w:p w14:paraId="2765519D" w14:textId="77777777" w:rsidR="00AF751E" w:rsidRPr="00A22BE4" w:rsidRDefault="00AF751E" w:rsidP="00AF751E">
      <w:pPr>
        <w:pStyle w:val="Heading1"/>
        <w:rPr>
          <w:lang w:val="es-ES_tradnl"/>
        </w:rPr>
      </w:pPr>
      <w:r w:rsidRPr="00A22BE4">
        <w:rPr>
          <w:lang w:val="es-ES_tradnl"/>
        </w:rPr>
        <w:t>Para el año 2020, el Gobierno de Marruecos informó en virtud del artículo 7 del Protocolo de Montreal un consumo de 25.23 toneladas PAO de HCFC, cifra 24 por ciento inferior a la meta de control de 33.38 toneladas PAO anuales y 51 por ciento inferior a la base de comparación de 51.35 toneladas PAO.</w:t>
      </w:r>
    </w:p>
    <w:p w14:paraId="74F8BB70" w14:textId="77777777" w:rsidR="00AF751E" w:rsidRPr="00A22BE4" w:rsidRDefault="00AF751E" w:rsidP="00AF751E">
      <w:pPr>
        <w:numPr>
          <w:ilvl w:val="0"/>
          <w:numId w:val="1"/>
        </w:numPr>
        <w:spacing w:after="240"/>
        <w:outlineLvl w:val="0"/>
        <w:rPr>
          <w:lang w:val="es-ES_tradnl"/>
        </w:rPr>
      </w:pPr>
      <w:r w:rsidRPr="00A22BE4">
        <w:rPr>
          <w:lang w:val="es-ES_tradnl"/>
        </w:rPr>
        <w:t>Los datos de consumo sectorial presentados por el Gobierno en el informe de ejecución del programa país 2019 concuerdan con lo informado en virtud del artículo 7 del Protocolo de Montreal.</w:t>
      </w:r>
    </w:p>
    <w:p w14:paraId="053BBBDD" w14:textId="77777777" w:rsidR="00AF751E" w:rsidRPr="00A22BE4" w:rsidRDefault="00AF751E" w:rsidP="00AF751E">
      <w:pPr>
        <w:keepNext/>
        <w:keepLines/>
        <w:spacing w:after="240"/>
        <w:rPr>
          <w:b/>
          <w:lang w:val="es-ES_tradnl"/>
        </w:rPr>
      </w:pPr>
      <w:r w:rsidRPr="00A22BE4">
        <w:rPr>
          <w:b/>
          <w:lang w:val="es-ES_tradnl"/>
        </w:rPr>
        <w:t>Informe de ejecución de la etapa I</w:t>
      </w:r>
    </w:p>
    <w:p w14:paraId="5FA2D0A5" w14:textId="77777777" w:rsidR="00AF751E" w:rsidRPr="00A22BE4" w:rsidRDefault="00AF751E" w:rsidP="00AF751E">
      <w:pPr>
        <w:pStyle w:val="Heading1"/>
        <w:rPr>
          <w:lang w:val="es-ES_tradnl"/>
        </w:rPr>
      </w:pPr>
      <w:r w:rsidRPr="00A22BE4">
        <w:rPr>
          <w:lang w:val="es-ES_tradnl"/>
        </w:rPr>
        <w:t>El país controla la importación de HCFC a través de un sistema de licencias y cuotas. En el 2014 se adoptó un sistema de licencias electrónicas que entró en operaciones en 2015. El 1º de enero de ese año, una vez terminado el proyecto de conversión en la empresa de espuma Manar Company, se prohibió el uso de HCFC-141b en estado puro. En cumplimiento de lo dispuesto en la Enmienda de Kigali, Marruecos se apresta a incluir los HFC en el sistema de licencias.</w:t>
      </w:r>
    </w:p>
    <w:p w14:paraId="042B2F19" w14:textId="77777777" w:rsidR="00AF751E" w:rsidRPr="00A22BE4" w:rsidRDefault="00AF751E" w:rsidP="00AF751E">
      <w:pPr>
        <w:pStyle w:val="Heading1"/>
        <w:rPr>
          <w:lang w:val="es-ES_tradnl"/>
        </w:rPr>
      </w:pPr>
      <w:r w:rsidRPr="00A22BE4">
        <w:rPr>
          <w:lang w:val="es-ES_tradnl"/>
        </w:rPr>
        <w:t>La ejecución del tercer tramo avanza según lo programado. Se han adquirido y entregado herramientas de servicio técnico a la oficina nacional del ozono; las actividades relativas a la capacitación de técnicos en buenas prácticas de servicio, tecnologías alternativas, asuntos de seguridad y correcto manejo de refrigerantes inflamables durante el mantenimiento están planificadas y se llevarán a cabo una vez levantadas las restricciones a reuniones y traslados impuestas por la pandemia del Covid-19.</w:t>
      </w:r>
    </w:p>
    <w:p w14:paraId="07BA8DCE" w14:textId="77777777" w:rsidR="00AF751E" w:rsidRPr="00A22BE4" w:rsidRDefault="00AF751E" w:rsidP="00AF751E">
      <w:pPr>
        <w:pStyle w:val="Heading1"/>
        <w:widowControl w:val="0"/>
        <w:rPr>
          <w:lang w:val="es-ES_tradnl"/>
        </w:rPr>
      </w:pPr>
      <w:r w:rsidRPr="00A22BE4">
        <w:rPr>
          <w:lang w:val="es-ES_tradnl"/>
        </w:rPr>
        <w:t xml:space="preserve">Durante el año 2020 se adquirieron y entregaron al país otros 16 identificadores de refrigerantes. Estos instrumentos permitirán cubrir las necesidades de las autoridades aduaneras, asistir a la asociación de industriales de la refrigeración en la lucha contra los refrigerantes adulterados y apoyar al </w:t>
      </w:r>
      <w:proofErr w:type="spellStart"/>
      <w:r w:rsidRPr="00692F92">
        <w:rPr>
          <w:i/>
          <w:lang w:val="es-419"/>
        </w:rPr>
        <w:t>Institut</w:t>
      </w:r>
      <w:proofErr w:type="spellEnd"/>
      <w:r w:rsidRPr="00692F92">
        <w:rPr>
          <w:i/>
          <w:lang w:val="es-419"/>
        </w:rPr>
        <w:t xml:space="preserve"> </w:t>
      </w:r>
      <w:proofErr w:type="spellStart"/>
      <w:r w:rsidRPr="00692F92">
        <w:rPr>
          <w:i/>
          <w:lang w:val="es-419"/>
        </w:rPr>
        <w:t>Spécialisé</w:t>
      </w:r>
      <w:proofErr w:type="spellEnd"/>
      <w:r w:rsidRPr="00692F92">
        <w:rPr>
          <w:i/>
          <w:lang w:val="es-419"/>
        </w:rPr>
        <w:t xml:space="preserve"> du </w:t>
      </w:r>
      <w:proofErr w:type="spellStart"/>
      <w:r w:rsidRPr="00692F92">
        <w:rPr>
          <w:i/>
          <w:lang w:val="es-419"/>
        </w:rPr>
        <w:t>Génie</w:t>
      </w:r>
      <w:proofErr w:type="spellEnd"/>
      <w:r w:rsidRPr="00692F92">
        <w:rPr>
          <w:i/>
          <w:lang w:val="es-419"/>
        </w:rPr>
        <w:t xml:space="preserve"> </w:t>
      </w:r>
      <w:proofErr w:type="spellStart"/>
      <w:r w:rsidRPr="00692F92">
        <w:rPr>
          <w:i/>
          <w:lang w:val="es-419"/>
        </w:rPr>
        <w:t>Thermique</w:t>
      </w:r>
      <w:proofErr w:type="spellEnd"/>
      <w:r w:rsidRPr="00692F92">
        <w:rPr>
          <w:i/>
          <w:lang w:val="es-419"/>
        </w:rPr>
        <w:t xml:space="preserve"> et du </w:t>
      </w:r>
      <w:proofErr w:type="spellStart"/>
      <w:r w:rsidRPr="00692F92">
        <w:rPr>
          <w:i/>
          <w:lang w:val="es-419"/>
        </w:rPr>
        <w:t>Froid</w:t>
      </w:r>
      <w:proofErr w:type="spellEnd"/>
      <w:r w:rsidRPr="00A22BE4">
        <w:rPr>
          <w:lang w:val="es-ES_tradnl"/>
        </w:rPr>
        <w:t xml:space="preserve"> en la capacitación de funcionarios aduaneros.</w:t>
      </w:r>
    </w:p>
    <w:p w14:paraId="1ADEC266" w14:textId="77777777" w:rsidR="00AF751E" w:rsidRPr="00A22BE4" w:rsidRDefault="00AF751E" w:rsidP="00AF751E">
      <w:pPr>
        <w:pStyle w:val="Heading1"/>
        <w:rPr>
          <w:lang w:val="es-ES_tradnl"/>
        </w:rPr>
      </w:pPr>
      <w:r w:rsidRPr="00A22BE4">
        <w:rPr>
          <w:lang w:val="es-ES_tradnl"/>
        </w:rPr>
        <w:t>Los materiales de capacitación en calidad de refrigerantes fueron actualizados y traducidos a los idiomas árabe y francés y entregados a la asociación de industriales para su uso en capacitación.</w:t>
      </w:r>
    </w:p>
    <w:p w14:paraId="6ED47D1F" w14:textId="77777777" w:rsidR="00AF751E" w:rsidRPr="00A22BE4" w:rsidRDefault="00AF751E" w:rsidP="00AF751E">
      <w:pPr>
        <w:spacing w:after="240"/>
        <w:outlineLvl w:val="0"/>
        <w:rPr>
          <w:lang w:val="es-ES_tradnl"/>
        </w:rPr>
      </w:pPr>
      <w:r w:rsidRPr="00A22BE4">
        <w:rPr>
          <w:u w:val="single"/>
          <w:lang w:val="es-ES_tradnl"/>
        </w:rPr>
        <w:t>Nivel de desembolso de fondos</w:t>
      </w:r>
    </w:p>
    <w:p w14:paraId="68D105B2" w14:textId="77777777" w:rsidR="00AF751E" w:rsidRPr="00A22BE4" w:rsidRDefault="00AF751E" w:rsidP="00AF751E">
      <w:pPr>
        <w:pStyle w:val="Heading1"/>
        <w:rPr>
          <w:lang w:val="es-ES_tradnl"/>
        </w:rPr>
      </w:pPr>
      <w:r w:rsidRPr="00A22BE4">
        <w:rPr>
          <w:lang w:val="es-ES_tradnl"/>
        </w:rPr>
        <w:t>Al mes de abril de 2021, de los 335.000 $EUA aprobados a la fecha ya se habían desembolsado 316.886 $EUA (95%). El saldo de 18.114 $EUA se desembolsará durante el año 2021.</w:t>
      </w:r>
    </w:p>
    <w:p w14:paraId="35D46C2F" w14:textId="77777777" w:rsidR="00AF751E" w:rsidRPr="00A22BE4" w:rsidRDefault="00AF751E" w:rsidP="00AF751E">
      <w:pPr>
        <w:rPr>
          <w:u w:val="single"/>
          <w:lang w:val="es-ES_tradnl"/>
        </w:rPr>
      </w:pPr>
      <w:r w:rsidRPr="00A22BE4">
        <w:rPr>
          <w:u w:val="single"/>
          <w:lang w:val="es-ES_tradnl"/>
        </w:rPr>
        <w:t>Término de la etapa I</w:t>
      </w:r>
    </w:p>
    <w:p w14:paraId="31471DD8" w14:textId="77777777" w:rsidR="00AF751E" w:rsidRPr="00A22BE4" w:rsidRDefault="00AF751E" w:rsidP="00AF751E">
      <w:pPr>
        <w:rPr>
          <w:lang w:val="es-ES_tradnl"/>
        </w:rPr>
      </w:pPr>
    </w:p>
    <w:p w14:paraId="1050A7FC" w14:textId="77777777" w:rsidR="00AF751E" w:rsidRPr="00A22BE4" w:rsidRDefault="00AF751E" w:rsidP="00AF751E">
      <w:pPr>
        <w:pStyle w:val="Heading1"/>
        <w:rPr>
          <w:lang w:val="es-ES_tradnl"/>
        </w:rPr>
      </w:pPr>
      <w:r w:rsidRPr="00A22BE4">
        <w:rPr>
          <w:lang w:val="es-ES_tradnl"/>
        </w:rPr>
        <w:t>Según informa la ONUDI, la etapa I del PGEH para Marruecos quedará terminada a fines de 2021, de conformidad con el párrafo 14 del Acuerdo.</w:t>
      </w:r>
    </w:p>
    <w:p w14:paraId="01493116" w14:textId="77777777" w:rsidR="00AF751E" w:rsidRPr="00A22BE4" w:rsidRDefault="00AF751E" w:rsidP="00AF751E">
      <w:pPr>
        <w:keepNext/>
        <w:spacing w:after="240"/>
        <w:rPr>
          <w:b/>
          <w:lang w:val="es-ES_tradnl"/>
        </w:rPr>
      </w:pPr>
      <w:r w:rsidRPr="00A22BE4">
        <w:rPr>
          <w:b/>
          <w:lang w:val="es-ES_tradnl"/>
        </w:rPr>
        <w:lastRenderedPageBreak/>
        <w:t>Observaciones de la Secretaría</w:t>
      </w:r>
    </w:p>
    <w:p w14:paraId="6FECD7DB" w14:textId="77777777" w:rsidR="00AF751E" w:rsidRPr="00A22BE4" w:rsidRDefault="00AF751E" w:rsidP="00AF751E">
      <w:pPr>
        <w:keepNext/>
        <w:numPr>
          <w:ilvl w:val="0"/>
          <w:numId w:val="1"/>
        </w:numPr>
        <w:spacing w:after="240"/>
        <w:outlineLvl w:val="0"/>
        <w:rPr>
          <w:lang w:val="es-ES_tradnl"/>
        </w:rPr>
      </w:pPr>
      <w:r w:rsidRPr="00A22BE4">
        <w:rPr>
          <w:lang w:val="es-ES_tradnl"/>
        </w:rPr>
        <w:t xml:space="preserve">La Secretaría advirtió con preocupación que no se adjunta un informe de verificación del consumo para el año 2020. La ONUDI explicó que para estos efectos estaba contemplado contratar a un consultor nacional, pero que la falta de </w:t>
      </w:r>
      <w:r w:rsidRPr="00A22BE4">
        <w:rPr>
          <w:bCs/>
          <w:lang w:val="es-ES_tradnl"/>
        </w:rPr>
        <w:t>personal</w:t>
      </w:r>
      <w:r w:rsidRPr="00A22BE4">
        <w:rPr>
          <w:lang w:val="es-ES_tradnl"/>
        </w:rPr>
        <w:t xml:space="preserve"> experto </w:t>
      </w:r>
      <w:r w:rsidRPr="00A22BE4">
        <w:rPr>
          <w:bCs/>
          <w:lang w:val="es-ES_tradnl"/>
        </w:rPr>
        <w:t xml:space="preserve">disponible impidió hacerlo en el primer trimestre de 2021. Por ello, el informe se presentará a la 88ª reunión, junto con la solicitud para la etapa II. Para la Secretaría es básico poder evaluar la etapa II del PGEH en base a datos verificados del consumo anual, por lo </w:t>
      </w:r>
      <w:proofErr w:type="gramStart"/>
      <w:r w:rsidRPr="00A22BE4">
        <w:rPr>
          <w:bCs/>
          <w:lang w:val="es-ES_tradnl"/>
        </w:rPr>
        <w:t>que</w:t>
      </w:r>
      <w:proofErr w:type="gramEnd"/>
      <w:r w:rsidRPr="00A22BE4">
        <w:rPr>
          <w:bCs/>
          <w:lang w:val="es-ES_tradnl"/>
        </w:rPr>
        <w:t xml:space="preserve"> de no presentarse un informe a la 88ª reunión, no podrá considerar</w:t>
      </w:r>
      <w:r w:rsidRPr="00A22BE4">
        <w:rPr>
          <w:lang w:val="es-ES_tradnl"/>
        </w:rPr>
        <w:t xml:space="preserve"> </w:t>
      </w:r>
      <w:r w:rsidRPr="00A22BE4">
        <w:rPr>
          <w:bCs/>
          <w:lang w:val="es-ES_tradnl"/>
        </w:rPr>
        <w:t>la etapa II del PGEH.</w:t>
      </w:r>
    </w:p>
    <w:p w14:paraId="6C21D59B" w14:textId="77777777" w:rsidR="00AF751E" w:rsidRPr="00A22BE4" w:rsidRDefault="00AF751E" w:rsidP="00AF751E">
      <w:pPr>
        <w:pStyle w:val="Heading1"/>
        <w:rPr>
          <w:lang w:val="es-ES_tradnl"/>
        </w:rPr>
      </w:pPr>
      <w:r w:rsidRPr="00A22BE4">
        <w:rPr>
          <w:lang w:val="es-ES_tradnl"/>
        </w:rPr>
        <w:t>Al analizar el informe de avance de la etapa I, la Secretaría advirtió un error en el Acuerdo modificado entre el Gobierno de Marruecos y el Comité Ejecutivo, consistente en que el Apéndice 2-A fijaba para el año 2020 una meta mayor a lo exigido en el cronograma de eliminación del Protocolo de Montreal. Esta materia se elevó ante el Gobierno por intermedio de la ONUDI, acordándose en definitiva corregir el Apéndice 2-A del Acuerdo actualizado que consta en el Anexo X al documento UNEP/OzL.Pro/ExCom/83/48</w:t>
      </w:r>
      <w:r w:rsidRPr="00A22BE4">
        <w:rPr>
          <w:rStyle w:val="FootnoteReference"/>
          <w:lang w:val="es-ES_tradnl"/>
        </w:rPr>
        <w:footnoteReference w:id="33"/>
      </w:r>
      <w:r w:rsidRPr="00A22BE4">
        <w:rPr>
          <w:lang w:val="es-ES_tradnl"/>
        </w:rPr>
        <w:t xml:space="preserve"> de la forma que sigue:</w:t>
      </w:r>
      <w:r w:rsidRPr="00A22BE4">
        <w:rPr>
          <w:rStyle w:val="FootnoteReference"/>
          <w:lang w:val="es-ES_tradnl"/>
        </w:rPr>
        <w:footnoteReference w:id="34"/>
      </w:r>
    </w:p>
    <w:p w14:paraId="690C9A03" w14:textId="77777777" w:rsidR="00AF751E" w:rsidRPr="00A22BE4" w:rsidRDefault="00AF751E" w:rsidP="00AF751E">
      <w:pPr>
        <w:pStyle w:val="Heading2"/>
        <w:rPr>
          <w:lang w:val="es-ES_tradnl"/>
        </w:rPr>
      </w:pPr>
      <w:r w:rsidRPr="00A22BE4">
        <w:rPr>
          <w:lang w:val="es-ES_tradnl"/>
        </w:rPr>
        <w:t>Renglones 1.1 y 1.2, respectivamente: las cifras de 43.33 toneladas PAO y 41.08 toneladas PAO se reemplazan por 33.38 toneladas PAO para el año 2020;</w:t>
      </w:r>
    </w:p>
    <w:p w14:paraId="237D44ED" w14:textId="77777777" w:rsidR="00AF751E" w:rsidRPr="00A22BE4" w:rsidRDefault="00AF751E" w:rsidP="00AF751E">
      <w:pPr>
        <w:pStyle w:val="Heading2"/>
        <w:rPr>
          <w:lang w:val="es-ES_tradnl"/>
        </w:rPr>
      </w:pPr>
      <w:r w:rsidRPr="00A22BE4">
        <w:rPr>
          <w:lang w:val="es-ES_tradnl"/>
        </w:rPr>
        <w:t>Renglón 4.1.1: la cifra de 2.57 toneladas PAO se reemplaza por 12.50 toneladas PAO;</w:t>
      </w:r>
    </w:p>
    <w:p w14:paraId="17C9F7CA" w14:textId="77777777" w:rsidR="00AF751E" w:rsidRPr="00A22BE4" w:rsidRDefault="00AF751E" w:rsidP="00AF751E">
      <w:pPr>
        <w:pStyle w:val="Heading2"/>
        <w:rPr>
          <w:lang w:val="es-ES_tradnl"/>
        </w:rPr>
      </w:pPr>
      <w:r w:rsidRPr="00A22BE4">
        <w:rPr>
          <w:lang w:val="es-ES_tradnl"/>
        </w:rPr>
        <w:t>Renglón 4.1.3: la cifra de 43.31 toneladas PAO se reemplaza por 33.38 toneladas PAO; y</w:t>
      </w:r>
    </w:p>
    <w:p w14:paraId="3A33C2FF" w14:textId="77777777" w:rsidR="00AF751E" w:rsidRPr="00A22BE4" w:rsidRDefault="00AF751E" w:rsidP="00AF751E">
      <w:pPr>
        <w:pStyle w:val="Heading2"/>
        <w:rPr>
          <w:lang w:val="es-ES_tradnl"/>
        </w:rPr>
      </w:pPr>
      <w:r w:rsidRPr="00A22BE4">
        <w:rPr>
          <w:lang w:val="es-ES_tradnl"/>
        </w:rPr>
        <w:t>Renglón 4.3.3: la cifra de 8.10 toneladas PAO se reemplaza por 7.90 toneladas PAO.</w:t>
      </w:r>
    </w:p>
    <w:p w14:paraId="6ECC7678" w14:textId="77777777" w:rsidR="00AF751E" w:rsidRPr="00A22BE4" w:rsidRDefault="00AF751E" w:rsidP="00AF751E">
      <w:pPr>
        <w:keepNext/>
        <w:keepLines/>
        <w:spacing w:after="240"/>
        <w:outlineLvl w:val="0"/>
        <w:rPr>
          <w:b/>
          <w:lang w:val="es-ES_tradnl"/>
        </w:rPr>
      </w:pPr>
      <w:r w:rsidRPr="00A22BE4">
        <w:rPr>
          <w:b/>
          <w:lang w:val="es-ES_tradnl"/>
        </w:rPr>
        <w:t>Recomendación</w:t>
      </w:r>
    </w:p>
    <w:p w14:paraId="34E9BE86" w14:textId="77777777" w:rsidR="00AF751E" w:rsidRPr="00A22BE4" w:rsidRDefault="00AF751E" w:rsidP="00AF751E">
      <w:pPr>
        <w:numPr>
          <w:ilvl w:val="0"/>
          <w:numId w:val="1"/>
        </w:numPr>
        <w:spacing w:after="240"/>
        <w:outlineLvl w:val="0"/>
        <w:rPr>
          <w:lang w:val="es-ES_tradnl"/>
        </w:rPr>
      </w:pPr>
      <w:r w:rsidRPr="00A22BE4">
        <w:rPr>
          <w:lang w:val="es-ES_tradnl"/>
        </w:rPr>
        <w:t>El Comité Ejecutivo podrá estimar oportuno tomar nota de:</w:t>
      </w:r>
    </w:p>
    <w:p w14:paraId="063EE7EF" w14:textId="77777777" w:rsidR="00AF751E" w:rsidRPr="00A22BE4" w:rsidRDefault="00AF751E" w:rsidP="00AF751E">
      <w:pPr>
        <w:widowControl w:val="0"/>
        <w:numPr>
          <w:ilvl w:val="1"/>
          <w:numId w:val="1"/>
        </w:numPr>
        <w:tabs>
          <w:tab w:val="num" w:pos="557"/>
        </w:tabs>
        <w:spacing w:after="240"/>
        <w:outlineLvl w:val="1"/>
        <w:rPr>
          <w:lang w:val="es-ES_tradnl"/>
        </w:rPr>
      </w:pPr>
      <w:r w:rsidRPr="00A22BE4">
        <w:rPr>
          <w:lang w:val="es-ES_tradnl"/>
        </w:rPr>
        <w:t>El informe final sobre la ejecución del programa de trabajo relativo al tercer y último tramo de la etapa I del plan de gestión para la eliminación de HCFC (PGEH) para Marruecos, presentado por la ONUDI y recogido en el documento UNEP/OzL.Pro/ExCom/87/9; y</w:t>
      </w:r>
    </w:p>
    <w:p w14:paraId="365479B7" w14:textId="77777777" w:rsidR="00AF751E" w:rsidRPr="00A22BE4" w:rsidRDefault="00AF751E" w:rsidP="00AF751E">
      <w:pPr>
        <w:pStyle w:val="Heading2"/>
        <w:rPr>
          <w:lang w:val="es-ES_tradnl"/>
        </w:rPr>
      </w:pPr>
      <w:r w:rsidRPr="00A22BE4">
        <w:rPr>
          <w:lang w:val="es-ES_tradnl"/>
        </w:rPr>
        <w:t>Que la ONUDI presentará el informe de verificación solicitado en la decisión 83/57 d) a la 88ª reunión; de no ocurrir, el Comité Ejecutivo no podrá considerar la etapa II.</w:t>
      </w:r>
    </w:p>
    <w:p w14:paraId="61CE3CAB" w14:textId="77777777" w:rsidR="00AF751E" w:rsidRPr="00A22BE4" w:rsidRDefault="00AF751E" w:rsidP="00AF751E">
      <w:pPr>
        <w:keepNext/>
        <w:spacing w:after="240"/>
        <w:rPr>
          <w:lang w:val="es-ES_tradnl"/>
        </w:rPr>
      </w:pPr>
      <w:r w:rsidRPr="00D17F84">
        <w:rPr>
          <w:u w:val="single"/>
          <w:lang w:val="es-ES_tradnl"/>
        </w:rPr>
        <w:t>Nepal: Plan de gestión para la eliminación de HCFC (etapa I, solicitud de prórroga</w:t>
      </w:r>
      <w:r w:rsidRPr="00D17F84">
        <w:rPr>
          <w:lang w:val="es-ES_tradnl"/>
        </w:rPr>
        <w:t>) (PNUMA y PNUD)</w:t>
      </w:r>
    </w:p>
    <w:p w14:paraId="3FFA4822" w14:textId="77777777" w:rsidR="00AF751E" w:rsidRPr="00A22BE4" w:rsidRDefault="00AF751E" w:rsidP="00AF751E">
      <w:pPr>
        <w:keepNext/>
        <w:spacing w:after="240"/>
        <w:rPr>
          <w:b/>
          <w:lang w:val="es-ES_tradnl"/>
        </w:rPr>
      </w:pPr>
      <w:r w:rsidRPr="00A22BE4">
        <w:rPr>
          <w:b/>
          <w:lang w:val="es-ES_tradnl"/>
        </w:rPr>
        <w:t>Antecedentes</w:t>
      </w:r>
    </w:p>
    <w:p w14:paraId="7FAE1C49" w14:textId="77777777" w:rsidR="00AF751E" w:rsidRPr="00A22BE4" w:rsidRDefault="00AF751E" w:rsidP="00AF751E">
      <w:pPr>
        <w:numPr>
          <w:ilvl w:val="0"/>
          <w:numId w:val="1"/>
        </w:numPr>
        <w:spacing w:after="240"/>
        <w:outlineLvl w:val="0"/>
        <w:rPr>
          <w:lang w:val="es-ES_tradnl"/>
        </w:rPr>
      </w:pPr>
      <w:r w:rsidRPr="00A22BE4">
        <w:rPr>
          <w:lang w:val="es-ES_tradnl"/>
        </w:rPr>
        <w:t>A nombre del Gobierno de Nepal, el PNUMA, en calidad de principal organismo de ejecución, solicita ampliar el plazo de ejecución de la etapa I del PGEH.</w:t>
      </w:r>
    </w:p>
    <w:p w14:paraId="558017DA" w14:textId="77777777" w:rsidR="00AF751E" w:rsidRPr="00A22BE4" w:rsidRDefault="00AF751E" w:rsidP="00AF751E">
      <w:pPr>
        <w:pStyle w:val="Heading1"/>
        <w:autoSpaceDE w:val="0"/>
        <w:autoSpaceDN w:val="0"/>
        <w:adjustRightInd w:val="0"/>
        <w:rPr>
          <w:lang w:val="es-ES_tradnl"/>
        </w:rPr>
      </w:pPr>
      <w:r w:rsidRPr="00A22BE4">
        <w:rPr>
          <w:lang w:val="es-ES_tradnl"/>
        </w:rPr>
        <w:t>La etapa I del PGEH, aprobada durante la 62ª reunión,</w:t>
      </w:r>
      <w:r w:rsidRPr="00A22BE4">
        <w:rPr>
          <w:rStyle w:val="FootnoteReference"/>
          <w:lang w:val="es-ES_tradnl"/>
        </w:rPr>
        <w:footnoteReference w:id="35"/>
      </w:r>
      <w:r w:rsidRPr="00A22BE4">
        <w:rPr>
          <w:lang w:val="es-ES_tradnl"/>
        </w:rPr>
        <w:t xml:space="preserve"> se proponía cumplir con la meta de reducir al año 2020 el 35 por ciento de la base de comparación, a un costo total de 210.000 $EUA más gastos de apoyo, a través de la eliminación de 0.64 toneladas PAO de HCFC utilizadas para fines de servicio técnico. Los tres tramos de la etapa I se encuentran aprobados, el último en octubre de 2020 durante el proceso de aprobación entre sesiones establecido para la 86ª reunión.</w:t>
      </w:r>
      <w:r w:rsidRPr="00A22BE4">
        <w:rPr>
          <w:rStyle w:val="FootnoteReference"/>
          <w:lang w:val="es-ES_tradnl"/>
        </w:rPr>
        <w:footnoteReference w:id="36"/>
      </w:r>
      <w:r w:rsidRPr="00A22BE4">
        <w:rPr>
          <w:lang w:val="es-ES_tradnl"/>
        </w:rPr>
        <w:t xml:space="preserve"> Según lo establece el párrafo 14 del Acuerdo </w:t>
      </w:r>
      <w:r w:rsidRPr="00A22BE4">
        <w:rPr>
          <w:lang w:val="es-ES_tradnl"/>
        </w:rPr>
        <w:lastRenderedPageBreak/>
        <w:t>entre el Gobierno de Nepal y el Comité Ejecutivo, el proyecto deberá quedar terminado al 31 de diciembre de 2021.</w:t>
      </w:r>
    </w:p>
    <w:p w14:paraId="2E1FDF70" w14:textId="77777777" w:rsidR="00AF751E" w:rsidRPr="00A22BE4" w:rsidRDefault="00AF751E" w:rsidP="00AF751E">
      <w:pPr>
        <w:pStyle w:val="Heading1"/>
        <w:rPr>
          <w:lang w:val="es-ES_tradnl"/>
        </w:rPr>
      </w:pPr>
      <w:r w:rsidRPr="00A22BE4">
        <w:rPr>
          <w:lang w:val="es-ES_tradnl"/>
        </w:rPr>
        <w:t xml:space="preserve">La etapa I registra algunos avances; se ha terminado el primer tramo y se han ejecutado la mayoría de las actividades propuestas para el segundo. Sin embargo, la pandemia del Covid-19 ha retrasado las actividades, entre ellas los talleres de capacitación de funcionarios y fiscalizadores aduaneros y técnicos de servicio, el </w:t>
      </w:r>
      <w:r w:rsidRPr="00A22BE4">
        <w:rPr>
          <w:rFonts w:ascii="TimesNewRomanPSMT" w:eastAsiaTheme="minorHAnsi" w:hAnsi="TimesNewRomanPSMT" w:cs="TimesNewRomanPSMT"/>
          <w:lang w:val="es-ES_tradnl"/>
        </w:rPr>
        <w:t>programa de incentivos, los talleres de recuperación y reutilización de refrigerantes y la compra de identificadores de refrigerante</w:t>
      </w:r>
      <w:r w:rsidRPr="00A22BE4">
        <w:rPr>
          <w:lang w:val="es-ES_tradnl"/>
        </w:rPr>
        <w:t>. En vista del incierto curso de la recuperación post-pandemia, el Gobierno solicita ampliar el plazo de ejecución de la etapa I hasta el 31 de diciembre de 2022.</w:t>
      </w:r>
    </w:p>
    <w:p w14:paraId="17CB8BFB" w14:textId="77777777" w:rsidR="00AF751E" w:rsidRPr="00A22BE4" w:rsidRDefault="00AF751E" w:rsidP="00AF751E">
      <w:pPr>
        <w:spacing w:after="240"/>
        <w:rPr>
          <w:i/>
          <w:lang w:val="es-ES_tradnl"/>
        </w:rPr>
      </w:pPr>
      <w:r w:rsidRPr="00A22BE4">
        <w:rPr>
          <w:i/>
          <w:lang w:val="es-ES_tradnl"/>
        </w:rPr>
        <w:t>Consumo de HCFC</w:t>
      </w:r>
    </w:p>
    <w:p w14:paraId="76C5C9D0" w14:textId="77777777" w:rsidR="00AF751E" w:rsidRPr="00A22BE4" w:rsidRDefault="00AF751E" w:rsidP="00AF751E">
      <w:pPr>
        <w:pStyle w:val="Heading1"/>
        <w:rPr>
          <w:lang w:val="es-ES_tradnl"/>
        </w:rPr>
      </w:pPr>
      <w:r w:rsidRPr="00A22BE4">
        <w:rPr>
          <w:lang w:val="es-ES_tradnl"/>
        </w:rPr>
        <w:t xml:space="preserve">El informe de ejecución del programa país presentado por el Gobierno de Nepal para el año 2020 muestra un consumo de 0.41 toneladas PAO de HCFC, cifra 43 por ciento inferior a las 0.72 toneladas PAO previstas en el Acuerdo con el Comité Ejecutivo y 63 por ciento inferior a la base de comparación de </w:t>
      </w:r>
      <w:r w:rsidRPr="00A22BE4">
        <w:rPr>
          <w:shd w:val="clear" w:color="auto" w:fill="FFFFFF"/>
          <w:lang w:val="es-ES_tradnl"/>
        </w:rPr>
        <w:t>1.1</w:t>
      </w:r>
      <w:r w:rsidRPr="00A22BE4">
        <w:rPr>
          <w:rFonts w:ascii="Helvetica" w:hAnsi="Helvetica"/>
          <w:sz w:val="18"/>
          <w:szCs w:val="18"/>
          <w:shd w:val="clear" w:color="auto" w:fill="FFFFFF"/>
          <w:lang w:val="es-ES_tradnl"/>
        </w:rPr>
        <w:t xml:space="preserve"> </w:t>
      </w:r>
      <w:r w:rsidRPr="00A22BE4">
        <w:rPr>
          <w:lang w:val="es-ES_tradnl"/>
        </w:rPr>
        <w:t>toneladas PAO.</w:t>
      </w:r>
    </w:p>
    <w:p w14:paraId="1CDC2228" w14:textId="77777777" w:rsidR="00AF751E" w:rsidRPr="00A22BE4" w:rsidRDefault="00AF751E" w:rsidP="00AF751E">
      <w:pPr>
        <w:spacing w:after="240"/>
        <w:rPr>
          <w:b/>
          <w:color w:val="000000" w:themeColor="text1"/>
          <w:lang w:val="es-ES_tradnl"/>
        </w:rPr>
      </w:pPr>
      <w:r w:rsidRPr="00A22BE4">
        <w:rPr>
          <w:b/>
          <w:lang w:val="es-ES_tradnl"/>
        </w:rPr>
        <w:t>Informe de ejecución de la etapa I</w:t>
      </w:r>
    </w:p>
    <w:p w14:paraId="44171A18" w14:textId="77777777" w:rsidR="00AF751E" w:rsidRPr="00A22BE4" w:rsidRDefault="00AF751E" w:rsidP="00AF751E">
      <w:pPr>
        <w:pStyle w:val="Heading1"/>
        <w:rPr>
          <w:lang w:val="es-ES_tradnl"/>
        </w:rPr>
      </w:pPr>
      <w:r w:rsidRPr="00A22BE4">
        <w:rPr>
          <w:color w:val="000000" w:themeColor="text1"/>
          <w:lang w:val="es-ES_tradnl"/>
        </w:rPr>
        <w:t xml:space="preserve">El país controla la importación de HCFC a través de un sistema de licencias y cuotas y exige autorización para importar HFC y sus mezclas. La importación de SAO distintas a los HCFC está prohibida desde el año 2010 y la importación de equipos que utilicen HCFC desde el 1º de enero de 2017. Se ha capacitado a un total de 210 funcionarios y fiscalizadores aduaneros </w:t>
      </w:r>
      <w:r w:rsidRPr="00A22BE4">
        <w:rPr>
          <w:color w:val="000000" w:themeColor="text1"/>
          <w:lang w:val="es-ES_tradnl" w:bidi="lo-LA"/>
        </w:rPr>
        <w:t xml:space="preserve">en </w:t>
      </w:r>
      <w:r w:rsidRPr="00A22BE4">
        <w:rPr>
          <w:color w:val="000000" w:themeColor="text1"/>
          <w:lang w:val="es-ES_tradnl"/>
        </w:rPr>
        <w:t>procedimientos de control de la importación de SAO. En el 2015 se reformaron el manual sobre normas nacionales y el sistema de licencias de importación y exportación, y en mayo de 2020 entraron en vigor las normas de identificación de HCFC y mezclas de HFC</w:t>
      </w:r>
      <w:r w:rsidRPr="00A22BE4">
        <w:rPr>
          <w:lang w:val="es-ES_tradnl"/>
        </w:rPr>
        <w:t xml:space="preserve"> </w:t>
      </w:r>
      <w:r w:rsidRPr="00A22BE4">
        <w:rPr>
          <w:color w:val="000000" w:themeColor="text1"/>
          <w:lang w:val="es-ES_tradnl"/>
        </w:rPr>
        <w:t xml:space="preserve">del Sistema Armonizado. Se efectuaron además dos diálogos regionales con países vecinos (Bangladesh, </w:t>
      </w:r>
      <w:proofErr w:type="spellStart"/>
      <w:r w:rsidRPr="00A22BE4">
        <w:rPr>
          <w:color w:val="000000" w:themeColor="text1"/>
          <w:lang w:val="es-ES_tradnl"/>
        </w:rPr>
        <w:t>Bhután</w:t>
      </w:r>
      <w:proofErr w:type="spellEnd"/>
      <w:r w:rsidRPr="00A22BE4">
        <w:rPr>
          <w:color w:val="000000" w:themeColor="text1"/>
          <w:lang w:val="es-ES_tradnl"/>
        </w:rPr>
        <w:t>, China, India y Myanmar) y se hizo entrega de un identificador de refrigerantes al servicio de aduanas y de otro a la ONO. Se reemplazaron 86 unidades de climatización residencial que utilizaban HCFC por equipos a base de HFC-32 y R-290 y se distribuyó equipamiento y herramientas a 30 talleres y técnicos y a institutos de capacitación técnica de ocho provincias.</w:t>
      </w:r>
    </w:p>
    <w:p w14:paraId="4550E216" w14:textId="77777777" w:rsidR="00AF751E" w:rsidRPr="00A22BE4" w:rsidRDefault="00AF751E" w:rsidP="00AF751E">
      <w:pPr>
        <w:numPr>
          <w:ilvl w:val="0"/>
          <w:numId w:val="1"/>
        </w:numPr>
        <w:spacing w:after="240"/>
        <w:outlineLvl w:val="0"/>
        <w:rPr>
          <w:lang w:val="es-ES_tradnl"/>
        </w:rPr>
      </w:pPr>
      <w:r w:rsidRPr="00A22BE4">
        <w:rPr>
          <w:lang w:val="es-ES_tradnl"/>
        </w:rPr>
        <w:t>Luego de la aprobación del tercer tramo de la etapa I, el Gobierno y el PNUMA suscribieron un acuerdo de financiamiento a pequeña escala mientras que el Gobierno y el PNUD firmaron un Protocolo de Acuerdo que fija responsabilidades en materia de ejecución e información de actividades. Los primeros pagos en virtud de estos acuerdos se realizarán en junio de 2021. Por su parte, la vigencia de los acuerdos suscritos para el término de las actividades del segundo tramo se prorrogó hasta el 31 de diciembre de 2021.</w:t>
      </w:r>
    </w:p>
    <w:p w14:paraId="4AFE37E3" w14:textId="77777777" w:rsidR="00AF751E" w:rsidRPr="00A22BE4" w:rsidRDefault="00AF751E" w:rsidP="00AF751E">
      <w:pPr>
        <w:keepNext/>
        <w:spacing w:after="240"/>
        <w:outlineLvl w:val="0"/>
        <w:rPr>
          <w:u w:val="single"/>
          <w:lang w:val="es-ES_tradnl"/>
        </w:rPr>
      </w:pPr>
      <w:r w:rsidRPr="00A22BE4">
        <w:rPr>
          <w:u w:val="single"/>
          <w:lang w:val="es-ES_tradnl"/>
        </w:rPr>
        <w:t>Nivel de desembolso de fondos</w:t>
      </w:r>
    </w:p>
    <w:p w14:paraId="15B2EDC3" w14:textId="77777777" w:rsidR="00AF751E" w:rsidRPr="00A22BE4" w:rsidRDefault="00AF751E" w:rsidP="00AF751E">
      <w:pPr>
        <w:keepNext/>
        <w:numPr>
          <w:ilvl w:val="0"/>
          <w:numId w:val="1"/>
        </w:numPr>
        <w:spacing w:after="240"/>
        <w:outlineLvl w:val="0"/>
        <w:rPr>
          <w:lang w:val="es-ES_tradnl"/>
        </w:rPr>
      </w:pPr>
      <w:r w:rsidRPr="00A22BE4">
        <w:rPr>
          <w:lang w:val="es-ES_tradnl"/>
        </w:rPr>
        <w:t xml:space="preserve">Al mes de abril del 2020, de la suma de 210.000 $EUA aprobada a la fecha, </w:t>
      </w:r>
      <w:r w:rsidRPr="00A22BE4">
        <w:rPr>
          <w:rFonts w:eastAsia="SimSun"/>
          <w:lang w:val="es-ES_tradnl" w:eastAsia="zh-CN"/>
        </w:rPr>
        <w:t>el PNUMA</w:t>
      </w:r>
      <w:r w:rsidRPr="00A22BE4">
        <w:rPr>
          <w:lang w:val="es-ES_tradnl"/>
        </w:rPr>
        <w:t xml:space="preserve"> había desembolsado 103.900 $EUA y el PNUD 64.516 $EUA. Para la ejecución del segundo tramo, el PNUMA ya tiene comprometidos </w:t>
      </w:r>
      <w:r w:rsidRPr="00A22BE4">
        <w:rPr>
          <w:rFonts w:cstheme="minorHAnsi"/>
          <w:lang w:val="es-ES_tradnl"/>
        </w:rPr>
        <w:t>9.500 $EUA y el PNUD otros 11.084 $EUA.</w:t>
      </w:r>
    </w:p>
    <w:p w14:paraId="0C5813B5" w14:textId="77777777" w:rsidR="00AF751E" w:rsidRPr="00A22BE4" w:rsidRDefault="00AF751E" w:rsidP="00AF751E">
      <w:pPr>
        <w:keepNext/>
        <w:spacing w:after="240"/>
        <w:rPr>
          <w:b/>
          <w:lang w:val="es-ES_tradnl"/>
        </w:rPr>
      </w:pPr>
      <w:r w:rsidRPr="00A22BE4">
        <w:rPr>
          <w:b/>
          <w:lang w:val="es-ES_tradnl"/>
        </w:rPr>
        <w:t>Observaciones de la Secretaría</w:t>
      </w:r>
    </w:p>
    <w:p w14:paraId="29F8AD45" w14:textId="77777777" w:rsidR="00AF751E" w:rsidRPr="00A22BE4" w:rsidRDefault="00AF751E" w:rsidP="00AF751E">
      <w:pPr>
        <w:numPr>
          <w:ilvl w:val="0"/>
          <w:numId w:val="1"/>
        </w:numPr>
        <w:spacing w:after="240"/>
        <w:outlineLvl w:val="0"/>
        <w:rPr>
          <w:lang w:val="es-ES_tradnl"/>
        </w:rPr>
      </w:pPr>
      <w:r w:rsidRPr="00A22BE4">
        <w:rPr>
          <w:lang w:val="es-ES_tradnl"/>
        </w:rPr>
        <w:t xml:space="preserve">La Secretaría reconoce los esfuerzos desplegados por el Gobierno de Nepal, el PNUMA y el PNUD a fin de concluir al 31 de diciembre de 2021 las actividades programadas para el segundo y tercer tramo de la etapa I. Pese a ello, estima poco probable que el proyecto esté terminado a fines de 2021 debido a las dificultades impuestas por la pandemia del Covid-19. </w:t>
      </w:r>
      <w:r w:rsidRPr="00A22BE4">
        <w:rPr>
          <w:bdr w:val="none" w:sz="0" w:space="0" w:color="auto" w:frame="1"/>
          <w:lang w:val="es-ES_tradnl"/>
        </w:rPr>
        <w:t>El país espera que se autoricen el retorno al trabajo de oficina y las reuniones presenciales</w:t>
      </w:r>
      <w:r w:rsidRPr="00A22BE4">
        <w:rPr>
          <w:lang w:val="es-ES_tradnl"/>
        </w:rPr>
        <w:t xml:space="preserve"> </w:t>
      </w:r>
      <w:r w:rsidRPr="00A22BE4">
        <w:rPr>
          <w:bdr w:val="none" w:sz="0" w:space="0" w:color="auto" w:frame="1"/>
          <w:lang w:val="es-ES_tradnl"/>
        </w:rPr>
        <w:t xml:space="preserve">a partir de septiembre de 2021. </w:t>
      </w:r>
      <w:r w:rsidRPr="00A22BE4">
        <w:rPr>
          <w:lang w:val="es-ES_tradnl"/>
        </w:rPr>
        <w:t xml:space="preserve">Se han renovado los acuerdos entre los organismos de ejecución y el Gobierno a los fines de la ejecución del segundo tramo. Los acuerdos correspondientes al tercer tramo fueron recientemente suscritos, esperándose el primer desembolso para </w:t>
      </w:r>
      <w:r w:rsidRPr="00A22BE4">
        <w:rPr>
          <w:lang w:val="es-ES_tradnl"/>
        </w:rPr>
        <w:lastRenderedPageBreak/>
        <w:t>junio de 2021. En consecuencia, ampliar el plazo de ejecución en un año daría al Gobierno, el PNUMA y el PNUD tiempo suficiente para terminar las actividades que restan en el tercer tramo.</w:t>
      </w:r>
    </w:p>
    <w:p w14:paraId="441BF17B" w14:textId="77777777" w:rsidR="00AF751E" w:rsidRPr="00A22BE4" w:rsidRDefault="00AF751E" w:rsidP="00AF751E">
      <w:pPr>
        <w:spacing w:after="240"/>
        <w:rPr>
          <w:b/>
          <w:lang w:val="es-ES_tradnl"/>
        </w:rPr>
      </w:pPr>
      <w:r w:rsidRPr="00A22BE4">
        <w:rPr>
          <w:b/>
          <w:lang w:val="es-ES_tradnl"/>
        </w:rPr>
        <w:t>Recomendación</w:t>
      </w:r>
    </w:p>
    <w:p w14:paraId="7F0BC51C" w14:textId="77777777" w:rsidR="00AF751E" w:rsidRPr="00A22BE4" w:rsidRDefault="00AF751E" w:rsidP="00AF751E">
      <w:pPr>
        <w:numPr>
          <w:ilvl w:val="0"/>
          <w:numId w:val="1"/>
        </w:numPr>
        <w:spacing w:after="240"/>
        <w:outlineLvl w:val="0"/>
        <w:rPr>
          <w:lang w:val="es-ES_tradnl"/>
        </w:rPr>
      </w:pPr>
      <w:r w:rsidRPr="00A22BE4">
        <w:rPr>
          <w:lang w:val="es-ES_tradnl"/>
        </w:rPr>
        <w:t>El Comité Ejecutivo podrá estimar oportuno:</w:t>
      </w:r>
    </w:p>
    <w:p w14:paraId="0195C3AE" w14:textId="77777777" w:rsidR="00AF751E" w:rsidRPr="00A22BE4" w:rsidRDefault="00AF751E" w:rsidP="00AF751E">
      <w:pPr>
        <w:widowControl w:val="0"/>
        <w:numPr>
          <w:ilvl w:val="1"/>
          <w:numId w:val="1"/>
        </w:numPr>
        <w:tabs>
          <w:tab w:val="num" w:pos="720"/>
        </w:tabs>
        <w:spacing w:after="240"/>
        <w:outlineLvl w:val="1"/>
        <w:rPr>
          <w:lang w:val="es-ES_tradnl"/>
        </w:rPr>
      </w:pPr>
      <w:r w:rsidRPr="00A22BE4">
        <w:rPr>
          <w:lang w:val="es-ES_tradnl"/>
        </w:rPr>
        <w:t>Tomar nota del informe sobre la ejecución del programa de trabajo relativo a la etapa I del plan de gestión para la eliminación de HCFC (PGEH) para Nepal y de la solicitud de prórroga presentada por el PNUMA que recoge el documento UNEP/OzL.Pro/ExCom/87/9;</w:t>
      </w:r>
    </w:p>
    <w:p w14:paraId="69808B1A" w14:textId="77777777" w:rsidR="00AF751E" w:rsidRPr="00A22BE4" w:rsidRDefault="00AF751E" w:rsidP="00AF751E">
      <w:pPr>
        <w:pStyle w:val="Heading2"/>
        <w:rPr>
          <w:lang w:val="es-ES_tradnl"/>
        </w:rPr>
      </w:pPr>
      <w:r w:rsidRPr="00A22BE4">
        <w:rPr>
          <w:lang w:val="es-ES_tradnl"/>
        </w:rPr>
        <w:t>De forma excepcional, y debido a las dificultades impuestas por la pandemia del Covid-19, ampliar la fecha de término de la etapa I del PGEH para Nepal al 31 de diciembre de 2022, en el entendido de que no se podrán solicitar nuevas prórrogas; y</w:t>
      </w:r>
    </w:p>
    <w:p w14:paraId="03655AB0" w14:textId="77777777" w:rsidR="00AF751E" w:rsidRPr="00A22BE4" w:rsidRDefault="00AF751E" w:rsidP="00AF751E">
      <w:pPr>
        <w:widowControl w:val="0"/>
        <w:numPr>
          <w:ilvl w:val="1"/>
          <w:numId w:val="1"/>
        </w:numPr>
        <w:tabs>
          <w:tab w:val="num" w:pos="557"/>
        </w:tabs>
        <w:spacing w:after="240"/>
        <w:outlineLvl w:val="1"/>
        <w:rPr>
          <w:lang w:val="es-ES_tradnl"/>
        </w:rPr>
      </w:pPr>
      <w:r w:rsidRPr="00A22BE4">
        <w:rPr>
          <w:lang w:val="es-ES_tradnl"/>
        </w:rPr>
        <w:t>Solicitar al Gobierno de Nepal, al PNUMA y al PNUD presentar el informe de finalización del proyecto a la primera reunión del año 2023.</w:t>
      </w:r>
    </w:p>
    <w:p w14:paraId="6254C2A4" w14:textId="77777777" w:rsidR="00AF751E" w:rsidRPr="00A22BE4" w:rsidRDefault="00AF751E" w:rsidP="00AF751E">
      <w:pPr>
        <w:pStyle w:val="Heading1"/>
        <w:keepNext/>
        <w:keepLines/>
        <w:numPr>
          <w:ilvl w:val="0"/>
          <w:numId w:val="0"/>
        </w:numPr>
        <w:rPr>
          <w:lang w:val="es-ES_tradnl"/>
        </w:rPr>
      </w:pPr>
      <w:r w:rsidRPr="00D17F84">
        <w:rPr>
          <w:u w:val="single"/>
          <w:lang w:val="es-ES_tradnl"/>
        </w:rPr>
        <w:t>Países insulares del Pacífico: Plan de gestión para la eliminación de HCFC (etapa I, solicitud de prórroga de la fecha de término del tercer (y último) tramo para los 12 países</w:t>
      </w:r>
      <w:r w:rsidRPr="00D17F84">
        <w:rPr>
          <w:lang w:val="es-ES_tradnl"/>
        </w:rPr>
        <w:t>) (PNUMA)</w:t>
      </w:r>
    </w:p>
    <w:p w14:paraId="68BBE9F6" w14:textId="77777777" w:rsidR="00AF751E" w:rsidRPr="00A22BE4" w:rsidRDefault="00AF751E" w:rsidP="00AF751E">
      <w:pPr>
        <w:keepNext/>
        <w:keepLines/>
        <w:spacing w:after="240"/>
        <w:rPr>
          <w:b/>
          <w:lang w:val="es-ES_tradnl"/>
        </w:rPr>
      </w:pPr>
      <w:r w:rsidRPr="00A22BE4">
        <w:rPr>
          <w:b/>
          <w:lang w:val="es-ES_tradnl"/>
        </w:rPr>
        <w:t>Antecedentes</w:t>
      </w:r>
    </w:p>
    <w:p w14:paraId="0C0B8126" w14:textId="77777777" w:rsidR="00AF751E" w:rsidRPr="00A22BE4" w:rsidRDefault="00AF751E" w:rsidP="00AF751E">
      <w:pPr>
        <w:pStyle w:val="Heading1"/>
        <w:rPr>
          <w:b/>
          <w:lang w:val="es-ES_tradnl"/>
        </w:rPr>
      </w:pPr>
      <w:r w:rsidRPr="00A22BE4">
        <w:rPr>
          <w:lang w:val="es-ES_tradnl"/>
        </w:rPr>
        <w:t xml:space="preserve">A nombre de los Gobiernos de Islas Cook, Kiribati, Islas Marshall, Estados Federados de Micronesia, Nauru, Niue, </w:t>
      </w:r>
      <w:proofErr w:type="spellStart"/>
      <w:r w:rsidRPr="00A22BE4">
        <w:rPr>
          <w:lang w:val="es-ES_tradnl"/>
        </w:rPr>
        <w:t>Palau</w:t>
      </w:r>
      <w:proofErr w:type="spellEnd"/>
      <w:r w:rsidRPr="00A22BE4">
        <w:rPr>
          <w:lang w:val="es-ES_tradnl"/>
        </w:rPr>
        <w:t>, Samoa, Islas Salomón, Tonga, Tuvalu y Vanuatu (en lo sucesivo, los Países insulares del Pacífico), el PNUMA, en calidad de organismo de ejecución designado, solicita ampliar el plazo de ejecución de la etapa I del PGEH.</w:t>
      </w:r>
    </w:p>
    <w:p w14:paraId="30664F2B" w14:textId="77777777" w:rsidR="00AF751E" w:rsidRPr="00A22BE4" w:rsidRDefault="00AF751E" w:rsidP="00AF751E">
      <w:pPr>
        <w:pStyle w:val="Heading1"/>
        <w:rPr>
          <w:lang w:val="es-ES_tradnl"/>
        </w:rPr>
      </w:pPr>
      <w:r w:rsidRPr="00A22BE4">
        <w:rPr>
          <w:rFonts w:eastAsia="MS Mincho"/>
          <w:lang w:val="es-ES_tradnl"/>
        </w:rPr>
        <w:t xml:space="preserve">La etapa I del PGEH para </w:t>
      </w:r>
      <w:r w:rsidRPr="00A22BE4">
        <w:rPr>
          <w:lang w:val="es-ES_tradnl"/>
        </w:rPr>
        <w:t>los Países insulares del Pacífico, aprobada durante la 63ª reunión,</w:t>
      </w:r>
      <w:r w:rsidRPr="00A22BE4">
        <w:rPr>
          <w:rStyle w:val="FootnoteReference"/>
          <w:lang w:val="es-ES_tradnl"/>
        </w:rPr>
        <w:footnoteReference w:id="37"/>
      </w:r>
      <w:r w:rsidRPr="00A22BE4">
        <w:rPr>
          <w:lang w:val="es-ES_tradnl"/>
        </w:rPr>
        <w:t xml:space="preserve"> se proponía cumplir en el período 2011-2020 con la meta de reducción del 35 por ciento</w:t>
      </w:r>
      <w:r w:rsidRPr="00A22BE4">
        <w:rPr>
          <w:rFonts w:eastAsia="MS Mincho"/>
          <w:lang w:val="es-ES_tradnl"/>
        </w:rPr>
        <w:t xml:space="preserve">, a un costo total </w:t>
      </w:r>
      <w:r w:rsidRPr="00A22BE4">
        <w:rPr>
          <w:lang w:val="es-ES_tradnl"/>
        </w:rPr>
        <w:t>de 1.696.000 $EUA más gastos de apoyo.</w:t>
      </w:r>
    </w:p>
    <w:p w14:paraId="5FF7FF95" w14:textId="77777777" w:rsidR="00AF751E" w:rsidRPr="00A22BE4" w:rsidRDefault="00AF751E" w:rsidP="00AF751E">
      <w:pPr>
        <w:pStyle w:val="Heading1"/>
        <w:rPr>
          <w:lang w:val="es-ES_tradnl"/>
        </w:rPr>
      </w:pPr>
      <w:r w:rsidRPr="00A22BE4">
        <w:rPr>
          <w:lang w:val="es-ES_tradnl"/>
        </w:rPr>
        <w:t>La etapa I del PGEH está constituida por un:</w:t>
      </w:r>
    </w:p>
    <w:p w14:paraId="4814E499" w14:textId="77777777" w:rsidR="00AF751E" w:rsidRPr="00A22BE4" w:rsidRDefault="00AF751E" w:rsidP="00AF751E">
      <w:pPr>
        <w:widowControl w:val="0"/>
        <w:numPr>
          <w:ilvl w:val="1"/>
          <w:numId w:val="1"/>
        </w:numPr>
        <w:spacing w:after="240"/>
        <w:outlineLvl w:val="1"/>
        <w:rPr>
          <w:lang w:val="es-ES_tradnl"/>
        </w:rPr>
      </w:pPr>
      <w:r w:rsidRPr="00A22BE4">
        <w:rPr>
          <w:i/>
          <w:lang w:val="es-ES_tradnl"/>
        </w:rPr>
        <w:t>Componente regional:</w:t>
      </w:r>
      <w:r w:rsidRPr="00A22BE4">
        <w:rPr>
          <w:lang w:val="es-ES_tradnl"/>
        </w:rPr>
        <w:t xml:space="preserve"> Actividades comunes a los 12 países, en especial asesorías en materia de políticas sectoriales y desarrollo de legislación y normas, reforzamiento de las capacidades de funcionarios aduaneros e instructores en refrigeración y climatización, y tareas de divulgación y extensión sobre la eliminación de HCFC; y</w:t>
      </w:r>
    </w:p>
    <w:p w14:paraId="6492A9E1" w14:textId="77777777" w:rsidR="00AF751E" w:rsidRPr="00A22BE4" w:rsidRDefault="00AF751E" w:rsidP="00AF751E">
      <w:pPr>
        <w:widowControl w:val="0"/>
        <w:numPr>
          <w:ilvl w:val="1"/>
          <w:numId w:val="1"/>
        </w:numPr>
        <w:spacing w:after="240"/>
        <w:outlineLvl w:val="1"/>
        <w:rPr>
          <w:lang w:val="es-ES_tradnl"/>
        </w:rPr>
      </w:pPr>
      <w:r w:rsidRPr="00A22BE4">
        <w:rPr>
          <w:i/>
          <w:lang w:val="es-ES_tradnl"/>
        </w:rPr>
        <w:t>Componente nacional:</w:t>
      </w:r>
      <w:r w:rsidRPr="00A22BE4">
        <w:rPr>
          <w:lang w:val="es-ES_tradnl"/>
        </w:rPr>
        <w:t xml:space="preserve"> Actividades específicas a cada país para controlar la oferta y demanda de HCFC, crear un entorno conducente a la eliminación de HCFC y la introducción de alternativas, y la gestión, coordinación y supervisión del PGEH.</w:t>
      </w:r>
    </w:p>
    <w:p w14:paraId="698C16F2" w14:textId="77777777" w:rsidR="00AF751E" w:rsidRPr="00A22BE4" w:rsidRDefault="00AF751E" w:rsidP="00AF751E">
      <w:pPr>
        <w:pStyle w:val="Heading1"/>
        <w:rPr>
          <w:lang w:val="es-ES_tradnl"/>
        </w:rPr>
      </w:pPr>
      <w:r w:rsidRPr="00A22BE4">
        <w:rPr>
          <w:rFonts w:eastAsia="MS Mincho"/>
          <w:lang w:val="es-ES_tradnl"/>
        </w:rPr>
        <w:t xml:space="preserve">El tercer y último tramo por un monto de </w:t>
      </w:r>
      <w:r w:rsidRPr="00A22BE4">
        <w:rPr>
          <w:lang w:val="es-ES_tradnl"/>
        </w:rPr>
        <w:t>186.100 $EUA, así como el correspondiente plan de ejecución del tramo 2020-2021</w:t>
      </w:r>
      <w:r w:rsidRPr="00A22BE4">
        <w:rPr>
          <w:rFonts w:eastAsia="MS Mincho"/>
          <w:lang w:val="es-ES_tradnl"/>
        </w:rPr>
        <w:t>, fueron aprobados</w:t>
      </w:r>
      <w:r w:rsidRPr="00A22BE4">
        <w:rPr>
          <w:lang w:val="es-ES_tradnl"/>
        </w:rPr>
        <w:t xml:space="preserve"> en mayo de 2020 durante el proceso de aprobación entre sesiones establecido para la 85ª reunión.</w:t>
      </w:r>
      <w:r w:rsidRPr="00A22BE4">
        <w:rPr>
          <w:rStyle w:val="FootnoteReference"/>
          <w:lang w:val="es-ES_tradnl"/>
        </w:rPr>
        <w:footnoteReference w:id="38"/>
      </w:r>
      <w:r w:rsidRPr="00A22BE4">
        <w:rPr>
          <w:lang w:val="es-ES_tradnl"/>
        </w:rPr>
        <w:t xml:space="preserve"> Según lo establece el párrafo 14 del Acuerdo entre los Gobiernos y el Comité Ejecutivo, la etapa I deberá quedar terminada a fines de 2021. La etapa II del PGEH para la </w:t>
      </w:r>
      <w:r w:rsidRPr="00A22BE4">
        <w:rPr>
          <w:lang w:val="es-ES_tradnl"/>
        </w:rPr>
        <w:lastRenderedPageBreak/>
        <w:t>total eliminación de HCFC se aprobó en diciembre de 2020 como parte del proceso de aprobación entre sesiones establecido para la 86ª reunión.</w:t>
      </w:r>
      <w:r w:rsidRPr="00A22BE4">
        <w:rPr>
          <w:rStyle w:val="FootnoteReference"/>
          <w:lang w:val="es-ES_tradnl"/>
        </w:rPr>
        <w:footnoteReference w:id="39"/>
      </w:r>
    </w:p>
    <w:p w14:paraId="3E592592" w14:textId="77777777" w:rsidR="00AF751E" w:rsidRPr="00A22BE4" w:rsidRDefault="00AF751E" w:rsidP="00AF751E">
      <w:pPr>
        <w:pStyle w:val="Heading1"/>
        <w:rPr>
          <w:rFonts w:eastAsia="MS Mincho"/>
          <w:lang w:val="es-ES_tradnl"/>
        </w:rPr>
      </w:pPr>
      <w:r w:rsidRPr="00A22BE4">
        <w:rPr>
          <w:rFonts w:eastAsia="MS Mincho"/>
          <w:lang w:val="es-ES_tradnl"/>
        </w:rPr>
        <w:t>En el informe de ejecución de la etapa I adjunto a la propuesta para la etapa II, el PNUMA informa que aún no se daba comienzo a las actividades del tercer y último tramo, dado que al mes de agosto de 2020 la región se mantenía en estado de emergencia debido a la pandemia del Covid-19. De no mediar nuevas demoras impuestas por la pandemia, se espera terminar la etapa I a más tardar el 31 de diciembre de 2021.</w:t>
      </w:r>
    </w:p>
    <w:p w14:paraId="7D031BD7" w14:textId="77777777" w:rsidR="00AF751E" w:rsidRPr="00A22BE4" w:rsidRDefault="00AF751E" w:rsidP="00AF751E">
      <w:pPr>
        <w:pStyle w:val="Heading1"/>
        <w:numPr>
          <w:ilvl w:val="0"/>
          <w:numId w:val="0"/>
        </w:numPr>
        <w:rPr>
          <w:i/>
          <w:lang w:val="es-ES_tradnl"/>
        </w:rPr>
      </w:pPr>
      <w:r w:rsidRPr="00A22BE4">
        <w:rPr>
          <w:i/>
          <w:lang w:val="es-ES_tradnl"/>
        </w:rPr>
        <w:t>Consumo de HCFC</w:t>
      </w:r>
    </w:p>
    <w:p w14:paraId="7B500415" w14:textId="77777777" w:rsidR="00AF751E" w:rsidRPr="00A22BE4" w:rsidRDefault="00AF751E" w:rsidP="00AF751E">
      <w:pPr>
        <w:pStyle w:val="Heading1"/>
        <w:spacing w:after="120"/>
        <w:rPr>
          <w:lang w:val="es-ES_tradnl"/>
        </w:rPr>
      </w:pPr>
      <w:r w:rsidRPr="00A22BE4">
        <w:rPr>
          <w:lang w:val="es-ES_tradnl"/>
        </w:rPr>
        <w:t>Los informes de ejecución del programa país presentados por los Gobiernos de los Países insulares del Pacífico para el año 2020 indican un consumo de 0.14 toneladas PAO de HCFC, cifra 96 por ciento inferior a la base de comparación y</w:t>
      </w:r>
      <w:r w:rsidRPr="00A22BE4">
        <w:rPr>
          <w:rFonts w:eastAsia="SimSun"/>
          <w:lang w:val="es-ES_tradnl" w:eastAsia="zh-CN"/>
        </w:rPr>
        <w:t xml:space="preserve"> 94 por ciento inferior al consumo máximo permitido en el Acuerdo con el Comité Ejecutivo.</w:t>
      </w:r>
      <w:r w:rsidRPr="00A22BE4">
        <w:rPr>
          <w:lang w:val="es-ES_tradnl"/>
        </w:rPr>
        <w:t xml:space="preserve"> Cabe mencionar que algunos países aún no informan los datos para el año 2020 que deben presentar en virtud del artículo 7. El Cuadro 7 muestra el consumo de HCFC en el período 2016-2020.</w:t>
      </w:r>
    </w:p>
    <w:p w14:paraId="47B998EF" w14:textId="77777777" w:rsidR="00AF751E" w:rsidRPr="00A22BE4" w:rsidRDefault="00AF751E" w:rsidP="00AF751E">
      <w:pPr>
        <w:keepNext/>
        <w:keepLines/>
        <w:rPr>
          <w:b/>
          <w:lang w:val="es-ES_tradnl"/>
        </w:rPr>
      </w:pPr>
      <w:r w:rsidRPr="00A22BE4">
        <w:rPr>
          <w:b/>
          <w:lang w:val="es-ES_tradnl"/>
        </w:rPr>
        <w:t>Cuadro 7. HCFC: Consumo en los Países insulares del Pacífico (2016-2020, con datos del artículo 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503"/>
        <w:gridCol w:w="969"/>
        <w:gridCol w:w="971"/>
        <w:gridCol w:w="1108"/>
        <w:gridCol w:w="692"/>
        <w:gridCol w:w="831"/>
        <w:gridCol w:w="1280"/>
      </w:tblGrid>
      <w:tr w:rsidR="00AF751E" w:rsidRPr="00A22BE4" w14:paraId="16F2FA1A" w14:textId="77777777" w:rsidTr="00AF751E">
        <w:trPr>
          <w:tblHeader/>
        </w:trPr>
        <w:tc>
          <w:tcPr>
            <w:tcW w:w="1873" w:type="pct"/>
            <w:shd w:val="clear" w:color="auto" w:fill="auto"/>
            <w:noWrap/>
            <w:tcMar>
              <w:left w:w="43" w:type="dxa"/>
              <w:right w:w="43" w:type="dxa"/>
            </w:tcMar>
            <w:vAlign w:val="center"/>
            <w:hideMark/>
          </w:tcPr>
          <w:p w14:paraId="362CD3AE" w14:textId="77777777" w:rsidR="00AF751E" w:rsidRPr="00A22BE4" w:rsidRDefault="00AF751E" w:rsidP="00AF751E">
            <w:pPr>
              <w:keepNext/>
              <w:keepLines/>
              <w:jc w:val="left"/>
              <w:rPr>
                <w:b/>
                <w:bCs/>
                <w:color w:val="000000"/>
                <w:sz w:val="20"/>
                <w:szCs w:val="20"/>
                <w:lang w:val="es-ES_tradnl"/>
              </w:rPr>
            </w:pPr>
            <w:r w:rsidRPr="00A22BE4">
              <w:rPr>
                <w:b/>
                <w:bCs/>
                <w:color w:val="000000"/>
                <w:sz w:val="20"/>
                <w:szCs w:val="20"/>
                <w:lang w:val="es-ES_tradnl"/>
              </w:rPr>
              <w:t>HCFC-22</w:t>
            </w:r>
          </w:p>
        </w:tc>
        <w:tc>
          <w:tcPr>
            <w:tcW w:w="518" w:type="pct"/>
            <w:shd w:val="clear" w:color="auto" w:fill="auto"/>
            <w:noWrap/>
            <w:tcMar>
              <w:left w:w="0" w:type="dxa"/>
              <w:right w:w="173" w:type="dxa"/>
            </w:tcMar>
            <w:vAlign w:val="center"/>
          </w:tcPr>
          <w:p w14:paraId="70C17F4B" w14:textId="77777777" w:rsidR="00AF751E" w:rsidRPr="00A22BE4" w:rsidRDefault="00AF751E" w:rsidP="00AF751E">
            <w:pPr>
              <w:keepNext/>
              <w:keepLines/>
              <w:jc w:val="center"/>
              <w:rPr>
                <w:b/>
                <w:bCs/>
                <w:color w:val="000000"/>
                <w:sz w:val="20"/>
                <w:szCs w:val="20"/>
                <w:lang w:val="es-ES_tradnl"/>
              </w:rPr>
            </w:pPr>
            <w:r w:rsidRPr="00A22BE4">
              <w:rPr>
                <w:b/>
                <w:bCs/>
                <w:color w:val="000000"/>
                <w:sz w:val="20"/>
                <w:szCs w:val="20"/>
                <w:lang w:val="es-ES_tradnl"/>
              </w:rPr>
              <w:t>2016</w:t>
            </w:r>
          </w:p>
        </w:tc>
        <w:tc>
          <w:tcPr>
            <w:tcW w:w="519" w:type="pct"/>
            <w:shd w:val="clear" w:color="auto" w:fill="auto"/>
            <w:noWrap/>
            <w:tcMar>
              <w:left w:w="0" w:type="dxa"/>
              <w:right w:w="173" w:type="dxa"/>
            </w:tcMar>
            <w:vAlign w:val="center"/>
          </w:tcPr>
          <w:p w14:paraId="4A3D4C38" w14:textId="77777777" w:rsidR="00AF751E" w:rsidRPr="00A22BE4" w:rsidRDefault="00AF751E" w:rsidP="00AF751E">
            <w:pPr>
              <w:keepNext/>
              <w:keepLines/>
              <w:jc w:val="center"/>
              <w:rPr>
                <w:b/>
                <w:bCs/>
                <w:color w:val="000000"/>
                <w:sz w:val="20"/>
                <w:szCs w:val="20"/>
                <w:lang w:val="es-ES_tradnl"/>
              </w:rPr>
            </w:pPr>
            <w:r w:rsidRPr="00A22BE4">
              <w:rPr>
                <w:b/>
                <w:bCs/>
                <w:color w:val="000000"/>
                <w:sz w:val="20"/>
                <w:szCs w:val="20"/>
                <w:lang w:val="es-ES_tradnl"/>
              </w:rPr>
              <w:t>2017</w:t>
            </w:r>
          </w:p>
        </w:tc>
        <w:tc>
          <w:tcPr>
            <w:tcW w:w="592" w:type="pct"/>
            <w:tcMar>
              <w:left w:w="0" w:type="dxa"/>
              <w:right w:w="173" w:type="dxa"/>
            </w:tcMar>
            <w:vAlign w:val="center"/>
          </w:tcPr>
          <w:p w14:paraId="2CA1D072" w14:textId="77777777" w:rsidR="00AF751E" w:rsidRPr="00A22BE4" w:rsidRDefault="00AF751E" w:rsidP="00AF751E">
            <w:pPr>
              <w:keepNext/>
              <w:keepLines/>
              <w:jc w:val="center"/>
              <w:rPr>
                <w:b/>
                <w:bCs/>
                <w:color w:val="000000"/>
                <w:sz w:val="20"/>
                <w:szCs w:val="20"/>
                <w:lang w:val="es-ES_tradnl"/>
              </w:rPr>
            </w:pPr>
            <w:r w:rsidRPr="00A22BE4">
              <w:rPr>
                <w:b/>
                <w:bCs/>
                <w:color w:val="000000"/>
                <w:sz w:val="20"/>
                <w:szCs w:val="20"/>
                <w:lang w:val="es-ES_tradnl"/>
              </w:rPr>
              <w:t>2018</w:t>
            </w:r>
          </w:p>
        </w:tc>
        <w:tc>
          <w:tcPr>
            <w:tcW w:w="370" w:type="pct"/>
            <w:tcMar>
              <w:left w:w="0" w:type="dxa"/>
              <w:right w:w="173" w:type="dxa"/>
            </w:tcMar>
            <w:vAlign w:val="center"/>
          </w:tcPr>
          <w:p w14:paraId="56C65F8F" w14:textId="77777777" w:rsidR="00AF751E" w:rsidRPr="00A22BE4" w:rsidRDefault="00AF751E" w:rsidP="00AF751E">
            <w:pPr>
              <w:keepNext/>
              <w:keepLines/>
              <w:jc w:val="center"/>
              <w:rPr>
                <w:b/>
                <w:bCs/>
                <w:color w:val="000000"/>
                <w:sz w:val="20"/>
                <w:szCs w:val="20"/>
                <w:highlight w:val="yellow"/>
                <w:lang w:val="es-ES_tradnl"/>
              </w:rPr>
            </w:pPr>
            <w:r w:rsidRPr="00A22BE4">
              <w:rPr>
                <w:b/>
                <w:bCs/>
                <w:color w:val="000000"/>
                <w:sz w:val="20"/>
                <w:szCs w:val="20"/>
                <w:lang w:val="es-ES_tradnl"/>
              </w:rPr>
              <w:t>2019</w:t>
            </w:r>
          </w:p>
        </w:tc>
        <w:tc>
          <w:tcPr>
            <w:tcW w:w="444" w:type="pct"/>
          </w:tcPr>
          <w:p w14:paraId="134CC8FE" w14:textId="77777777" w:rsidR="00AF751E" w:rsidRPr="00A22BE4" w:rsidRDefault="00AF751E" w:rsidP="00AF751E">
            <w:pPr>
              <w:keepNext/>
              <w:keepLines/>
              <w:jc w:val="center"/>
              <w:rPr>
                <w:sz w:val="19"/>
                <w:szCs w:val="19"/>
                <w:vertAlign w:val="superscript"/>
                <w:lang w:val="es-ES_tradnl"/>
              </w:rPr>
            </w:pPr>
            <w:r w:rsidRPr="00A22BE4">
              <w:rPr>
                <w:b/>
                <w:bCs/>
                <w:color w:val="000000"/>
                <w:sz w:val="20"/>
                <w:szCs w:val="20"/>
                <w:lang w:val="es-ES_tradnl"/>
              </w:rPr>
              <w:t>2020</w:t>
            </w:r>
            <w:r w:rsidRPr="00A22BE4">
              <w:rPr>
                <w:sz w:val="19"/>
                <w:szCs w:val="19"/>
                <w:vertAlign w:val="superscript"/>
                <w:lang w:val="es-ES_tradnl"/>
              </w:rPr>
              <w:t xml:space="preserve"> e</w:t>
            </w:r>
          </w:p>
        </w:tc>
        <w:tc>
          <w:tcPr>
            <w:tcW w:w="684" w:type="pct"/>
            <w:shd w:val="clear" w:color="auto" w:fill="auto"/>
            <w:noWrap/>
            <w:tcMar>
              <w:left w:w="0" w:type="dxa"/>
              <w:right w:w="173" w:type="dxa"/>
            </w:tcMar>
            <w:vAlign w:val="center"/>
            <w:hideMark/>
          </w:tcPr>
          <w:p w14:paraId="03C77C2A" w14:textId="77777777" w:rsidR="00AF751E" w:rsidRPr="00A22BE4" w:rsidRDefault="00AF751E" w:rsidP="00AF751E">
            <w:pPr>
              <w:keepNext/>
              <w:keepLines/>
              <w:jc w:val="center"/>
              <w:rPr>
                <w:b/>
                <w:bCs/>
                <w:color w:val="000000"/>
                <w:sz w:val="20"/>
                <w:szCs w:val="20"/>
                <w:lang w:val="es-ES_tradnl"/>
              </w:rPr>
            </w:pPr>
            <w:r w:rsidRPr="00305D02">
              <w:rPr>
                <w:b/>
                <w:bCs/>
                <w:color w:val="000000"/>
                <w:sz w:val="18"/>
                <w:szCs w:val="18"/>
                <w:lang w:val="es-ES_tradnl"/>
              </w:rPr>
              <w:t>Base de comparación</w:t>
            </w:r>
          </w:p>
        </w:tc>
      </w:tr>
      <w:tr w:rsidR="00AF751E" w:rsidRPr="00A22BE4" w14:paraId="3FA223D3" w14:textId="77777777" w:rsidTr="00AF751E">
        <w:trPr>
          <w:trHeight w:val="157"/>
        </w:trPr>
        <w:tc>
          <w:tcPr>
            <w:tcW w:w="1873" w:type="pct"/>
            <w:shd w:val="clear" w:color="auto" w:fill="auto"/>
            <w:noWrap/>
            <w:tcMar>
              <w:left w:w="43" w:type="dxa"/>
              <w:right w:w="43" w:type="dxa"/>
            </w:tcMar>
            <w:vAlign w:val="center"/>
            <w:hideMark/>
          </w:tcPr>
          <w:p w14:paraId="02717CAF" w14:textId="77777777" w:rsidR="00AF751E" w:rsidRPr="00A22BE4" w:rsidRDefault="00AF751E" w:rsidP="00AF751E">
            <w:pPr>
              <w:keepNext/>
              <w:keepLines/>
              <w:jc w:val="left"/>
              <w:rPr>
                <w:b/>
                <w:bCs/>
                <w:color w:val="000000"/>
                <w:sz w:val="20"/>
                <w:szCs w:val="20"/>
                <w:lang w:val="es-ES_tradnl"/>
              </w:rPr>
            </w:pPr>
            <w:r w:rsidRPr="00A22BE4">
              <w:rPr>
                <w:b/>
                <w:bCs/>
                <w:color w:val="000000"/>
                <w:sz w:val="20"/>
                <w:szCs w:val="20"/>
                <w:lang w:val="es-ES_tradnl"/>
              </w:rPr>
              <w:t>Toneladas métricas (</w:t>
            </w:r>
            <w:proofErr w:type="spellStart"/>
            <w:r w:rsidRPr="00A22BE4">
              <w:rPr>
                <w:b/>
                <w:bCs/>
                <w:color w:val="000000"/>
                <w:sz w:val="20"/>
                <w:szCs w:val="20"/>
                <w:lang w:val="es-ES_tradnl"/>
              </w:rPr>
              <w:t>tm</w:t>
            </w:r>
            <w:proofErr w:type="spellEnd"/>
            <w:r w:rsidRPr="00A22BE4">
              <w:rPr>
                <w:b/>
                <w:bCs/>
                <w:color w:val="000000"/>
                <w:sz w:val="20"/>
                <w:szCs w:val="20"/>
                <w:lang w:val="es-ES_tradnl"/>
              </w:rPr>
              <w:t>)</w:t>
            </w:r>
          </w:p>
        </w:tc>
        <w:tc>
          <w:tcPr>
            <w:tcW w:w="518" w:type="pct"/>
            <w:shd w:val="clear" w:color="auto" w:fill="auto"/>
            <w:noWrap/>
            <w:tcMar>
              <w:left w:w="0" w:type="dxa"/>
              <w:right w:w="173" w:type="dxa"/>
            </w:tcMar>
            <w:vAlign w:val="center"/>
            <w:hideMark/>
          </w:tcPr>
          <w:p w14:paraId="56C8F2C1" w14:textId="77777777" w:rsidR="00AF751E" w:rsidRPr="00A22BE4" w:rsidRDefault="00AF751E" w:rsidP="00AF751E">
            <w:pPr>
              <w:keepNext/>
              <w:keepLines/>
              <w:jc w:val="center"/>
              <w:rPr>
                <w:b/>
                <w:bCs/>
                <w:color w:val="000000"/>
                <w:sz w:val="20"/>
                <w:szCs w:val="20"/>
                <w:lang w:val="es-ES_tradnl"/>
              </w:rPr>
            </w:pPr>
          </w:p>
        </w:tc>
        <w:tc>
          <w:tcPr>
            <w:tcW w:w="519" w:type="pct"/>
            <w:shd w:val="clear" w:color="auto" w:fill="auto"/>
            <w:noWrap/>
            <w:tcMar>
              <w:left w:w="0" w:type="dxa"/>
              <w:right w:w="173" w:type="dxa"/>
            </w:tcMar>
            <w:vAlign w:val="center"/>
            <w:hideMark/>
          </w:tcPr>
          <w:p w14:paraId="7615C442" w14:textId="77777777" w:rsidR="00AF751E" w:rsidRPr="00A22BE4" w:rsidRDefault="00AF751E" w:rsidP="00AF751E">
            <w:pPr>
              <w:keepNext/>
              <w:keepLines/>
              <w:jc w:val="center"/>
              <w:rPr>
                <w:b/>
                <w:bCs/>
                <w:color w:val="000000"/>
                <w:sz w:val="20"/>
                <w:szCs w:val="20"/>
                <w:lang w:val="es-ES_tradnl"/>
              </w:rPr>
            </w:pPr>
          </w:p>
        </w:tc>
        <w:tc>
          <w:tcPr>
            <w:tcW w:w="592" w:type="pct"/>
            <w:tcMar>
              <w:left w:w="0" w:type="dxa"/>
              <w:right w:w="173" w:type="dxa"/>
            </w:tcMar>
          </w:tcPr>
          <w:p w14:paraId="3C170945" w14:textId="77777777" w:rsidR="00AF751E" w:rsidRPr="00A22BE4" w:rsidRDefault="00AF751E" w:rsidP="00AF751E">
            <w:pPr>
              <w:keepNext/>
              <w:keepLines/>
              <w:jc w:val="center"/>
              <w:rPr>
                <w:b/>
                <w:bCs/>
                <w:color w:val="000000"/>
                <w:sz w:val="20"/>
                <w:szCs w:val="20"/>
                <w:lang w:val="es-ES_tradnl"/>
              </w:rPr>
            </w:pPr>
          </w:p>
        </w:tc>
        <w:tc>
          <w:tcPr>
            <w:tcW w:w="370" w:type="pct"/>
            <w:tcMar>
              <w:left w:w="0" w:type="dxa"/>
              <w:right w:w="173" w:type="dxa"/>
            </w:tcMar>
          </w:tcPr>
          <w:p w14:paraId="5ACB681E" w14:textId="77777777" w:rsidR="00AF751E" w:rsidRPr="00A22BE4" w:rsidRDefault="00AF751E" w:rsidP="00AF751E">
            <w:pPr>
              <w:keepNext/>
              <w:keepLines/>
              <w:jc w:val="center"/>
              <w:rPr>
                <w:b/>
                <w:bCs/>
                <w:color w:val="000000"/>
                <w:sz w:val="20"/>
                <w:szCs w:val="20"/>
                <w:highlight w:val="yellow"/>
                <w:lang w:val="es-ES_tradnl"/>
              </w:rPr>
            </w:pPr>
          </w:p>
        </w:tc>
        <w:tc>
          <w:tcPr>
            <w:tcW w:w="444" w:type="pct"/>
          </w:tcPr>
          <w:p w14:paraId="48662EC0" w14:textId="77777777" w:rsidR="00AF751E" w:rsidRPr="00A22BE4" w:rsidRDefault="00AF751E" w:rsidP="00AF751E">
            <w:pPr>
              <w:keepNext/>
              <w:keepLines/>
              <w:jc w:val="right"/>
              <w:rPr>
                <w:b/>
                <w:bCs/>
                <w:color w:val="000000"/>
                <w:sz w:val="20"/>
                <w:szCs w:val="20"/>
                <w:lang w:val="es-ES_tradnl"/>
              </w:rPr>
            </w:pPr>
          </w:p>
        </w:tc>
        <w:tc>
          <w:tcPr>
            <w:tcW w:w="684" w:type="pct"/>
            <w:shd w:val="clear" w:color="auto" w:fill="auto"/>
            <w:noWrap/>
            <w:tcMar>
              <w:left w:w="0" w:type="dxa"/>
              <w:right w:w="173" w:type="dxa"/>
            </w:tcMar>
            <w:vAlign w:val="center"/>
            <w:hideMark/>
          </w:tcPr>
          <w:p w14:paraId="131C4C27" w14:textId="77777777" w:rsidR="00AF751E" w:rsidRPr="00A22BE4" w:rsidRDefault="00AF751E" w:rsidP="00AF751E">
            <w:pPr>
              <w:keepNext/>
              <w:keepLines/>
              <w:jc w:val="right"/>
              <w:rPr>
                <w:b/>
                <w:bCs/>
                <w:color w:val="000000"/>
                <w:sz w:val="20"/>
                <w:szCs w:val="20"/>
                <w:lang w:val="es-ES_tradnl"/>
              </w:rPr>
            </w:pPr>
          </w:p>
        </w:tc>
      </w:tr>
      <w:tr w:rsidR="00AF751E" w:rsidRPr="00A22BE4" w14:paraId="2D542382" w14:textId="77777777" w:rsidTr="00AF751E">
        <w:trPr>
          <w:trHeight w:val="55"/>
        </w:trPr>
        <w:tc>
          <w:tcPr>
            <w:tcW w:w="1873" w:type="pct"/>
            <w:shd w:val="clear" w:color="auto" w:fill="auto"/>
            <w:noWrap/>
            <w:tcMar>
              <w:left w:w="43" w:type="dxa"/>
              <w:right w:w="43" w:type="dxa"/>
            </w:tcMar>
          </w:tcPr>
          <w:p w14:paraId="4A451D35"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 xml:space="preserve">Islas Cook </w:t>
            </w:r>
          </w:p>
        </w:tc>
        <w:tc>
          <w:tcPr>
            <w:tcW w:w="518" w:type="pct"/>
            <w:shd w:val="clear" w:color="auto" w:fill="auto"/>
            <w:noWrap/>
            <w:tcMar>
              <w:left w:w="0" w:type="dxa"/>
              <w:right w:w="173" w:type="dxa"/>
            </w:tcMar>
          </w:tcPr>
          <w:p w14:paraId="587E6600"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041BEF7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3EBF279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tcPr>
          <w:p w14:paraId="465E8088"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r w:rsidRPr="00A22BE4">
              <w:rPr>
                <w:b/>
                <w:bCs/>
                <w:color w:val="000000"/>
                <w:sz w:val="20"/>
                <w:szCs w:val="20"/>
                <w:vertAlign w:val="superscript"/>
                <w:lang w:val="es-ES_tradnl"/>
              </w:rPr>
              <w:t xml:space="preserve"> </w:t>
            </w:r>
          </w:p>
        </w:tc>
        <w:tc>
          <w:tcPr>
            <w:tcW w:w="444" w:type="pct"/>
          </w:tcPr>
          <w:p w14:paraId="3275AF7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tcPr>
          <w:p w14:paraId="67D9E5D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0.86</w:t>
            </w:r>
          </w:p>
        </w:tc>
      </w:tr>
      <w:tr w:rsidR="00AF751E" w:rsidRPr="00A22BE4" w14:paraId="7B945D18" w14:textId="77777777" w:rsidTr="00AF751E">
        <w:tc>
          <w:tcPr>
            <w:tcW w:w="1873" w:type="pct"/>
            <w:shd w:val="clear" w:color="auto" w:fill="auto"/>
            <w:noWrap/>
            <w:tcMar>
              <w:left w:w="43" w:type="dxa"/>
              <w:right w:w="43" w:type="dxa"/>
            </w:tcMar>
          </w:tcPr>
          <w:p w14:paraId="0FE2EC00"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 xml:space="preserve">Kiribati </w:t>
            </w:r>
          </w:p>
        </w:tc>
        <w:tc>
          <w:tcPr>
            <w:tcW w:w="518" w:type="pct"/>
            <w:shd w:val="clear" w:color="auto" w:fill="auto"/>
            <w:noWrap/>
            <w:tcMar>
              <w:left w:w="0" w:type="dxa"/>
              <w:right w:w="173" w:type="dxa"/>
            </w:tcMar>
          </w:tcPr>
          <w:p w14:paraId="0F84713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0.44</w:t>
            </w:r>
          </w:p>
        </w:tc>
        <w:tc>
          <w:tcPr>
            <w:tcW w:w="519" w:type="pct"/>
            <w:shd w:val="clear" w:color="auto" w:fill="auto"/>
            <w:noWrap/>
            <w:tcMar>
              <w:left w:w="0" w:type="dxa"/>
              <w:right w:w="173" w:type="dxa"/>
            </w:tcMar>
          </w:tcPr>
          <w:p w14:paraId="66F78A0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0.39</w:t>
            </w:r>
            <w:r w:rsidRPr="00A22BE4">
              <w:rPr>
                <w:sz w:val="20"/>
                <w:szCs w:val="20"/>
                <w:vertAlign w:val="superscript"/>
                <w:lang w:val="es-ES_tradnl"/>
              </w:rPr>
              <w:t>a</w:t>
            </w:r>
          </w:p>
        </w:tc>
        <w:tc>
          <w:tcPr>
            <w:tcW w:w="592" w:type="pct"/>
            <w:tcMar>
              <w:left w:w="0" w:type="dxa"/>
              <w:right w:w="173" w:type="dxa"/>
            </w:tcMar>
          </w:tcPr>
          <w:p w14:paraId="4176A92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0.22</w:t>
            </w:r>
          </w:p>
        </w:tc>
        <w:tc>
          <w:tcPr>
            <w:tcW w:w="370" w:type="pct"/>
            <w:tcMar>
              <w:left w:w="0" w:type="dxa"/>
              <w:right w:w="173" w:type="dxa"/>
            </w:tcMar>
          </w:tcPr>
          <w:p w14:paraId="0043EDA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0.45</w:t>
            </w:r>
          </w:p>
        </w:tc>
        <w:tc>
          <w:tcPr>
            <w:tcW w:w="444" w:type="pct"/>
          </w:tcPr>
          <w:p w14:paraId="4900C0C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0.07</w:t>
            </w:r>
          </w:p>
        </w:tc>
        <w:tc>
          <w:tcPr>
            <w:tcW w:w="684" w:type="pct"/>
            <w:shd w:val="clear" w:color="auto" w:fill="auto"/>
            <w:noWrap/>
            <w:tcMar>
              <w:left w:w="0" w:type="dxa"/>
              <w:right w:w="173" w:type="dxa"/>
            </w:tcMar>
            <w:vAlign w:val="center"/>
          </w:tcPr>
          <w:p w14:paraId="3CF0C3CD"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0.97</w:t>
            </w:r>
          </w:p>
        </w:tc>
      </w:tr>
      <w:tr w:rsidR="00AF751E" w:rsidRPr="00A22BE4" w14:paraId="23FAEEFF" w14:textId="77777777" w:rsidTr="00AF751E">
        <w:tc>
          <w:tcPr>
            <w:tcW w:w="1873" w:type="pct"/>
            <w:shd w:val="clear" w:color="auto" w:fill="auto"/>
            <w:noWrap/>
            <w:tcMar>
              <w:left w:w="43" w:type="dxa"/>
              <w:right w:w="43" w:type="dxa"/>
            </w:tcMar>
          </w:tcPr>
          <w:p w14:paraId="05C468D1"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Islas Marshall</w:t>
            </w:r>
          </w:p>
        </w:tc>
        <w:tc>
          <w:tcPr>
            <w:tcW w:w="518" w:type="pct"/>
            <w:shd w:val="clear" w:color="auto" w:fill="auto"/>
            <w:noWrap/>
            <w:tcMar>
              <w:left w:w="0" w:type="dxa"/>
              <w:right w:w="173" w:type="dxa"/>
            </w:tcMar>
            <w:vAlign w:val="center"/>
          </w:tcPr>
          <w:p w14:paraId="5AF5E095"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vAlign w:val="center"/>
          </w:tcPr>
          <w:p w14:paraId="25B598F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shd w:val="clear" w:color="auto" w:fill="auto"/>
            <w:tcMar>
              <w:left w:w="0" w:type="dxa"/>
              <w:right w:w="173" w:type="dxa"/>
            </w:tcMar>
          </w:tcPr>
          <w:p w14:paraId="42BAC1C1"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tcPr>
          <w:p w14:paraId="11A7EA8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444" w:type="pct"/>
          </w:tcPr>
          <w:p w14:paraId="71DCCF3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3F07A96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3.99</w:t>
            </w:r>
          </w:p>
        </w:tc>
      </w:tr>
      <w:tr w:rsidR="00AF751E" w:rsidRPr="00A22BE4" w14:paraId="2699E02A" w14:textId="77777777" w:rsidTr="00AF751E">
        <w:trPr>
          <w:trHeight w:val="265"/>
        </w:trPr>
        <w:tc>
          <w:tcPr>
            <w:tcW w:w="1873" w:type="pct"/>
            <w:shd w:val="clear" w:color="auto" w:fill="auto"/>
            <w:noWrap/>
            <w:tcMar>
              <w:left w:w="43" w:type="dxa"/>
              <w:right w:w="43" w:type="dxa"/>
            </w:tcMar>
          </w:tcPr>
          <w:p w14:paraId="6CAF7BE9"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 xml:space="preserve">Micronesia (Estados Federados de) </w:t>
            </w:r>
          </w:p>
        </w:tc>
        <w:tc>
          <w:tcPr>
            <w:tcW w:w="518" w:type="pct"/>
            <w:shd w:val="clear" w:color="auto" w:fill="auto"/>
            <w:noWrap/>
            <w:tcMar>
              <w:left w:w="0" w:type="dxa"/>
              <w:right w:w="173" w:type="dxa"/>
            </w:tcMar>
            <w:vAlign w:val="center"/>
          </w:tcPr>
          <w:p w14:paraId="23317A3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0.73</w:t>
            </w:r>
          </w:p>
        </w:tc>
        <w:tc>
          <w:tcPr>
            <w:tcW w:w="519" w:type="pct"/>
            <w:shd w:val="clear" w:color="auto" w:fill="auto"/>
            <w:noWrap/>
            <w:tcMar>
              <w:left w:w="0" w:type="dxa"/>
              <w:right w:w="173" w:type="dxa"/>
            </w:tcMar>
            <w:vAlign w:val="center"/>
          </w:tcPr>
          <w:p w14:paraId="3C2AE228"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0.07</w:t>
            </w:r>
          </w:p>
        </w:tc>
        <w:tc>
          <w:tcPr>
            <w:tcW w:w="592" w:type="pct"/>
            <w:shd w:val="clear" w:color="auto" w:fill="auto"/>
            <w:tcMar>
              <w:left w:w="0" w:type="dxa"/>
              <w:right w:w="173" w:type="dxa"/>
            </w:tcMar>
          </w:tcPr>
          <w:p w14:paraId="5432DF4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tcPr>
          <w:p w14:paraId="3EABF92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1.82</w:t>
            </w:r>
          </w:p>
        </w:tc>
        <w:tc>
          <w:tcPr>
            <w:tcW w:w="444" w:type="pct"/>
          </w:tcPr>
          <w:p w14:paraId="66828258"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37CF4BC0"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2.55</w:t>
            </w:r>
          </w:p>
        </w:tc>
      </w:tr>
      <w:tr w:rsidR="00AF751E" w:rsidRPr="00A22BE4" w14:paraId="448988F5" w14:textId="77777777" w:rsidTr="00AF751E">
        <w:tc>
          <w:tcPr>
            <w:tcW w:w="1873" w:type="pct"/>
            <w:shd w:val="clear" w:color="auto" w:fill="auto"/>
            <w:noWrap/>
            <w:tcMar>
              <w:left w:w="43" w:type="dxa"/>
              <w:right w:w="43" w:type="dxa"/>
            </w:tcMar>
          </w:tcPr>
          <w:p w14:paraId="783975CF"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Nauru</w:t>
            </w:r>
          </w:p>
        </w:tc>
        <w:tc>
          <w:tcPr>
            <w:tcW w:w="518" w:type="pct"/>
            <w:shd w:val="clear" w:color="auto" w:fill="auto"/>
            <w:noWrap/>
            <w:tcMar>
              <w:left w:w="0" w:type="dxa"/>
              <w:right w:w="173" w:type="dxa"/>
            </w:tcMar>
            <w:vAlign w:val="center"/>
          </w:tcPr>
          <w:p w14:paraId="4F697C2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0.15</w:t>
            </w:r>
          </w:p>
        </w:tc>
        <w:tc>
          <w:tcPr>
            <w:tcW w:w="519" w:type="pct"/>
            <w:shd w:val="clear" w:color="auto" w:fill="auto"/>
            <w:noWrap/>
            <w:tcMar>
              <w:left w:w="0" w:type="dxa"/>
              <w:right w:w="173" w:type="dxa"/>
            </w:tcMar>
            <w:vAlign w:val="center"/>
          </w:tcPr>
          <w:p w14:paraId="1CCC20F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shd w:val="clear" w:color="auto" w:fill="auto"/>
            <w:tcMar>
              <w:left w:w="0" w:type="dxa"/>
              <w:right w:w="173" w:type="dxa"/>
            </w:tcMar>
          </w:tcPr>
          <w:p w14:paraId="5E19337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tcPr>
          <w:p w14:paraId="07D83B9E"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444" w:type="pct"/>
          </w:tcPr>
          <w:p w14:paraId="0D73D8A5"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304AE6E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0.18</w:t>
            </w:r>
          </w:p>
        </w:tc>
      </w:tr>
      <w:tr w:rsidR="00AF751E" w:rsidRPr="00A22BE4" w14:paraId="46ECDB6E" w14:textId="77777777" w:rsidTr="00AF751E">
        <w:tc>
          <w:tcPr>
            <w:tcW w:w="1873" w:type="pct"/>
            <w:shd w:val="clear" w:color="auto" w:fill="auto"/>
            <w:noWrap/>
            <w:tcMar>
              <w:left w:w="43" w:type="dxa"/>
              <w:right w:w="43" w:type="dxa"/>
            </w:tcMar>
          </w:tcPr>
          <w:p w14:paraId="6B57F2B2"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Niue</w:t>
            </w:r>
          </w:p>
        </w:tc>
        <w:tc>
          <w:tcPr>
            <w:tcW w:w="518" w:type="pct"/>
            <w:shd w:val="clear" w:color="auto" w:fill="auto"/>
            <w:noWrap/>
            <w:tcMar>
              <w:left w:w="0" w:type="dxa"/>
              <w:right w:w="173" w:type="dxa"/>
            </w:tcMar>
          </w:tcPr>
          <w:p w14:paraId="280692B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1F387B6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54E42731"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tcPr>
          <w:p w14:paraId="4FC062C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444" w:type="pct"/>
          </w:tcPr>
          <w:p w14:paraId="229A86A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1D2C48AD"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0.15</w:t>
            </w:r>
          </w:p>
        </w:tc>
      </w:tr>
      <w:tr w:rsidR="00AF751E" w:rsidRPr="00A22BE4" w14:paraId="4EF74F7A" w14:textId="77777777" w:rsidTr="00AF751E">
        <w:tc>
          <w:tcPr>
            <w:tcW w:w="1873" w:type="pct"/>
            <w:shd w:val="clear" w:color="auto" w:fill="auto"/>
            <w:noWrap/>
            <w:tcMar>
              <w:left w:w="43" w:type="dxa"/>
              <w:right w:w="43" w:type="dxa"/>
            </w:tcMar>
          </w:tcPr>
          <w:p w14:paraId="07AAE8DA" w14:textId="77777777" w:rsidR="00AF751E" w:rsidRPr="00A22BE4" w:rsidRDefault="00AF751E" w:rsidP="00AF751E">
            <w:pPr>
              <w:keepNext/>
              <w:keepLines/>
              <w:jc w:val="left"/>
              <w:rPr>
                <w:color w:val="000000"/>
                <w:sz w:val="20"/>
                <w:szCs w:val="20"/>
                <w:lang w:val="es-ES_tradnl"/>
              </w:rPr>
            </w:pPr>
            <w:proofErr w:type="spellStart"/>
            <w:r w:rsidRPr="00A22BE4">
              <w:rPr>
                <w:color w:val="000000"/>
                <w:sz w:val="20"/>
                <w:szCs w:val="20"/>
                <w:lang w:val="es-ES_tradnl"/>
              </w:rPr>
              <w:t>Palau</w:t>
            </w:r>
            <w:proofErr w:type="spellEnd"/>
          </w:p>
        </w:tc>
        <w:tc>
          <w:tcPr>
            <w:tcW w:w="518" w:type="pct"/>
            <w:shd w:val="clear" w:color="auto" w:fill="auto"/>
            <w:noWrap/>
            <w:tcMar>
              <w:left w:w="0" w:type="dxa"/>
              <w:right w:w="173" w:type="dxa"/>
            </w:tcMar>
            <w:vAlign w:val="center"/>
          </w:tcPr>
          <w:p w14:paraId="42B3972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2.11</w:t>
            </w:r>
          </w:p>
        </w:tc>
        <w:tc>
          <w:tcPr>
            <w:tcW w:w="519" w:type="pct"/>
            <w:shd w:val="clear" w:color="auto" w:fill="auto"/>
            <w:noWrap/>
            <w:tcMar>
              <w:left w:w="0" w:type="dxa"/>
              <w:right w:w="173" w:type="dxa"/>
            </w:tcMar>
            <w:vAlign w:val="center"/>
          </w:tcPr>
          <w:p w14:paraId="7EBAE0E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1.80</w:t>
            </w:r>
          </w:p>
        </w:tc>
        <w:tc>
          <w:tcPr>
            <w:tcW w:w="592" w:type="pct"/>
            <w:shd w:val="clear" w:color="auto" w:fill="auto"/>
            <w:tcMar>
              <w:left w:w="0" w:type="dxa"/>
              <w:right w:w="173" w:type="dxa"/>
            </w:tcMar>
          </w:tcPr>
          <w:p w14:paraId="6253C68D"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1.20</w:t>
            </w:r>
          </w:p>
        </w:tc>
        <w:tc>
          <w:tcPr>
            <w:tcW w:w="370" w:type="pct"/>
            <w:tcMar>
              <w:left w:w="0" w:type="dxa"/>
              <w:right w:w="173" w:type="dxa"/>
            </w:tcMar>
          </w:tcPr>
          <w:p w14:paraId="42F5032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0.13</w:t>
            </w:r>
          </w:p>
        </w:tc>
        <w:tc>
          <w:tcPr>
            <w:tcW w:w="444" w:type="pct"/>
          </w:tcPr>
          <w:p w14:paraId="4C862F7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0.06</w:t>
            </w:r>
          </w:p>
        </w:tc>
        <w:tc>
          <w:tcPr>
            <w:tcW w:w="684" w:type="pct"/>
            <w:shd w:val="clear" w:color="auto" w:fill="auto"/>
            <w:noWrap/>
            <w:tcMar>
              <w:left w:w="0" w:type="dxa"/>
              <w:right w:w="173" w:type="dxa"/>
            </w:tcMar>
            <w:vAlign w:val="center"/>
          </w:tcPr>
          <w:p w14:paraId="52D84C6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2.97</w:t>
            </w:r>
            <w:r w:rsidRPr="00A22BE4">
              <w:rPr>
                <w:sz w:val="19"/>
                <w:szCs w:val="19"/>
                <w:vertAlign w:val="superscript"/>
                <w:lang w:val="es-ES_tradnl"/>
              </w:rPr>
              <w:t>c</w:t>
            </w:r>
          </w:p>
        </w:tc>
      </w:tr>
      <w:tr w:rsidR="00AF751E" w:rsidRPr="00A22BE4" w14:paraId="6DB8381C" w14:textId="77777777" w:rsidTr="00AF751E">
        <w:tc>
          <w:tcPr>
            <w:tcW w:w="1873" w:type="pct"/>
            <w:shd w:val="clear" w:color="auto" w:fill="auto"/>
            <w:noWrap/>
            <w:tcMar>
              <w:left w:w="43" w:type="dxa"/>
              <w:right w:w="43" w:type="dxa"/>
            </w:tcMar>
          </w:tcPr>
          <w:p w14:paraId="00B0C92D"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Samoa</w:t>
            </w:r>
          </w:p>
        </w:tc>
        <w:tc>
          <w:tcPr>
            <w:tcW w:w="518" w:type="pct"/>
            <w:shd w:val="clear" w:color="auto" w:fill="auto"/>
            <w:noWrap/>
            <w:tcMar>
              <w:left w:w="0" w:type="dxa"/>
              <w:right w:w="173" w:type="dxa"/>
            </w:tcMar>
            <w:vAlign w:val="center"/>
          </w:tcPr>
          <w:p w14:paraId="19226C4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1.05</w:t>
            </w:r>
          </w:p>
        </w:tc>
        <w:tc>
          <w:tcPr>
            <w:tcW w:w="519" w:type="pct"/>
            <w:shd w:val="clear" w:color="auto" w:fill="auto"/>
            <w:noWrap/>
            <w:tcMar>
              <w:left w:w="0" w:type="dxa"/>
              <w:right w:w="173" w:type="dxa"/>
            </w:tcMar>
            <w:vAlign w:val="center"/>
          </w:tcPr>
          <w:p w14:paraId="58A0008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1.35</w:t>
            </w:r>
          </w:p>
        </w:tc>
        <w:tc>
          <w:tcPr>
            <w:tcW w:w="592" w:type="pct"/>
            <w:shd w:val="clear" w:color="auto" w:fill="auto"/>
            <w:tcMar>
              <w:left w:w="0" w:type="dxa"/>
              <w:right w:w="173" w:type="dxa"/>
            </w:tcMar>
          </w:tcPr>
          <w:p w14:paraId="0D42587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0.23</w:t>
            </w:r>
          </w:p>
        </w:tc>
        <w:tc>
          <w:tcPr>
            <w:tcW w:w="370" w:type="pct"/>
            <w:tcMar>
              <w:left w:w="0" w:type="dxa"/>
              <w:right w:w="173" w:type="dxa"/>
            </w:tcMar>
          </w:tcPr>
          <w:p w14:paraId="4548753E"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0.19</w:t>
            </w:r>
          </w:p>
        </w:tc>
        <w:tc>
          <w:tcPr>
            <w:tcW w:w="444" w:type="pct"/>
          </w:tcPr>
          <w:p w14:paraId="07C6A53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0.78</w:t>
            </w:r>
          </w:p>
        </w:tc>
        <w:tc>
          <w:tcPr>
            <w:tcW w:w="684" w:type="pct"/>
            <w:shd w:val="clear" w:color="auto" w:fill="auto"/>
            <w:noWrap/>
            <w:tcMar>
              <w:left w:w="0" w:type="dxa"/>
              <w:right w:w="173" w:type="dxa"/>
            </w:tcMar>
            <w:vAlign w:val="center"/>
          </w:tcPr>
          <w:p w14:paraId="6ABCF2B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4.60</w:t>
            </w:r>
          </w:p>
        </w:tc>
      </w:tr>
      <w:tr w:rsidR="00AF751E" w:rsidRPr="00A22BE4" w14:paraId="7B50E203" w14:textId="77777777" w:rsidTr="00AF751E">
        <w:tc>
          <w:tcPr>
            <w:tcW w:w="1873" w:type="pct"/>
            <w:shd w:val="clear" w:color="auto" w:fill="auto"/>
            <w:noWrap/>
            <w:tcMar>
              <w:left w:w="43" w:type="dxa"/>
              <w:right w:w="43" w:type="dxa"/>
            </w:tcMar>
          </w:tcPr>
          <w:p w14:paraId="4F4D7E03"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Islas Salomón</w:t>
            </w:r>
          </w:p>
        </w:tc>
        <w:tc>
          <w:tcPr>
            <w:tcW w:w="518" w:type="pct"/>
            <w:shd w:val="clear" w:color="auto" w:fill="auto"/>
            <w:noWrap/>
            <w:tcMar>
              <w:left w:w="0" w:type="dxa"/>
              <w:right w:w="173" w:type="dxa"/>
            </w:tcMar>
            <w:vAlign w:val="center"/>
          </w:tcPr>
          <w:p w14:paraId="6AE80C08"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2.17</w:t>
            </w:r>
          </w:p>
        </w:tc>
        <w:tc>
          <w:tcPr>
            <w:tcW w:w="519" w:type="pct"/>
            <w:shd w:val="clear" w:color="auto" w:fill="auto"/>
            <w:noWrap/>
            <w:tcMar>
              <w:left w:w="0" w:type="dxa"/>
              <w:right w:w="173" w:type="dxa"/>
            </w:tcMar>
            <w:vAlign w:val="center"/>
          </w:tcPr>
          <w:p w14:paraId="6322920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4.20</w:t>
            </w:r>
          </w:p>
        </w:tc>
        <w:tc>
          <w:tcPr>
            <w:tcW w:w="592" w:type="pct"/>
            <w:shd w:val="clear" w:color="auto" w:fill="auto"/>
            <w:tcMar>
              <w:left w:w="0" w:type="dxa"/>
              <w:right w:w="173" w:type="dxa"/>
            </w:tcMar>
          </w:tcPr>
          <w:p w14:paraId="404911F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3.63</w:t>
            </w:r>
          </w:p>
        </w:tc>
        <w:tc>
          <w:tcPr>
            <w:tcW w:w="370" w:type="pct"/>
            <w:tcMar>
              <w:left w:w="0" w:type="dxa"/>
              <w:right w:w="173" w:type="dxa"/>
            </w:tcMar>
          </w:tcPr>
          <w:p w14:paraId="4E42775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1.49</w:t>
            </w:r>
          </w:p>
        </w:tc>
        <w:tc>
          <w:tcPr>
            <w:tcW w:w="444" w:type="pct"/>
          </w:tcPr>
          <w:p w14:paraId="66E8F2D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1.47</w:t>
            </w:r>
          </w:p>
        </w:tc>
        <w:tc>
          <w:tcPr>
            <w:tcW w:w="684" w:type="pct"/>
            <w:shd w:val="clear" w:color="auto" w:fill="auto"/>
            <w:noWrap/>
            <w:tcMar>
              <w:left w:w="0" w:type="dxa"/>
              <w:right w:w="173" w:type="dxa"/>
            </w:tcMar>
            <w:vAlign w:val="center"/>
          </w:tcPr>
          <w:p w14:paraId="11B8D85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35.05</w:t>
            </w:r>
            <w:r w:rsidRPr="00A22BE4">
              <w:rPr>
                <w:sz w:val="19"/>
                <w:szCs w:val="19"/>
                <w:vertAlign w:val="superscript"/>
                <w:lang w:val="es-ES_tradnl"/>
              </w:rPr>
              <w:t>c</w:t>
            </w:r>
          </w:p>
        </w:tc>
      </w:tr>
      <w:tr w:rsidR="00AF751E" w:rsidRPr="00A22BE4" w14:paraId="43442454" w14:textId="77777777" w:rsidTr="00AF751E">
        <w:tc>
          <w:tcPr>
            <w:tcW w:w="1873" w:type="pct"/>
            <w:shd w:val="clear" w:color="auto" w:fill="auto"/>
            <w:noWrap/>
            <w:tcMar>
              <w:left w:w="43" w:type="dxa"/>
              <w:right w:w="43" w:type="dxa"/>
            </w:tcMar>
          </w:tcPr>
          <w:p w14:paraId="68FB8DD1"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Tonga</w:t>
            </w:r>
          </w:p>
        </w:tc>
        <w:tc>
          <w:tcPr>
            <w:tcW w:w="518" w:type="pct"/>
            <w:shd w:val="clear" w:color="auto" w:fill="auto"/>
            <w:noWrap/>
            <w:tcMar>
              <w:left w:w="0" w:type="dxa"/>
              <w:right w:w="173" w:type="dxa"/>
            </w:tcMar>
            <w:vAlign w:val="center"/>
          </w:tcPr>
          <w:p w14:paraId="157C672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0.04</w:t>
            </w:r>
          </w:p>
        </w:tc>
        <w:tc>
          <w:tcPr>
            <w:tcW w:w="519" w:type="pct"/>
            <w:shd w:val="clear" w:color="auto" w:fill="auto"/>
            <w:noWrap/>
            <w:tcMar>
              <w:left w:w="0" w:type="dxa"/>
              <w:right w:w="173" w:type="dxa"/>
            </w:tcMar>
            <w:vAlign w:val="center"/>
          </w:tcPr>
          <w:p w14:paraId="608E80B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0.10</w:t>
            </w:r>
          </w:p>
        </w:tc>
        <w:tc>
          <w:tcPr>
            <w:tcW w:w="592" w:type="pct"/>
            <w:shd w:val="clear" w:color="auto" w:fill="auto"/>
            <w:tcMar>
              <w:left w:w="0" w:type="dxa"/>
              <w:right w:w="173" w:type="dxa"/>
            </w:tcMar>
          </w:tcPr>
          <w:p w14:paraId="55ED9B4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0.09</w:t>
            </w:r>
          </w:p>
        </w:tc>
        <w:tc>
          <w:tcPr>
            <w:tcW w:w="370" w:type="pct"/>
            <w:tcMar>
              <w:left w:w="0" w:type="dxa"/>
              <w:right w:w="173" w:type="dxa"/>
            </w:tcMar>
          </w:tcPr>
          <w:p w14:paraId="176A59E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0.02</w:t>
            </w:r>
          </w:p>
        </w:tc>
        <w:tc>
          <w:tcPr>
            <w:tcW w:w="444" w:type="pct"/>
          </w:tcPr>
          <w:p w14:paraId="66085A85"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0.02</w:t>
            </w:r>
          </w:p>
        </w:tc>
        <w:tc>
          <w:tcPr>
            <w:tcW w:w="684" w:type="pct"/>
            <w:shd w:val="clear" w:color="auto" w:fill="auto"/>
            <w:noWrap/>
            <w:tcMar>
              <w:left w:w="0" w:type="dxa"/>
              <w:right w:w="173" w:type="dxa"/>
            </w:tcMar>
            <w:vAlign w:val="center"/>
          </w:tcPr>
          <w:p w14:paraId="69858B7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2.55</w:t>
            </w:r>
            <w:r w:rsidRPr="00A22BE4">
              <w:rPr>
                <w:sz w:val="19"/>
                <w:szCs w:val="19"/>
                <w:vertAlign w:val="superscript"/>
                <w:lang w:val="es-ES_tradnl"/>
              </w:rPr>
              <w:t>c</w:t>
            </w:r>
          </w:p>
        </w:tc>
      </w:tr>
      <w:tr w:rsidR="00AF751E" w:rsidRPr="00A22BE4" w14:paraId="15E03C08" w14:textId="77777777" w:rsidTr="00AF751E">
        <w:tc>
          <w:tcPr>
            <w:tcW w:w="1873" w:type="pct"/>
            <w:shd w:val="clear" w:color="auto" w:fill="auto"/>
            <w:noWrap/>
            <w:tcMar>
              <w:left w:w="43" w:type="dxa"/>
              <w:right w:w="43" w:type="dxa"/>
            </w:tcMar>
          </w:tcPr>
          <w:p w14:paraId="28328B06"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Tuvalu</w:t>
            </w:r>
          </w:p>
        </w:tc>
        <w:tc>
          <w:tcPr>
            <w:tcW w:w="518" w:type="pct"/>
            <w:shd w:val="clear" w:color="auto" w:fill="auto"/>
            <w:noWrap/>
            <w:tcMar>
              <w:left w:w="0" w:type="dxa"/>
              <w:right w:w="173" w:type="dxa"/>
            </w:tcMar>
            <w:vAlign w:val="center"/>
          </w:tcPr>
          <w:p w14:paraId="360C3D3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0.12</w:t>
            </w:r>
          </w:p>
        </w:tc>
        <w:tc>
          <w:tcPr>
            <w:tcW w:w="519" w:type="pct"/>
            <w:shd w:val="clear" w:color="auto" w:fill="auto"/>
            <w:noWrap/>
            <w:tcMar>
              <w:left w:w="0" w:type="dxa"/>
              <w:right w:w="173" w:type="dxa"/>
            </w:tcMar>
            <w:vAlign w:val="center"/>
          </w:tcPr>
          <w:p w14:paraId="0E957798"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0.20</w:t>
            </w:r>
          </w:p>
        </w:tc>
        <w:tc>
          <w:tcPr>
            <w:tcW w:w="592" w:type="pct"/>
            <w:shd w:val="clear" w:color="auto" w:fill="auto"/>
            <w:tcMar>
              <w:left w:w="0" w:type="dxa"/>
              <w:right w:w="173" w:type="dxa"/>
            </w:tcMar>
          </w:tcPr>
          <w:p w14:paraId="1719CB6D"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0.03</w:t>
            </w:r>
          </w:p>
        </w:tc>
        <w:tc>
          <w:tcPr>
            <w:tcW w:w="370" w:type="pct"/>
            <w:tcMar>
              <w:left w:w="0" w:type="dxa"/>
              <w:right w:w="173" w:type="dxa"/>
            </w:tcMar>
          </w:tcPr>
          <w:p w14:paraId="539DD9D5" w14:textId="77777777" w:rsidR="00AF751E" w:rsidRPr="00A22BE4" w:rsidRDefault="00AF751E" w:rsidP="00AF751E">
            <w:pPr>
              <w:keepNext/>
              <w:keepLines/>
              <w:spacing w:line="240" w:lineRule="atLeast"/>
              <w:jc w:val="right"/>
              <w:rPr>
                <w:sz w:val="20"/>
                <w:szCs w:val="20"/>
                <w:lang w:val="es-ES_tradnl"/>
              </w:rPr>
            </w:pPr>
            <w:r w:rsidRPr="00A22BE4">
              <w:rPr>
                <w:color w:val="000000" w:themeColor="text1"/>
                <w:sz w:val="20"/>
                <w:szCs w:val="20"/>
                <w:lang w:val="es-ES_tradnl"/>
              </w:rPr>
              <w:t>0.00</w:t>
            </w:r>
            <w:r w:rsidRPr="00A22BE4">
              <w:rPr>
                <w:b/>
                <w:bCs/>
                <w:color w:val="000000" w:themeColor="text1"/>
                <w:sz w:val="20"/>
                <w:szCs w:val="20"/>
                <w:vertAlign w:val="superscript"/>
                <w:lang w:val="es-ES_tradnl"/>
              </w:rPr>
              <w:t xml:space="preserve"> </w:t>
            </w:r>
          </w:p>
        </w:tc>
        <w:tc>
          <w:tcPr>
            <w:tcW w:w="444" w:type="pct"/>
          </w:tcPr>
          <w:p w14:paraId="69BA93E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0.03</w:t>
            </w:r>
          </w:p>
        </w:tc>
        <w:tc>
          <w:tcPr>
            <w:tcW w:w="684" w:type="pct"/>
            <w:shd w:val="clear" w:color="auto" w:fill="auto"/>
            <w:noWrap/>
            <w:tcMar>
              <w:left w:w="0" w:type="dxa"/>
              <w:right w:w="173" w:type="dxa"/>
            </w:tcMar>
            <w:vAlign w:val="center"/>
          </w:tcPr>
          <w:p w14:paraId="35C9B2E1"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1.64</w:t>
            </w:r>
          </w:p>
        </w:tc>
      </w:tr>
      <w:tr w:rsidR="00AF751E" w:rsidRPr="00A22BE4" w14:paraId="00C501D0" w14:textId="77777777" w:rsidTr="00AF751E">
        <w:tc>
          <w:tcPr>
            <w:tcW w:w="1873" w:type="pct"/>
            <w:shd w:val="clear" w:color="auto" w:fill="auto"/>
            <w:noWrap/>
            <w:tcMar>
              <w:left w:w="43" w:type="dxa"/>
              <w:right w:w="43" w:type="dxa"/>
            </w:tcMar>
          </w:tcPr>
          <w:p w14:paraId="566BADA9"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Vanuatu</w:t>
            </w:r>
          </w:p>
        </w:tc>
        <w:tc>
          <w:tcPr>
            <w:tcW w:w="518" w:type="pct"/>
            <w:shd w:val="clear" w:color="auto" w:fill="auto"/>
            <w:noWrap/>
            <w:tcMar>
              <w:left w:w="0" w:type="dxa"/>
              <w:right w:w="173" w:type="dxa"/>
            </w:tcMar>
            <w:vAlign w:val="center"/>
          </w:tcPr>
          <w:p w14:paraId="7BF2136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vAlign w:val="center"/>
          </w:tcPr>
          <w:p w14:paraId="10DFE6B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0.22</w:t>
            </w:r>
          </w:p>
        </w:tc>
        <w:tc>
          <w:tcPr>
            <w:tcW w:w="592" w:type="pct"/>
            <w:shd w:val="clear" w:color="auto" w:fill="auto"/>
            <w:tcMar>
              <w:left w:w="0" w:type="dxa"/>
              <w:right w:w="173" w:type="dxa"/>
            </w:tcMar>
          </w:tcPr>
          <w:p w14:paraId="78A28AE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0.29</w:t>
            </w:r>
          </w:p>
        </w:tc>
        <w:tc>
          <w:tcPr>
            <w:tcW w:w="370" w:type="pct"/>
            <w:tcMar>
              <w:left w:w="0" w:type="dxa"/>
              <w:right w:w="173" w:type="dxa"/>
            </w:tcMar>
          </w:tcPr>
          <w:p w14:paraId="0EB71E3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0.22</w:t>
            </w:r>
            <w:r w:rsidRPr="00A22BE4">
              <w:rPr>
                <w:sz w:val="19"/>
                <w:szCs w:val="19"/>
                <w:vertAlign w:val="superscript"/>
                <w:lang w:val="es-ES_tradnl"/>
              </w:rPr>
              <w:t>b</w:t>
            </w:r>
          </w:p>
        </w:tc>
        <w:tc>
          <w:tcPr>
            <w:tcW w:w="444" w:type="pct"/>
          </w:tcPr>
          <w:p w14:paraId="220E6E8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1EB42A3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5.11</w:t>
            </w:r>
            <w:r w:rsidRPr="00A22BE4">
              <w:rPr>
                <w:sz w:val="19"/>
                <w:szCs w:val="19"/>
                <w:vertAlign w:val="superscript"/>
                <w:lang w:val="es-ES_tradnl"/>
              </w:rPr>
              <w:t>c</w:t>
            </w:r>
          </w:p>
        </w:tc>
      </w:tr>
      <w:tr w:rsidR="00AF751E" w:rsidRPr="00A22BE4" w14:paraId="3F58A71D" w14:textId="77777777" w:rsidTr="00AF751E">
        <w:tc>
          <w:tcPr>
            <w:tcW w:w="1873" w:type="pct"/>
            <w:shd w:val="clear" w:color="auto" w:fill="auto"/>
            <w:noWrap/>
            <w:tcMar>
              <w:left w:w="43" w:type="dxa"/>
              <w:right w:w="43" w:type="dxa"/>
            </w:tcMar>
            <w:vAlign w:val="center"/>
            <w:hideMark/>
          </w:tcPr>
          <w:p w14:paraId="20E33D04" w14:textId="77777777" w:rsidR="00AF751E" w:rsidRPr="00A22BE4" w:rsidRDefault="00AF751E" w:rsidP="00AF751E">
            <w:pPr>
              <w:keepNext/>
              <w:keepLines/>
              <w:spacing w:line="240" w:lineRule="atLeast"/>
              <w:jc w:val="left"/>
              <w:rPr>
                <w:b/>
                <w:color w:val="000000"/>
                <w:sz w:val="20"/>
                <w:szCs w:val="20"/>
                <w:lang w:val="es-ES_tradnl"/>
              </w:rPr>
            </w:pPr>
            <w:r w:rsidRPr="00A22BE4">
              <w:rPr>
                <w:b/>
                <w:color w:val="000000"/>
                <w:sz w:val="20"/>
                <w:szCs w:val="20"/>
                <w:lang w:val="es-ES_tradnl"/>
              </w:rPr>
              <w:t>Total (</w:t>
            </w:r>
            <w:proofErr w:type="spellStart"/>
            <w:r w:rsidRPr="00A22BE4">
              <w:rPr>
                <w:b/>
                <w:color w:val="000000"/>
                <w:sz w:val="20"/>
                <w:szCs w:val="20"/>
                <w:lang w:val="es-ES_tradnl"/>
              </w:rPr>
              <w:t>tm</w:t>
            </w:r>
            <w:proofErr w:type="spellEnd"/>
            <w:r w:rsidRPr="00A22BE4">
              <w:rPr>
                <w:b/>
                <w:color w:val="000000"/>
                <w:sz w:val="20"/>
                <w:szCs w:val="20"/>
                <w:lang w:val="es-ES_tradnl"/>
              </w:rPr>
              <w:t>)</w:t>
            </w:r>
          </w:p>
        </w:tc>
        <w:tc>
          <w:tcPr>
            <w:tcW w:w="518" w:type="pct"/>
            <w:shd w:val="clear" w:color="auto" w:fill="auto"/>
            <w:noWrap/>
            <w:tcMar>
              <w:left w:w="0" w:type="dxa"/>
              <w:right w:w="173" w:type="dxa"/>
            </w:tcMar>
          </w:tcPr>
          <w:p w14:paraId="48A87BA0"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6.81</w:t>
            </w:r>
          </w:p>
        </w:tc>
        <w:tc>
          <w:tcPr>
            <w:tcW w:w="519" w:type="pct"/>
            <w:shd w:val="clear" w:color="auto" w:fill="auto"/>
            <w:noWrap/>
            <w:tcMar>
              <w:left w:w="0" w:type="dxa"/>
              <w:right w:w="173" w:type="dxa"/>
            </w:tcMar>
          </w:tcPr>
          <w:p w14:paraId="029B7ECF"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8.33</w:t>
            </w:r>
          </w:p>
        </w:tc>
        <w:tc>
          <w:tcPr>
            <w:tcW w:w="592" w:type="pct"/>
            <w:tcMar>
              <w:left w:w="0" w:type="dxa"/>
              <w:right w:w="173" w:type="dxa"/>
            </w:tcMar>
          </w:tcPr>
          <w:p w14:paraId="225C868B"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5.68</w:t>
            </w:r>
          </w:p>
        </w:tc>
        <w:tc>
          <w:tcPr>
            <w:tcW w:w="370" w:type="pct"/>
            <w:tcMar>
              <w:left w:w="0" w:type="dxa"/>
              <w:right w:w="173" w:type="dxa"/>
            </w:tcMar>
          </w:tcPr>
          <w:p w14:paraId="52A256F1"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4.32</w:t>
            </w:r>
          </w:p>
        </w:tc>
        <w:tc>
          <w:tcPr>
            <w:tcW w:w="444" w:type="pct"/>
          </w:tcPr>
          <w:p w14:paraId="38EE413B"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2.43</w:t>
            </w:r>
          </w:p>
        </w:tc>
        <w:tc>
          <w:tcPr>
            <w:tcW w:w="684" w:type="pct"/>
            <w:shd w:val="clear" w:color="auto" w:fill="auto"/>
            <w:noWrap/>
            <w:tcMar>
              <w:left w:w="0" w:type="dxa"/>
              <w:right w:w="173" w:type="dxa"/>
            </w:tcMar>
            <w:vAlign w:val="center"/>
          </w:tcPr>
          <w:p w14:paraId="27493A91"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60.62</w:t>
            </w:r>
          </w:p>
        </w:tc>
      </w:tr>
      <w:tr w:rsidR="00AF751E" w:rsidRPr="00A22BE4" w14:paraId="34160BD3" w14:textId="77777777" w:rsidTr="00AF751E">
        <w:tc>
          <w:tcPr>
            <w:tcW w:w="1873" w:type="pct"/>
            <w:shd w:val="clear" w:color="auto" w:fill="auto"/>
            <w:noWrap/>
            <w:tcMar>
              <w:left w:w="43" w:type="dxa"/>
              <w:right w:w="43" w:type="dxa"/>
            </w:tcMar>
            <w:vAlign w:val="center"/>
            <w:hideMark/>
          </w:tcPr>
          <w:p w14:paraId="470FE697" w14:textId="77777777" w:rsidR="00AF751E" w:rsidRPr="00A22BE4" w:rsidRDefault="00AF751E" w:rsidP="00AF751E">
            <w:pPr>
              <w:keepNext/>
              <w:keepLines/>
              <w:jc w:val="left"/>
              <w:rPr>
                <w:b/>
                <w:bCs/>
                <w:color w:val="000000"/>
                <w:sz w:val="20"/>
                <w:szCs w:val="20"/>
                <w:lang w:val="es-ES_tradnl"/>
              </w:rPr>
            </w:pPr>
            <w:r w:rsidRPr="00A22BE4">
              <w:rPr>
                <w:b/>
                <w:bCs/>
                <w:color w:val="000000"/>
                <w:sz w:val="20"/>
                <w:szCs w:val="20"/>
                <w:lang w:val="es-ES_tradnl"/>
              </w:rPr>
              <w:t>Toneladas PAO</w:t>
            </w:r>
          </w:p>
        </w:tc>
        <w:tc>
          <w:tcPr>
            <w:tcW w:w="518" w:type="pct"/>
            <w:shd w:val="clear" w:color="auto" w:fill="auto"/>
            <w:noWrap/>
            <w:tcMar>
              <w:left w:w="0" w:type="dxa"/>
              <w:right w:w="173" w:type="dxa"/>
            </w:tcMar>
          </w:tcPr>
          <w:p w14:paraId="480E0DA4" w14:textId="77777777" w:rsidR="00AF751E" w:rsidRPr="00A22BE4" w:rsidRDefault="00AF751E" w:rsidP="00AF751E">
            <w:pPr>
              <w:keepNext/>
              <w:keepLines/>
              <w:spacing w:line="240" w:lineRule="atLeast"/>
              <w:jc w:val="right"/>
              <w:rPr>
                <w:sz w:val="20"/>
                <w:szCs w:val="20"/>
                <w:lang w:val="es-ES_tradnl"/>
              </w:rPr>
            </w:pPr>
          </w:p>
        </w:tc>
        <w:tc>
          <w:tcPr>
            <w:tcW w:w="519" w:type="pct"/>
            <w:shd w:val="clear" w:color="auto" w:fill="auto"/>
            <w:noWrap/>
            <w:tcMar>
              <w:left w:w="0" w:type="dxa"/>
              <w:right w:w="173" w:type="dxa"/>
            </w:tcMar>
          </w:tcPr>
          <w:p w14:paraId="5E2E1DCD" w14:textId="77777777" w:rsidR="00AF751E" w:rsidRPr="00A22BE4" w:rsidRDefault="00AF751E" w:rsidP="00AF751E">
            <w:pPr>
              <w:keepNext/>
              <w:keepLines/>
              <w:spacing w:line="240" w:lineRule="atLeast"/>
              <w:jc w:val="right"/>
              <w:rPr>
                <w:sz w:val="20"/>
                <w:szCs w:val="20"/>
                <w:lang w:val="es-ES_tradnl"/>
              </w:rPr>
            </w:pPr>
          </w:p>
        </w:tc>
        <w:tc>
          <w:tcPr>
            <w:tcW w:w="592" w:type="pct"/>
            <w:tcMar>
              <w:left w:w="0" w:type="dxa"/>
              <w:right w:w="173" w:type="dxa"/>
            </w:tcMar>
          </w:tcPr>
          <w:p w14:paraId="2A3A176B" w14:textId="77777777" w:rsidR="00AF751E" w:rsidRPr="00A22BE4" w:rsidRDefault="00AF751E" w:rsidP="00AF751E">
            <w:pPr>
              <w:keepNext/>
              <w:keepLines/>
              <w:spacing w:line="240" w:lineRule="atLeast"/>
              <w:jc w:val="right"/>
              <w:rPr>
                <w:sz w:val="20"/>
                <w:szCs w:val="20"/>
                <w:lang w:val="es-ES_tradnl"/>
              </w:rPr>
            </w:pPr>
          </w:p>
        </w:tc>
        <w:tc>
          <w:tcPr>
            <w:tcW w:w="370" w:type="pct"/>
            <w:tcMar>
              <w:left w:w="0" w:type="dxa"/>
              <w:right w:w="173" w:type="dxa"/>
            </w:tcMar>
          </w:tcPr>
          <w:p w14:paraId="11A12476" w14:textId="77777777" w:rsidR="00AF751E" w:rsidRPr="00A22BE4" w:rsidRDefault="00AF751E" w:rsidP="00AF751E">
            <w:pPr>
              <w:keepNext/>
              <w:keepLines/>
              <w:spacing w:line="240" w:lineRule="atLeast"/>
              <w:jc w:val="right"/>
              <w:rPr>
                <w:sz w:val="20"/>
                <w:szCs w:val="20"/>
                <w:lang w:val="es-ES_tradnl"/>
              </w:rPr>
            </w:pPr>
          </w:p>
        </w:tc>
        <w:tc>
          <w:tcPr>
            <w:tcW w:w="444" w:type="pct"/>
          </w:tcPr>
          <w:p w14:paraId="6E008C5F" w14:textId="77777777" w:rsidR="00AF751E" w:rsidRPr="00A22BE4" w:rsidRDefault="00AF751E" w:rsidP="00AF751E">
            <w:pPr>
              <w:keepNext/>
              <w:keepLines/>
              <w:spacing w:line="240" w:lineRule="atLeast"/>
              <w:jc w:val="right"/>
              <w:rPr>
                <w:sz w:val="20"/>
                <w:szCs w:val="20"/>
                <w:lang w:val="es-ES_tradnl"/>
              </w:rPr>
            </w:pPr>
          </w:p>
        </w:tc>
        <w:tc>
          <w:tcPr>
            <w:tcW w:w="684" w:type="pct"/>
            <w:shd w:val="clear" w:color="auto" w:fill="auto"/>
            <w:noWrap/>
            <w:tcMar>
              <w:left w:w="0" w:type="dxa"/>
              <w:right w:w="173" w:type="dxa"/>
            </w:tcMar>
            <w:vAlign w:val="center"/>
            <w:hideMark/>
          </w:tcPr>
          <w:p w14:paraId="2615F99F" w14:textId="77777777" w:rsidR="00AF751E" w:rsidRPr="00A22BE4" w:rsidRDefault="00AF751E" w:rsidP="00AF751E">
            <w:pPr>
              <w:keepNext/>
              <w:keepLines/>
              <w:spacing w:line="240" w:lineRule="atLeast"/>
              <w:jc w:val="right"/>
              <w:rPr>
                <w:sz w:val="20"/>
                <w:szCs w:val="20"/>
                <w:lang w:val="es-ES_tradnl"/>
              </w:rPr>
            </w:pPr>
          </w:p>
        </w:tc>
      </w:tr>
      <w:tr w:rsidR="00AF751E" w:rsidRPr="00A22BE4" w14:paraId="1FB3A4AF" w14:textId="77777777" w:rsidTr="00AF751E">
        <w:tc>
          <w:tcPr>
            <w:tcW w:w="1873" w:type="pct"/>
            <w:shd w:val="clear" w:color="auto" w:fill="auto"/>
            <w:noWrap/>
            <w:tcMar>
              <w:left w:w="43" w:type="dxa"/>
              <w:right w:w="43" w:type="dxa"/>
            </w:tcMar>
          </w:tcPr>
          <w:p w14:paraId="4CD066EF"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Islas Cook</w:t>
            </w:r>
          </w:p>
        </w:tc>
        <w:tc>
          <w:tcPr>
            <w:tcW w:w="518" w:type="pct"/>
            <w:shd w:val="clear" w:color="auto" w:fill="auto"/>
            <w:noWrap/>
            <w:tcMar>
              <w:left w:w="0" w:type="dxa"/>
              <w:right w:w="173" w:type="dxa"/>
            </w:tcMar>
          </w:tcPr>
          <w:p w14:paraId="7209AB0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77F2FAF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3F92C440"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7C7FA217"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0.00</w:t>
            </w:r>
          </w:p>
        </w:tc>
        <w:tc>
          <w:tcPr>
            <w:tcW w:w="444" w:type="pct"/>
          </w:tcPr>
          <w:p w14:paraId="477A3A3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37179B75"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0.10</w:t>
            </w:r>
          </w:p>
        </w:tc>
      </w:tr>
      <w:tr w:rsidR="00AF751E" w:rsidRPr="00A22BE4" w14:paraId="3C8C7957" w14:textId="77777777" w:rsidTr="00AF751E">
        <w:tc>
          <w:tcPr>
            <w:tcW w:w="1873" w:type="pct"/>
            <w:shd w:val="clear" w:color="auto" w:fill="auto"/>
            <w:noWrap/>
            <w:tcMar>
              <w:left w:w="43" w:type="dxa"/>
              <w:right w:w="43" w:type="dxa"/>
            </w:tcMar>
          </w:tcPr>
          <w:p w14:paraId="49C1847F"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Kiribati</w:t>
            </w:r>
          </w:p>
        </w:tc>
        <w:tc>
          <w:tcPr>
            <w:tcW w:w="518" w:type="pct"/>
            <w:shd w:val="clear" w:color="auto" w:fill="auto"/>
            <w:noWrap/>
            <w:tcMar>
              <w:left w:w="0" w:type="dxa"/>
              <w:right w:w="173" w:type="dxa"/>
            </w:tcMar>
          </w:tcPr>
          <w:p w14:paraId="2004DB7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0.02</w:t>
            </w:r>
          </w:p>
        </w:tc>
        <w:tc>
          <w:tcPr>
            <w:tcW w:w="519" w:type="pct"/>
            <w:shd w:val="clear" w:color="auto" w:fill="auto"/>
            <w:noWrap/>
            <w:tcMar>
              <w:left w:w="0" w:type="dxa"/>
              <w:right w:w="173" w:type="dxa"/>
            </w:tcMar>
          </w:tcPr>
          <w:p w14:paraId="7563800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0.02</w:t>
            </w:r>
            <w:r w:rsidRPr="00A22BE4">
              <w:rPr>
                <w:sz w:val="20"/>
                <w:szCs w:val="20"/>
                <w:vertAlign w:val="superscript"/>
                <w:lang w:val="es-ES_tradnl"/>
              </w:rPr>
              <w:t>a</w:t>
            </w:r>
          </w:p>
        </w:tc>
        <w:tc>
          <w:tcPr>
            <w:tcW w:w="592" w:type="pct"/>
            <w:tcMar>
              <w:left w:w="0" w:type="dxa"/>
              <w:right w:w="173" w:type="dxa"/>
            </w:tcMar>
          </w:tcPr>
          <w:p w14:paraId="0534522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370" w:type="pct"/>
            <w:tcMar>
              <w:left w:w="0" w:type="dxa"/>
              <w:right w:w="173" w:type="dxa"/>
            </w:tcMar>
            <w:vAlign w:val="center"/>
          </w:tcPr>
          <w:p w14:paraId="4341986F"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0.02</w:t>
            </w:r>
          </w:p>
        </w:tc>
        <w:tc>
          <w:tcPr>
            <w:tcW w:w="444" w:type="pct"/>
          </w:tcPr>
          <w:p w14:paraId="4681BF7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7A9B8D6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0.10</w:t>
            </w:r>
          </w:p>
        </w:tc>
      </w:tr>
      <w:tr w:rsidR="00AF751E" w:rsidRPr="00A22BE4" w14:paraId="14E013CE" w14:textId="77777777" w:rsidTr="00AF751E">
        <w:tc>
          <w:tcPr>
            <w:tcW w:w="1873" w:type="pct"/>
            <w:shd w:val="clear" w:color="auto" w:fill="auto"/>
            <w:noWrap/>
            <w:tcMar>
              <w:left w:w="43" w:type="dxa"/>
              <w:right w:w="43" w:type="dxa"/>
            </w:tcMar>
          </w:tcPr>
          <w:p w14:paraId="7417DF09"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Islas Marshall</w:t>
            </w:r>
          </w:p>
        </w:tc>
        <w:tc>
          <w:tcPr>
            <w:tcW w:w="518" w:type="pct"/>
            <w:shd w:val="clear" w:color="auto" w:fill="auto"/>
            <w:noWrap/>
            <w:tcMar>
              <w:left w:w="0" w:type="dxa"/>
              <w:right w:w="173" w:type="dxa"/>
            </w:tcMar>
          </w:tcPr>
          <w:p w14:paraId="52D453B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369C0EE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1BF4D76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1AF8BE06"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0.00</w:t>
            </w:r>
          </w:p>
        </w:tc>
        <w:tc>
          <w:tcPr>
            <w:tcW w:w="444" w:type="pct"/>
          </w:tcPr>
          <w:p w14:paraId="539EAEB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09A187B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0.20</w:t>
            </w:r>
          </w:p>
        </w:tc>
      </w:tr>
      <w:tr w:rsidR="00AF751E" w:rsidRPr="00A22BE4" w14:paraId="6BF0F858" w14:textId="77777777" w:rsidTr="00AF751E">
        <w:tc>
          <w:tcPr>
            <w:tcW w:w="1873" w:type="pct"/>
            <w:shd w:val="clear" w:color="auto" w:fill="auto"/>
            <w:noWrap/>
            <w:tcMar>
              <w:left w:w="43" w:type="dxa"/>
              <w:right w:w="43" w:type="dxa"/>
            </w:tcMar>
          </w:tcPr>
          <w:p w14:paraId="736492A2"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 xml:space="preserve">Micronesia (Estados Federados de) </w:t>
            </w:r>
          </w:p>
        </w:tc>
        <w:tc>
          <w:tcPr>
            <w:tcW w:w="518" w:type="pct"/>
            <w:shd w:val="clear" w:color="auto" w:fill="auto"/>
            <w:noWrap/>
            <w:tcMar>
              <w:left w:w="0" w:type="dxa"/>
              <w:right w:w="173" w:type="dxa"/>
            </w:tcMar>
          </w:tcPr>
          <w:p w14:paraId="745A5805"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0.04</w:t>
            </w:r>
          </w:p>
        </w:tc>
        <w:tc>
          <w:tcPr>
            <w:tcW w:w="519" w:type="pct"/>
            <w:shd w:val="clear" w:color="auto" w:fill="auto"/>
            <w:noWrap/>
            <w:tcMar>
              <w:left w:w="0" w:type="dxa"/>
              <w:right w:w="173" w:type="dxa"/>
            </w:tcMar>
          </w:tcPr>
          <w:p w14:paraId="48EFABB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2D9BFEC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5489C39A"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0.10</w:t>
            </w:r>
          </w:p>
        </w:tc>
        <w:tc>
          <w:tcPr>
            <w:tcW w:w="444" w:type="pct"/>
          </w:tcPr>
          <w:p w14:paraId="4421C45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5E75E577"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0.20</w:t>
            </w:r>
          </w:p>
        </w:tc>
      </w:tr>
      <w:tr w:rsidR="00AF751E" w:rsidRPr="00A22BE4" w14:paraId="6D95368C" w14:textId="77777777" w:rsidTr="00AF751E">
        <w:tc>
          <w:tcPr>
            <w:tcW w:w="1873" w:type="pct"/>
            <w:shd w:val="clear" w:color="auto" w:fill="auto"/>
            <w:noWrap/>
            <w:tcMar>
              <w:left w:w="43" w:type="dxa"/>
              <w:right w:w="43" w:type="dxa"/>
            </w:tcMar>
          </w:tcPr>
          <w:p w14:paraId="16743A50"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Nauru</w:t>
            </w:r>
          </w:p>
        </w:tc>
        <w:tc>
          <w:tcPr>
            <w:tcW w:w="518" w:type="pct"/>
            <w:shd w:val="clear" w:color="auto" w:fill="auto"/>
            <w:noWrap/>
            <w:tcMar>
              <w:left w:w="0" w:type="dxa"/>
              <w:right w:w="173" w:type="dxa"/>
            </w:tcMar>
          </w:tcPr>
          <w:p w14:paraId="03EDC9B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519" w:type="pct"/>
            <w:shd w:val="clear" w:color="auto" w:fill="auto"/>
            <w:noWrap/>
            <w:tcMar>
              <w:left w:w="0" w:type="dxa"/>
              <w:right w:w="173" w:type="dxa"/>
            </w:tcMar>
          </w:tcPr>
          <w:p w14:paraId="5460ED6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257FE2B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3629EBC3"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0.00</w:t>
            </w:r>
          </w:p>
        </w:tc>
        <w:tc>
          <w:tcPr>
            <w:tcW w:w="444" w:type="pct"/>
          </w:tcPr>
          <w:p w14:paraId="01466AC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057B7DC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r w:rsidRPr="00A22BE4">
              <w:rPr>
                <w:sz w:val="19"/>
                <w:szCs w:val="19"/>
                <w:vertAlign w:val="superscript"/>
                <w:lang w:val="es-ES_tradnl"/>
              </w:rPr>
              <w:t>d</w:t>
            </w:r>
          </w:p>
        </w:tc>
      </w:tr>
      <w:tr w:rsidR="00AF751E" w:rsidRPr="00A22BE4" w14:paraId="33849D5C" w14:textId="77777777" w:rsidTr="00AF751E">
        <w:tc>
          <w:tcPr>
            <w:tcW w:w="1873" w:type="pct"/>
            <w:shd w:val="clear" w:color="auto" w:fill="auto"/>
            <w:noWrap/>
            <w:tcMar>
              <w:left w:w="43" w:type="dxa"/>
              <w:right w:w="43" w:type="dxa"/>
            </w:tcMar>
          </w:tcPr>
          <w:p w14:paraId="105A9CD8"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Niue</w:t>
            </w:r>
          </w:p>
        </w:tc>
        <w:tc>
          <w:tcPr>
            <w:tcW w:w="518" w:type="pct"/>
            <w:shd w:val="clear" w:color="auto" w:fill="auto"/>
            <w:noWrap/>
            <w:tcMar>
              <w:left w:w="0" w:type="dxa"/>
              <w:right w:w="173" w:type="dxa"/>
            </w:tcMar>
          </w:tcPr>
          <w:p w14:paraId="7F3FC7FB"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4CE7ED41"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92" w:type="pct"/>
            <w:tcMar>
              <w:left w:w="0" w:type="dxa"/>
              <w:right w:w="173" w:type="dxa"/>
            </w:tcMar>
          </w:tcPr>
          <w:p w14:paraId="7885C73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3F38FC7F"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 xml:space="preserve"> 0.00</w:t>
            </w:r>
          </w:p>
        </w:tc>
        <w:tc>
          <w:tcPr>
            <w:tcW w:w="444" w:type="pct"/>
          </w:tcPr>
          <w:p w14:paraId="083B7ADE"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6CE54B3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r w:rsidRPr="00A22BE4">
              <w:rPr>
                <w:sz w:val="19"/>
                <w:szCs w:val="19"/>
                <w:vertAlign w:val="superscript"/>
                <w:lang w:val="es-ES_tradnl"/>
              </w:rPr>
              <w:t>d</w:t>
            </w:r>
          </w:p>
        </w:tc>
      </w:tr>
      <w:tr w:rsidR="00AF751E" w:rsidRPr="00A22BE4" w14:paraId="43D43604" w14:textId="77777777" w:rsidTr="00AF751E">
        <w:tc>
          <w:tcPr>
            <w:tcW w:w="1873" w:type="pct"/>
            <w:shd w:val="clear" w:color="auto" w:fill="auto"/>
            <w:noWrap/>
            <w:tcMar>
              <w:left w:w="43" w:type="dxa"/>
              <w:right w:w="43" w:type="dxa"/>
            </w:tcMar>
          </w:tcPr>
          <w:p w14:paraId="01959470" w14:textId="77777777" w:rsidR="00AF751E" w:rsidRPr="00A22BE4" w:rsidRDefault="00AF751E" w:rsidP="00AF751E">
            <w:pPr>
              <w:keepNext/>
              <w:keepLines/>
              <w:jc w:val="left"/>
              <w:rPr>
                <w:color w:val="000000"/>
                <w:sz w:val="20"/>
                <w:szCs w:val="20"/>
                <w:lang w:val="es-ES_tradnl"/>
              </w:rPr>
            </w:pPr>
            <w:proofErr w:type="spellStart"/>
            <w:r w:rsidRPr="00A22BE4">
              <w:rPr>
                <w:color w:val="000000"/>
                <w:sz w:val="20"/>
                <w:szCs w:val="20"/>
                <w:lang w:val="es-ES_tradnl"/>
              </w:rPr>
              <w:t>Palau</w:t>
            </w:r>
            <w:proofErr w:type="spellEnd"/>
          </w:p>
        </w:tc>
        <w:tc>
          <w:tcPr>
            <w:tcW w:w="518" w:type="pct"/>
            <w:shd w:val="clear" w:color="auto" w:fill="auto"/>
            <w:noWrap/>
            <w:tcMar>
              <w:left w:w="0" w:type="dxa"/>
              <w:right w:w="173" w:type="dxa"/>
            </w:tcMar>
          </w:tcPr>
          <w:p w14:paraId="626C412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0.12</w:t>
            </w:r>
          </w:p>
        </w:tc>
        <w:tc>
          <w:tcPr>
            <w:tcW w:w="519" w:type="pct"/>
            <w:shd w:val="clear" w:color="auto" w:fill="auto"/>
            <w:noWrap/>
            <w:tcMar>
              <w:left w:w="0" w:type="dxa"/>
              <w:right w:w="173" w:type="dxa"/>
            </w:tcMar>
          </w:tcPr>
          <w:p w14:paraId="6E0BBB3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0.10</w:t>
            </w:r>
          </w:p>
        </w:tc>
        <w:tc>
          <w:tcPr>
            <w:tcW w:w="592" w:type="pct"/>
            <w:tcMar>
              <w:left w:w="0" w:type="dxa"/>
              <w:right w:w="173" w:type="dxa"/>
            </w:tcMar>
          </w:tcPr>
          <w:p w14:paraId="531B5BE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0.07</w:t>
            </w:r>
          </w:p>
        </w:tc>
        <w:tc>
          <w:tcPr>
            <w:tcW w:w="370" w:type="pct"/>
            <w:tcMar>
              <w:left w:w="0" w:type="dxa"/>
              <w:right w:w="173" w:type="dxa"/>
            </w:tcMar>
            <w:vAlign w:val="center"/>
          </w:tcPr>
          <w:p w14:paraId="5BA12B58"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0.01</w:t>
            </w:r>
          </w:p>
        </w:tc>
        <w:tc>
          <w:tcPr>
            <w:tcW w:w="444" w:type="pct"/>
          </w:tcPr>
          <w:p w14:paraId="5108AFED"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0.02</w:t>
            </w:r>
          </w:p>
        </w:tc>
        <w:tc>
          <w:tcPr>
            <w:tcW w:w="684" w:type="pct"/>
            <w:shd w:val="clear" w:color="auto" w:fill="auto"/>
            <w:noWrap/>
            <w:tcMar>
              <w:left w:w="0" w:type="dxa"/>
              <w:right w:w="173" w:type="dxa"/>
            </w:tcMar>
            <w:vAlign w:val="center"/>
          </w:tcPr>
          <w:p w14:paraId="5551F296"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0.20</w:t>
            </w:r>
            <w:r w:rsidRPr="00A22BE4">
              <w:rPr>
                <w:sz w:val="19"/>
                <w:szCs w:val="19"/>
                <w:vertAlign w:val="superscript"/>
                <w:lang w:val="es-ES_tradnl"/>
              </w:rPr>
              <w:t>c</w:t>
            </w:r>
          </w:p>
        </w:tc>
      </w:tr>
      <w:tr w:rsidR="00AF751E" w:rsidRPr="00A22BE4" w14:paraId="7FA9765C" w14:textId="77777777" w:rsidTr="00AF751E">
        <w:tc>
          <w:tcPr>
            <w:tcW w:w="1873" w:type="pct"/>
            <w:shd w:val="clear" w:color="auto" w:fill="auto"/>
            <w:noWrap/>
            <w:tcMar>
              <w:left w:w="43" w:type="dxa"/>
              <w:right w:w="43" w:type="dxa"/>
            </w:tcMar>
          </w:tcPr>
          <w:p w14:paraId="3F2902E8"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Samoa</w:t>
            </w:r>
          </w:p>
        </w:tc>
        <w:tc>
          <w:tcPr>
            <w:tcW w:w="518" w:type="pct"/>
            <w:shd w:val="clear" w:color="auto" w:fill="auto"/>
            <w:noWrap/>
            <w:tcMar>
              <w:left w:w="0" w:type="dxa"/>
              <w:right w:w="173" w:type="dxa"/>
            </w:tcMar>
          </w:tcPr>
          <w:p w14:paraId="236154C0"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0.06</w:t>
            </w:r>
          </w:p>
        </w:tc>
        <w:tc>
          <w:tcPr>
            <w:tcW w:w="519" w:type="pct"/>
            <w:shd w:val="clear" w:color="auto" w:fill="auto"/>
            <w:noWrap/>
            <w:tcMar>
              <w:left w:w="0" w:type="dxa"/>
              <w:right w:w="173" w:type="dxa"/>
            </w:tcMar>
          </w:tcPr>
          <w:p w14:paraId="67FD14C0"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0.07</w:t>
            </w:r>
          </w:p>
        </w:tc>
        <w:tc>
          <w:tcPr>
            <w:tcW w:w="592" w:type="pct"/>
            <w:tcMar>
              <w:left w:w="0" w:type="dxa"/>
              <w:right w:w="173" w:type="dxa"/>
            </w:tcMar>
          </w:tcPr>
          <w:p w14:paraId="73120322"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370" w:type="pct"/>
            <w:tcMar>
              <w:left w:w="0" w:type="dxa"/>
              <w:right w:w="173" w:type="dxa"/>
            </w:tcMar>
            <w:vAlign w:val="center"/>
          </w:tcPr>
          <w:p w14:paraId="150F1316"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0.01</w:t>
            </w:r>
          </w:p>
        </w:tc>
        <w:tc>
          <w:tcPr>
            <w:tcW w:w="444" w:type="pct"/>
          </w:tcPr>
          <w:p w14:paraId="7E5BDD7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0.04</w:t>
            </w:r>
          </w:p>
        </w:tc>
        <w:tc>
          <w:tcPr>
            <w:tcW w:w="684" w:type="pct"/>
            <w:shd w:val="clear" w:color="auto" w:fill="auto"/>
            <w:noWrap/>
            <w:tcMar>
              <w:left w:w="0" w:type="dxa"/>
              <w:right w:w="173" w:type="dxa"/>
            </w:tcMar>
            <w:vAlign w:val="center"/>
          </w:tcPr>
          <w:p w14:paraId="254C6AC9"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0.30</w:t>
            </w:r>
          </w:p>
        </w:tc>
      </w:tr>
      <w:tr w:rsidR="00AF751E" w:rsidRPr="00A22BE4" w14:paraId="522D2D18" w14:textId="77777777" w:rsidTr="00AF751E">
        <w:tc>
          <w:tcPr>
            <w:tcW w:w="1873" w:type="pct"/>
            <w:shd w:val="clear" w:color="auto" w:fill="auto"/>
            <w:noWrap/>
            <w:tcMar>
              <w:left w:w="43" w:type="dxa"/>
              <w:right w:w="43" w:type="dxa"/>
            </w:tcMar>
          </w:tcPr>
          <w:p w14:paraId="232EA35B"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Islas Salomón</w:t>
            </w:r>
          </w:p>
        </w:tc>
        <w:tc>
          <w:tcPr>
            <w:tcW w:w="518" w:type="pct"/>
            <w:shd w:val="clear" w:color="auto" w:fill="auto"/>
            <w:noWrap/>
            <w:tcMar>
              <w:left w:w="0" w:type="dxa"/>
              <w:right w:w="173" w:type="dxa"/>
            </w:tcMar>
          </w:tcPr>
          <w:p w14:paraId="4F3D9E51"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0.12</w:t>
            </w:r>
          </w:p>
        </w:tc>
        <w:tc>
          <w:tcPr>
            <w:tcW w:w="519" w:type="pct"/>
            <w:shd w:val="clear" w:color="auto" w:fill="auto"/>
            <w:noWrap/>
            <w:tcMar>
              <w:left w:w="0" w:type="dxa"/>
              <w:right w:w="173" w:type="dxa"/>
            </w:tcMar>
          </w:tcPr>
          <w:p w14:paraId="09EF757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0.23</w:t>
            </w:r>
          </w:p>
        </w:tc>
        <w:tc>
          <w:tcPr>
            <w:tcW w:w="592" w:type="pct"/>
            <w:tcMar>
              <w:left w:w="0" w:type="dxa"/>
              <w:right w:w="173" w:type="dxa"/>
            </w:tcMar>
          </w:tcPr>
          <w:p w14:paraId="427A79F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0.20</w:t>
            </w:r>
          </w:p>
        </w:tc>
        <w:tc>
          <w:tcPr>
            <w:tcW w:w="370" w:type="pct"/>
            <w:tcMar>
              <w:left w:w="0" w:type="dxa"/>
              <w:right w:w="173" w:type="dxa"/>
            </w:tcMar>
            <w:vAlign w:val="center"/>
          </w:tcPr>
          <w:p w14:paraId="6FA534B1"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0.08</w:t>
            </w:r>
          </w:p>
        </w:tc>
        <w:tc>
          <w:tcPr>
            <w:tcW w:w="444" w:type="pct"/>
          </w:tcPr>
          <w:p w14:paraId="2FE36D3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0.08</w:t>
            </w:r>
          </w:p>
        </w:tc>
        <w:tc>
          <w:tcPr>
            <w:tcW w:w="684" w:type="pct"/>
            <w:shd w:val="clear" w:color="auto" w:fill="auto"/>
            <w:noWrap/>
            <w:tcMar>
              <w:left w:w="0" w:type="dxa"/>
              <w:right w:w="173" w:type="dxa"/>
            </w:tcMar>
            <w:vAlign w:val="center"/>
          </w:tcPr>
          <w:p w14:paraId="42E123F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2.00</w:t>
            </w:r>
            <w:r w:rsidRPr="00A22BE4">
              <w:rPr>
                <w:sz w:val="19"/>
                <w:szCs w:val="19"/>
                <w:vertAlign w:val="superscript"/>
                <w:lang w:val="es-ES_tradnl"/>
              </w:rPr>
              <w:t>c</w:t>
            </w:r>
          </w:p>
        </w:tc>
      </w:tr>
      <w:tr w:rsidR="00AF751E" w:rsidRPr="00A22BE4" w14:paraId="79AEBD71" w14:textId="77777777" w:rsidTr="00AF751E">
        <w:tc>
          <w:tcPr>
            <w:tcW w:w="1873" w:type="pct"/>
            <w:shd w:val="clear" w:color="auto" w:fill="auto"/>
            <w:noWrap/>
            <w:tcMar>
              <w:left w:w="43" w:type="dxa"/>
              <w:right w:w="43" w:type="dxa"/>
            </w:tcMar>
          </w:tcPr>
          <w:p w14:paraId="2A27C950" w14:textId="77777777" w:rsidR="00AF751E" w:rsidRPr="00A22BE4" w:rsidRDefault="00AF751E" w:rsidP="00AF751E">
            <w:pPr>
              <w:keepNext/>
              <w:keepLines/>
              <w:jc w:val="left"/>
              <w:rPr>
                <w:sz w:val="20"/>
                <w:szCs w:val="20"/>
                <w:lang w:val="es-ES_tradnl"/>
              </w:rPr>
            </w:pPr>
            <w:r w:rsidRPr="00A22BE4">
              <w:rPr>
                <w:sz w:val="20"/>
                <w:szCs w:val="20"/>
                <w:lang w:val="es-ES_tradnl"/>
              </w:rPr>
              <w:t>Tonga</w:t>
            </w:r>
          </w:p>
        </w:tc>
        <w:tc>
          <w:tcPr>
            <w:tcW w:w="518" w:type="pct"/>
            <w:shd w:val="clear" w:color="auto" w:fill="auto"/>
            <w:noWrap/>
            <w:tcMar>
              <w:left w:w="0" w:type="dxa"/>
              <w:right w:w="173" w:type="dxa"/>
            </w:tcMar>
          </w:tcPr>
          <w:p w14:paraId="5362C280"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0ECC8A6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592" w:type="pct"/>
            <w:tcMar>
              <w:left w:w="0" w:type="dxa"/>
              <w:right w:w="173" w:type="dxa"/>
            </w:tcMar>
          </w:tcPr>
          <w:p w14:paraId="57E7874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683ECA5F"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0.00</w:t>
            </w:r>
          </w:p>
        </w:tc>
        <w:tc>
          <w:tcPr>
            <w:tcW w:w="444" w:type="pct"/>
          </w:tcPr>
          <w:p w14:paraId="4BE6953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67F69493"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0.10</w:t>
            </w:r>
            <w:r w:rsidRPr="00A22BE4">
              <w:rPr>
                <w:sz w:val="19"/>
                <w:szCs w:val="19"/>
                <w:vertAlign w:val="superscript"/>
                <w:lang w:val="es-ES_tradnl"/>
              </w:rPr>
              <w:t>c</w:t>
            </w:r>
          </w:p>
        </w:tc>
      </w:tr>
      <w:tr w:rsidR="00AF751E" w:rsidRPr="00A22BE4" w14:paraId="0072017A" w14:textId="77777777" w:rsidTr="00AF751E">
        <w:tc>
          <w:tcPr>
            <w:tcW w:w="1873" w:type="pct"/>
            <w:shd w:val="clear" w:color="auto" w:fill="auto"/>
            <w:noWrap/>
            <w:tcMar>
              <w:left w:w="43" w:type="dxa"/>
              <w:right w:w="43" w:type="dxa"/>
            </w:tcMar>
          </w:tcPr>
          <w:p w14:paraId="3FA6836C" w14:textId="77777777" w:rsidR="00AF751E" w:rsidRPr="00A22BE4" w:rsidRDefault="00AF751E" w:rsidP="00AF751E">
            <w:pPr>
              <w:keepNext/>
              <w:keepLines/>
              <w:jc w:val="left"/>
              <w:rPr>
                <w:color w:val="000000"/>
                <w:sz w:val="20"/>
                <w:szCs w:val="20"/>
                <w:lang w:val="es-ES_tradnl"/>
              </w:rPr>
            </w:pPr>
            <w:r w:rsidRPr="00A22BE4">
              <w:rPr>
                <w:color w:val="000000"/>
                <w:sz w:val="20"/>
                <w:szCs w:val="20"/>
                <w:lang w:val="es-ES_tradnl"/>
              </w:rPr>
              <w:t>Tuvalu</w:t>
            </w:r>
          </w:p>
        </w:tc>
        <w:tc>
          <w:tcPr>
            <w:tcW w:w="518" w:type="pct"/>
            <w:shd w:val="clear" w:color="auto" w:fill="auto"/>
            <w:noWrap/>
            <w:tcMar>
              <w:left w:w="0" w:type="dxa"/>
              <w:right w:w="173" w:type="dxa"/>
            </w:tcMar>
          </w:tcPr>
          <w:p w14:paraId="720CAB4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519" w:type="pct"/>
            <w:shd w:val="clear" w:color="auto" w:fill="auto"/>
            <w:noWrap/>
            <w:tcMar>
              <w:left w:w="0" w:type="dxa"/>
              <w:right w:w="173" w:type="dxa"/>
            </w:tcMar>
          </w:tcPr>
          <w:p w14:paraId="6B14F72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592" w:type="pct"/>
            <w:tcMar>
              <w:left w:w="0" w:type="dxa"/>
              <w:right w:w="173" w:type="dxa"/>
            </w:tcMar>
          </w:tcPr>
          <w:p w14:paraId="1E5B4E65"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370" w:type="pct"/>
            <w:tcMar>
              <w:left w:w="0" w:type="dxa"/>
              <w:right w:w="173" w:type="dxa"/>
            </w:tcMar>
            <w:vAlign w:val="center"/>
          </w:tcPr>
          <w:p w14:paraId="2FDB3276"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0.00</w:t>
            </w:r>
          </w:p>
        </w:tc>
        <w:tc>
          <w:tcPr>
            <w:tcW w:w="444" w:type="pct"/>
          </w:tcPr>
          <w:p w14:paraId="072BB46F"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32B5B87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0.10</w:t>
            </w:r>
          </w:p>
        </w:tc>
      </w:tr>
      <w:tr w:rsidR="00AF751E" w:rsidRPr="00A22BE4" w14:paraId="38E7EF1D" w14:textId="77777777" w:rsidTr="00AF751E">
        <w:tc>
          <w:tcPr>
            <w:tcW w:w="1873" w:type="pct"/>
            <w:shd w:val="clear" w:color="auto" w:fill="auto"/>
            <w:noWrap/>
            <w:tcMar>
              <w:left w:w="43" w:type="dxa"/>
              <w:right w:w="43" w:type="dxa"/>
            </w:tcMar>
          </w:tcPr>
          <w:p w14:paraId="30AF55CD" w14:textId="77777777" w:rsidR="00AF751E" w:rsidRPr="00A22BE4" w:rsidRDefault="00AF751E" w:rsidP="00AF751E">
            <w:pPr>
              <w:keepNext/>
              <w:keepLines/>
              <w:rPr>
                <w:sz w:val="19"/>
                <w:szCs w:val="19"/>
                <w:vertAlign w:val="superscript"/>
                <w:lang w:val="es-ES_tradnl"/>
              </w:rPr>
            </w:pPr>
            <w:r w:rsidRPr="00A22BE4">
              <w:rPr>
                <w:color w:val="000000"/>
                <w:sz w:val="20"/>
                <w:szCs w:val="20"/>
                <w:lang w:val="es-ES_tradnl"/>
              </w:rPr>
              <w:t>Vanuatu</w:t>
            </w:r>
          </w:p>
        </w:tc>
        <w:tc>
          <w:tcPr>
            <w:tcW w:w="518" w:type="pct"/>
            <w:shd w:val="clear" w:color="auto" w:fill="auto"/>
            <w:noWrap/>
            <w:tcMar>
              <w:left w:w="0" w:type="dxa"/>
              <w:right w:w="173" w:type="dxa"/>
            </w:tcMar>
          </w:tcPr>
          <w:p w14:paraId="517B60F4"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519" w:type="pct"/>
            <w:shd w:val="clear" w:color="auto" w:fill="auto"/>
            <w:noWrap/>
            <w:tcMar>
              <w:left w:w="0" w:type="dxa"/>
              <w:right w:w="173" w:type="dxa"/>
            </w:tcMar>
          </w:tcPr>
          <w:p w14:paraId="054360ED"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0.01</w:t>
            </w:r>
          </w:p>
        </w:tc>
        <w:tc>
          <w:tcPr>
            <w:tcW w:w="592" w:type="pct"/>
            <w:tcMar>
              <w:left w:w="0" w:type="dxa"/>
              <w:right w:w="173" w:type="dxa"/>
            </w:tcMar>
          </w:tcPr>
          <w:p w14:paraId="04EA0BAA"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0.02</w:t>
            </w:r>
          </w:p>
        </w:tc>
        <w:tc>
          <w:tcPr>
            <w:tcW w:w="370" w:type="pct"/>
            <w:tcMar>
              <w:left w:w="0" w:type="dxa"/>
              <w:right w:w="173" w:type="dxa"/>
            </w:tcMar>
            <w:vAlign w:val="center"/>
          </w:tcPr>
          <w:p w14:paraId="21CE28A4" w14:textId="77777777" w:rsidR="00AF751E" w:rsidRPr="00A22BE4" w:rsidRDefault="00AF751E" w:rsidP="00AF751E">
            <w:pPr>
              <w:keepNext/>
              <w:keepLines/>
              <w:spacing w:line="240" w:lineRule="atLeast"/>
              <w:jc w:val="right"/>
              <w:rPr>
                <w:sz w:val="20"/>
                <w:szCs w:val="20"/>
                <w:lang w:val="es-ES_tradnl"/>
              </w:rPr>
            </w:pPr>
            <w:r w:rsidRPr="00A22BE4">
              <w:rPr>
                <w:color w:val="000000"/>
                <w:sz w:val="20"/>
                <w:szCs w:val="20"/>
                <w:lang w:val="es-ES_tradnl"/>
              </w:rPr>
              <w:t>0.01</w:t>
            </w:r>
            <w:r w:rsidRPr="00A22BE4">
              <w:rPr>
                <w:color w:val="000000"/>
                <w:sz w:val="20"/>
                <w:szCs w:val="20"/>
                <w:vertAlign w:val="superscript"/>
                <w:lang w:val="es-ES_tradnl"/>
              </w:rPr>
              <w:t>b</w:t>
            </w:r>
          </w:p>
        </w:tc>
        <w:tc>
          <w:tcPr>
            <w:tcW w:w="444" w:type="pct"/>
          </w:tcPr>
          <w:p w14:paraId="7CF9D1A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0.00</w:t>
            </w:r>
          </w:p>
        </w:tc>
        <w:tc>
          <w:tcPr>
            <w:tcW w:w="684" w:type="pct"/>
            <w:shd w:val="clear" w:color="auto" w:fill="auto"/>
            <w:noWrap/>
            <w:tcMar>
              <w:left w:w="0" w:type="dxa"/>
              <w:right w:w="173" w:type="dxa"/>
            </w:tcMar>
            <w:vAlign w:val="center"/>
          </w:tcPr>
          <w:p w14:paraId="16EDB93C" w14:textId="77777777" w:rsidR="00AF751E" w:rsidRPr="00A22BE4" w:rsidRDefault="00AF751E" w:rsidP="00AF751E">
            <w:pPr>
              <w:keepNext/>
              <w:keepLines/>
              <w:spacing w:line="240" w:lineRule="atLeast"/>
              <w:jc w:val="right"/>
              <w:rPr>
                <w:sz w:val="20"/>
                <w:szCs w:val="20"/>
                <w:lang w:val="es-ES_tradnl"/>
              </w:rPr>
            </w:pPr>
            <w:r w:rsidRPr="00A22BE4">
              <w:rPr>
                <w:sz w:val="20"/>
                <w:szCs w:val="20"/>
                <w:lang w:val="es-ES_tradnl"/>
              </w:rPr>
              <w:t>0.30</w:t>
            </w:r>
            <w:r w:rsidRPr="00A22BE4">
              <w:rPr>
                <w:sz w:val="19"/>
                <w:szCs w:val="19"/>
                <w:vertAlign w:val="superscript"/>
                <w:lang w:val="es-ES_tradnl"/>
              </w:rPr>
              <w:t>c</w:t>
            </w:r>
          </w:p>
        </w:tc>
      </w:tr>
      <w:tr w:rsidR="00AF751E" w:rsidRPr="00A22BE4" w14:paraId="2555A999" w14:textId="77777777" w:rsidTr="00AF751E">
        <w:trPr>
          <w:trHeight w:val="283"/>
        </w:trPr>
        <w:tc>
          <w:tcPr>
            <w:tcW w:w="1873" w:type="pct"/>
            <w:shd w:val="clear" w:color="auto" w:fill="auto"/>
            <w:noWrap/>
            <w:tcMar>
              <w:left w:w="43" w:type="dxa"/>
              <w:right w:w="43" w:type="dxa"/>
            </w:tcMar>
            <w:vAlign w:val="center"/>
            <w:hideMark/>
          </w:tcPr>
          <w:p w14:paraId="34CD0DD8" w14:textId="77777777" w:rsidR="00AF751E" w:rsidRPr="00A22BE4" w:rsidRDefault="00AF751E" w:rsidP="00AF751E">
            <w:pPr>
              <w:keepNext/>
              <w:keepLines/>
              <w:jc w:val="left"/>
              <w:rPr>
                <w:b/>
                <w:color w:val="000000"/>
                <w:sz w:val="20"/>
                <w:szCs w:val="20"/>
                <w:lang w:val="es-ES_tradnl"/>
              </w:rPr>
            </w:pPr>
            <w:r w:rsidRPr="00A22BE4">
              <w:rPr>
                <w:b/>
                <w:color w:val="000000"/>
                <w:sz w:val="20"/>
                <w:szCs w:val="20"/>
                <w:lang w:val="es-ES_tradnl"/>
              </w:rPr>
              <w:t>Total (</w:t>
            </w:r>
            <w:proofErr w:type="spellStart"/>
            <w:r w:rsidRPr="00A22BE4">
              <w:rPr>
                <w:b/>
                <w:color w:val="000000"/>
                <w:sz w:val="20"/>
                <w:szCs w:val="20"/>
                <w:lang w:val="es-ES_tradnl"/>
              </w:rPr>
              <w:t>tons</w:t>
            </w:r>
            <w:proofErr w:type="spellEnd"/>
            <w:r w:rsidRPr="00A22BE4">
              <w:rPr>
                <w:b/>
                <w:color w:val="000000"/>
                <w:sz w:val="20"/>
                <w:szCs w:val="20"/>
                <w:lang w:val="es-ES_tradnl"/>
              </w:rPr>
              <w:t>. PAO)</w:t>
            </w:r>
          </w:p>
        </w:tc>
        <w:tc>
          <w:tcPr>
            <w:tcW w:w="518" w:type="pct"/>
            <w:shd w:val="clear" w:color="auto" w:fill="auto"/>
            <w:noWrap/>
            <w:tcMar>
              <w:left w:w="0" w:type="dxa"/>
              <w:right w:w="173" w:type="dxa"/>
            </w:tcMar>
          </w:tcPr>
          <w:p w14:paraId="3998D6EF"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0.38</w:t>
            </w:r>
          </w:p>
        </w:tc>
        <w:tc>
          <w:tcPr>
            <w:tcW w:w="519" w:type="pct"/>
            <w:shd w:val="clear" w:color="auto" w:fill="auto"/>
            <w:noWrap/>
            <w:tcMar>
              <w:left w:w="0" w:type="dxa"/>
              <w:right w:w="173" w:type="dxa"/>
            </w:tcMar>
          </w:tcPr>
          <w:p w14:paraId="377A62E5"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0.45</w:t>
            </w:r>
          </w:p>
        </w:tc>
        <w:tc>
          <w:tcPr>
            <w:tcW w:w="592" w:type="pct"/>
            <w:tcMar>
              <w:left w:w="0" w:type="dxa"/>
              <w:right w:w="173" w:type="dxa"/>
            </w:tcMar>
          </w:tcPr>
          <w:p w14:paraId="6D30BD63"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0.31</w:t>
            </w:r>
          </w:p>
        </w:tc>
        <w:tc>
          <w:tcPr>
            <w:tcW w:w="370" w:type="pct"/>
            <w:tcMar>
              <w:left w:w="0" w:type="dxa"/>
              <w:right w:w="173" w:type="dxa"/>
            </w:tcMar>
            <w:vAlign w:val="center"/>
          </w:tcPr>
          <w:p w14:paraId="01DE62C6" w14:textId="77777777" w:rsidR="00AF751E" w:rsidRPr="00A22BE4" w:rsidRDefault="00AF751E" w:rsidP="00AF751E">
            <w:pPr>
              <w:keepNext/>
              <w:keepLines/>
              <w:spacing w:line="240" w:lineRule="atLeast"/>
              <w:jc w:val="right"/>
              <w:rPr>
                <w:b/>
                <w:sz w:val="20"/>
                <w:szCs w:val="20"/>
                <w:lang w:val="es-ES_tradnl"/>
              </w:rPr>
            </w:pPr>
            <w:r w:rsidRPr="00A22BE4">
              <w:rPr>
                <w:b/>
                <w:bCs/>
                <w:color w:val="000000"/>
                <w:sz w:val="20"/>
                <w:szCs w:val="20"/>
                <w:lang w:val="es-ES_tradnl"/>
              </w:rPr>
              <w:t>0.23</w:t>
            </w:r>
          </w:p>
        </w:tc>
        <w:tc>
          <w:tcPr>
            <w:tcW w:w="444" w:type="pct"/>
          </w:tcPr>
          <w:p w14:paraId="4B7FF74F"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0.14</w:t>
            </w:r>
          </w:p>
        </w:tc>
        <w:tc>
          <w:tcPr>
            <w:tcW w:w="684" w:type="pct"/>
            <w:shd w:val="clear" w:color="auto" w:fill="auto"/>
            <w:noWrap/>
            <w:tcMar>
              <w:left w:w="0" w:type="dxa"/>
              <w:right w:w="173" w:type="dxa"/>
            </w:tcMar>
            <w:vAlign w:val="center"/>
          </w:tcPr>
          <w:p w14:paraId="073F6015" w14:textId="77777777" w:rsidR="00AF751E" w:rsidRPr="00A22BE4" w:rsidRDefault="00AF751E" w:rsidP="00AF751E">
            <w:pPr>
              <w:keepNext/>
              <w:keepLines/>
              <w:spacing w:line="240" w:lineRule="atLeast"/>
              <w:jc w:val="right"/>
              <w:rPr>
                <w:b/>
                <w:sz w:val="20"/>
                <w:szCs w:val="20"/>
                <w:lang w:val="es-ES_tradnl"/>
              </w:rPr>
            </w:pPr>
            <w:r w:rsidRPr="00A22BE4">
              <w:rPr>
                <w:b/>
                <w:sz w:val="20"/>
                <w:szCs w:val="20"/>
                <w:lang w:val="es-ES_tradnl"/>
              </w:rPr>
              <w:t>3.60</w:t>
            </w:r>
          </w:p>
        </w:tc>
      </w:tr>
    </w:tbl>
    <w:p w14:paraId="62580D40" w14:textId="77777777" w:rsidR="00AF751E" w:rsidRPr="00A22BE4" w:rsidRDefault="00AF751E" w:rsidP="00AF751E">
      <w:pPr>
        <w:widowControl w:val="0"/>
        <w:rPr>
          <w:sz w:val="19"/>
          <w:szCs w:val="19"/>
          <w:lang w:val="es-ES_tradnl"/>
        </w:rPr>
      </w:pPr>
      <w:r w:rsidRPr="00A22BE4">
        <w:rPr>
          <w:sz w:val="19"/>
          <w:szCs w:val="19"/>
          <w:vertAlign w:val="superscript"/>
          <w:lang w:val="es-ES_tradnl"/>
        </w:rPr>
        <w:t xml:space="preserve">a </w:t>
      </w:r>
      <w:r w:rsidRPr="00A22BE4">
        <w:rPr>
          <w:sz w:val="19"/>
          <w:szCs w:val="19"/>
          <w:lang w:val="es-ES_tradnl"/>
        </w:rPr>
        <w:t xml:space="preserve">Considera 0.13 </w:t>
      </w:r>
      <w:proofErr w:type="spellStart"/>
      <w:r w:rsidRPr="00A22BE4">
        <w:rPr>
          <w:sz w:val="19"/>
          <w:szCs w:val="19"/>
          <w:lang w:val="es-ES_tradnl"/>
        </w:rPr>
        <w:t>tm</w:t>
      </w:r>
      <w:proofErr w:type="spellEnd"/>
      <w:r w:rsidRPr="00A22BE4">
        <w:rPr>
          <w:sz w:val="19"/>
          <w:szCs w:val="19"/>
          <w:lang w:val="es-ES_tradnl"/>
        </w:rPr>
        <w:t xml:space="preserve"> (0.003 </w:t>
      </w:r>
      <w:proofErr w:type="spellStart"/>
      <w:r w:rsidRPr="00A22BE4">
        <w:rPr>
          <w:sz w:val="19"/>
          <w:szCs w:val="19"/>
          <w:lang w:val="es-ES_tradnl"/>
        </w:rPr>
        <w:t>tons</w:t>
      </w:r>
      <w:proofErr w:type="spellEnd"/>
      <w:r w:rsidRPr="00A22BE4">
        <w:rPr>
          <w:sz w:val="19"/>
          <w:szCs w:val="19"/>
          <w:lang w:val="es-ES_tradnl"/>
        </w:rPr>
        <w:t>. PAO) de HCFC-124.</w:t>
      </w:r>
    </w:p>
    <w:p w14:paraId="670132B4" w14:textId="77777777" w:rsidR="00AF751E" w:rsidRPr="00A22BE4" w:rsidRDefault="00AF751E" w:rsidP="00AF751E">
      <w:pPr>
        <w:widowControl w:val="0"/>
        <w:rPr>
          <w:sz w:val="19"/>
          <w:szCs w:val="19"/>
          <w:lang w:val="es-ES_tradnl"/>
        </w:rPr>
      </w:pPr>
      <w:r w:rsidRPr="00A22BE4">
        <w:rPr>
          <w:sz w:val="19"/>
          <w:szCs w:val="19"/>
          <w:vertAlign w:val="superscript"/>
          <w:lang w:val="es-ES_tradnl"/>
        </w:rPr>
        <w:t>b</w:t>
      </w:r>
      <w:r w:rsidRPr="00A22BE4">
        <w:rPr>
          <w:sz w:val="19"/>
          <w:szCs w:val="19"/>
          <w:lang w:val="es-ES_tradnl"/>
        </w:rPr>
        <w:t xml:space="preserve"> Considera 0.002 </w:t>
      </w:r>
      <w:proofErr w:type="spellStart"/>
      <w:r w:rsidRPr="00A22BE4">
        <w:rPr>
          <w:sz w:val="19"/>
          <w:szCs w:val="19"/>
          <w:lang w:val="es-ES_tradnl"/>
        </w:rPr>
        <w:t>tm</w:t>
      </w:r>
      <w:proofErr w:type="spellEnd"/>
      <w:r w:rsidRPr="00A22BE4">
        <w:rPr>
          <w:sz w:val="19"/>
          <w:szCs w:val="19"/>
          <w:lang w:val="es-ES_tradnl"/>
        </w:rPr>
        <w:t xml:space="preserve"> (0.0001 </w:t>
      </w:r>
      <w:proofErr w:type="spellStart"/>
      <w:r w:rsidRPr="00A22BE4">
        <w:rPr>
          <w:sz w:val="19"/>
          <w:szCs w:val="19"/>
          <w:lang w:val="es-ES_tradnl"/>
        </w:rPr>
        <w:t>tons</w:t>
      </w:r>
      <w:proofErr w:type="spellEnd"/>
      <w:r w:rsidRPr="00A22BE4">
        <w:rPr>
          <w:sz w:val="19"/>
          <w:szCs w:val="19"/>
          <w:lang w:val="es-ES_tradnl"/>
        </w:rPr>
        <w:t xml:space="preserve">. PAO) de HCFC-142b y 0.003 </w:t>
      </w:r>
      <w:proofErr w:type="spellStart"/>
      <w:r w:rsidRPr="00A22BE4">
        <w:rPr>
          <w:sz w:val="19"/>
          <w:szCs w:val="19"/>
          <w:lang w:val="es-ES_tradnl"/>
        </w:rPr>
        <w:t>tm</w:t>
      </w:r>
      <w:proofErr w:type="spellEnd"/>
      <w:r w:rsidRPr="00A22BE4">
        <w:rPr>
          <w:sz w:val="19"/>
          <w:szCs w:val="19"/>
          <w:lang w:val="es-ES_tradnl"/>
        </w:rPr>
        <w:t xml:space="preserve"> (0.0001 </w:t>
      </w:r>
      <w:proofErr w:type="spellStart"/>
      <w:r w:rsidRPr="00A22BE4">
        <w:rPr>
          <w:sz w:val="19"/>
          <w:szCs w:val="19"/>
          <w:lang w:val="es-ES_tradnl"/>
        </w:rPr>
        <w:t>tons</w:t>
      </w:r>
      <w:proofErr w:type="spellEnd"/>
      <w:r w:rsidRPr="00A22BE4">
        <w:rPr>
          <w:sz w:val="19"/>
          <w:szCs w:val="19"/>
          <w:lang w:val="es-ES_tradnl"/>
        </w:rPr>
        <w:t>. PAO) de HCFC-124.</w:t>
      </w:r>
    </w:p>
    <w:p w14:paraId="34031728" w14:textId="77777777" w:rsidR="00AF751E" w:rsidRPr="00A22BE4" w:rsidRDefault="00AF751E" w:rsidP="00AF751E">
      <w:pPr>
        <w:widowControl w:val="0"/>
        <w:rPr>
          <w:sz w:val="19"/>
          <w:szCs w:val="19"/>
          <w:lang w:val="es-ES_tradnl"/>
        </w:rPr>
      </w:pPr>
      <w:r w:rsidRPr="00A22BE4">
        <w:rPr>
          <w:sz w:val="19"/>
          <w:szCs w:val="19"/>
          <w:vertAlign w:val="superscript"/>
          <w:lang w:val="es-ES_tradnl"/>
        </w:rPr>
        <w:t>c</w:t>
      </w:r>
      <w:r w:rsidRPr="00A22BE4">
        <w:rPr>
          <w:sz w:val="19"/>
          <w:szCs w:val="19"/>
          <w:lang w:val="es-ES_tradnl"/>
        </w:rPr>
        <w:t xml:space="preserve"> El consumo de HCFC en 2009 se corrigió según lo determinado en la decisión XXIII/29 de la Reunión de las Partes.</w:t>
      </w:r>
    </w:p>
    <w:p w14:paraId="759C255B" w14:textId="77777777" w:rsidR="00AF751E" w:rsidRPr="00A22BE4" w:rsidRDefault="00AF751E" w:rsidP="00AF751E">
      <w:pPr>
        <w:widowControl w:val="0"/>
        <w:rPr>
          <w:sz w:val="19"/>
          <w:szCs w:val="19"/>
          <w:lang w:val="es-ES_tradnl"/>
        </w:rPr>
      </w:pPr>
      <w:r w:rsidRPr="00A22BE4">
        <w:rPr>
          <w:sz w:val="19"/>
          <w:szCs w:val="19"/>
          <w:vertAlign w:val="superscript"/>
          <w:lang w:val="es-ES_tradnl"/>
        </w:rPr>
        <w:t>d</w:t>
      </w:r>
      <w:r w:rsidRPr="00A22BE4">
        <w:rPr>
          <w:sz w:val="19"/>
          <w:szCs w:val="19"/>
          <w:lang w:val="es-ES_tradnl"/>
        </w:rPr>
        <w:t xml:space="preserve"> Consumo ínfimo; el redondeo a dos dígitos significa </w:t>
      </w:r>
      <w:proofErr w:type="gramStart"/>
      <w:r w:rsidRPr="00A22BE4">
        <w:rPr>
          <w:sz w:val="19"/>
          <w:szCs w:val="19"/>
          <w:lang w:val="es-ES_tradnl"/>
        </w:rPr>
        <w:t>cero consumo</w:t>
      </w:r>
      <w:proofErr w:type="gramEnd"/>
      <w:r w:rsidRPr="00A22BE4">
        <w:rPr>
          <w:sz w:val="19"/>
          <w:szCs w:val="19"/>
          <w:lang w:val="es-ES_tradnl"/>
        </w:rPr>
        <w:t>.</w:t>
      </w:r>
    </w:p>
    <w:p w14:paraId="02520D5F" w14:textId="77777777" w:rsidR="00AF751E" w:rsidRPr="00A22BE4" w:rsidRDefault="00AF751E" w:rsidP="00AF751E">
      <w:pPr>
        <w:widowControl w:val="0"/>
        <w:rPr>
          <w:sz w:val="19"/>
          <w:szCs w:val="19"/>
          <w:vertAlign w:val="superscript"/>
          <w:lang w:val="es-ES_tradnl"/>
        </w:rPr>
      </w:pPr>
      <w:proofErr w:type="spellStart"/>
      <w:r w:rsidRPr="00A22BE4">
        <w:rPr>
          <w:sz w:val="19"/>
          <w:szCs w:val="19"/>
          <w:vertAlign w:val="superscript"/>
          <w:lang w:val="es-ES_tradnl"/>
        </w:rPr>
        <w:t>e</w:t>
      </w:r>
      <w:proofErr w:type="spellEnd"/>
      <w:r w:rsidRPr="00A22BE4">
        <w:rPr>
          <w:sz w:val="19"/>
          <w:szCs w:val="19"/>
          <w:vertAlign w:val="superscript"/>
          <w:lang w:val="es-ES_tradnl"/>
        </w:rPr>
        <w:t xml:space="preserve"> </w:t>
      </w:r>
      <w:r w:rsidRPr="00A22BE4">
        <w:rPr>
          <w:sz w:val="19"/>
          <w:szCs w:val="19"/>
          <w:lang w:val="es-ES_tradnl"/>
        </w:rPr>
        <w:t>Con datos del programa país.</w:t>
      </w:r>
    </w:p>
    <w:p w14:paraId="0CEDBE6A" w14:textId="77777777" w:rsidR="00AF751E" w:rsidRPr="00A22BE4" w:rsidRDefault="00AF751E" w:rsidP="00AF751E">
      <w:pPr>
        <w:pStyle w:val="Heading1"/>
        <w:keepNext/>
        <w:numPr>
          <w:ilvl w:val="0"/>
          <w:numId w:val="0"/>
        </w:numPr>
        <w:rPr>
          <w:b/>
          <w:bCs/>
          <w:lang w:val="es-ES_tradnl"/>
        </w:rPr>
      </w:pPr>
      <w:r w:rsidRPr="00A22BE4">
        <w:rPr>
          <w:b/>
          <w:bCs/>
          <w:lang w:val="es-ES_tradnl"/>
        </w:rPr>
        <w:lastRenderedPageBreak/>
        <w:t>Informe de avance</w:t>
      </w:r>
    </w:p>
    <w:p w14:paraId="17AEA727" w14:textId="77777777" w:rsidR="00AF751E" w:rsidRPr="00A22BE4" w:rsidRDefault="00AF751E" w:rsidP="00AF751E">
      <w:pPr>
        <w:pStyle w:val="Heading1"/>
        <w:rPr>
          <w:rFonts w:eastAsia="MS Mincho"/>
          <w:lang w:val="es-ES_tradnl"/>
        </w:rPr>
      </w:pPr>
      <w:r w:rsidRPr="00A22BE4">
        <w:rPr>
          <w:rFonts w:eastAsia="MS Mincho"/>
          <w:lang w:val="es-ES_tradnl"/>
        </w:rPr>
        <w:t>El PNUMA informa que la restricción de los desplazamientos, las medidas de confinamiento y otras limitaciones impuestas por la pandemia del Covid-19 siguen demorando la ejecución de las actividades. En algunos Países insulares del Pacífico, la baja dotación de funcionarios públicos obligó al personal de algunas ONO a asumir de emergencia labores relacionadas con la pandemia, lo que generó retrasos adicionales en la ejecución. Las actividades se han visto afectadas como sigue:</w:t>
      </w:r>
    </w:p>
    <w:p w14:paraId="224F30F4" w14:textId="77777777" w:rsidR="00AF751E" w:rsidRPr="00A22BE4" w:rsidRDefault="00AF751E" w:rsidP="00AF751E">
      <w:pPr>
        <w:pStyle w:val="Heading2"/>
        <w:rPr>
          <w:rFonts w:eastAsiaTheme="minorEastAsia"/>
          <w:lang w:val="es-ES_tradnl" w:eastAsia="en-GB"/>
        </w:rPr>
      </w:pPr>
      <w:r w:rsidRPr="00A22BE4">
        <w:rPr>
          <w:rFonts w:eastAsiaTheme="minorEastAsia"/>
          <w:i/>
          <w:lang w:val="es-ES_tradnl" w:eastAsia="en-GB"/>
        </w:rPr>
        <w:t>Componente regional</w:t>
      </w:r>
      <w:r w:rsidRPr="00A22BE4">
        <w:rPr>
          <w:rFonts w:eastAsiaTheme="minorEastAsia"/>
          <w:lang w:val="es-ES_tradnl" w:eastAsia="en-GB"/>
        </w:rPr>
        <w:t xml:space="preserve">: No fue posible realizar el </w:t>
      </w:r>
      <w:r w:rsidRPr="00A22BE4">
        <w:rPr>
          <w:lang w:val="es-ES_tradnl"/>
        </w:rPr>
        <w:t>taller regional de capacitación para autoridades aduaneras sobre sistemas de perfiles de riesgo SAO y procedimientos operativos comunes</w:t>
      </w:r>
      <w:r w:rsidRPr="00A22BE4">
        <w:rPr>
          <w:rFonts w:eastAsiaTheme="minorEastAsia"/>
          <w:lang w:val="es-ES_tradnl" w:eastAsia="en-GB"/>
        </w:rPr>
        <w:t>. Realizar talleres telemáticos no fue una opción viable, dado que las grandes diferencias horarias limitaban la asistencia; de hecho, los países señalaron preferir los talleres presenciales a fin de que las ONO tengan una participación relevante.</w:t>
      </w:r>
    </w:p>
    <w:p w14:paraId="5315B371" w14:textId="77777777" w:rsidR="00AF751E" w:rsidRPr="00A22BE4" w:rsidRDefault="00AF751E" w:rsidP="00AF751E">
      <w:pPr>
        <w:pStyle w:val="Heading2"/>
        <w:widowControl/>
        <w:rPr>
          <w:lang w:val="es-ES_tradnl"/>
        </w:rPr>
      </w:pPr>
      <w:r w:rsidRPr="00A22BE4">
        <w:rPr>
          <w:i/>
          <w:lang w:val="es-ES_tradnl"/>
        </w:rPr>
        <w:t>Componente nacional:</w:t>
      </w:r>
      <w:r w:rsidRPr="00A22BE4">
        <w:rPr>
          <w:lang w:val="es-ES_tradnl"/>
        </w:rPr>
        <w:t xml:space="preserve"> El inicio de las actividades ha sido lento, manteniéndose en etapa de planificación la mayoría de los talleres de capacitación técnica y aduanera, las reuniones con actores intervinientes y las actividades de sensibilización. Estados Federados de Micronesia realizó un taller para 15 funcionarios aduaneros, en tanto que Samoa hizo un taller para 24 funcionarios aduaneros y otro para 20 agentes de aduanas.</w:t>
      </w:r>
    </w:p>
    <w:p w14:paraId="0291D5BD" w14:textId="77777777" w:rsidR="00AF751E" w:rsidRPr="00A22BE4" w:rsidRDefault="00AF751E" w:rsidP="00AF751E">
      <w:pPr>
        <w:pStyle w:val="Heading1"/>
        <w:rPr>
          <w:rFonts w:eastAsia="MS Mincho"/>
          <w:lang w:val="es-ES_tradnl"/>
        </w:rPr>
      </w:pPr>
      <w:r w:rsidRPr="00A22BE4">
        <w:rPr>
          <w:rFonts w:eastAsia="MS Mincho"/>
          <w:lang w:val="es-ES_tradnl"/>
        </w:rPr>
        <w:t>Los retrasos señalados han llevado a los Países insulares del Pacífico a solicitar, por intermedio del PNUMA, que el plazo de ejecución de la etapa I del PGEH se amplíe hasta el 31 de diciembre de 2022. En respaldo de esta solicitud, el PNUMA presentó un detallado plan de trabajo para asegurar la realización de las actividades restantes en cada país dentro de dicho plazo.</w:t>
      </w:r>
    </w:p>
    <w:p w14:paraId="2FC1656A" w14:textId="77777777" w:rsidR="00AF751E" w:rsidRPr="00A22BE4" w:rsidRDefault="00AF751E" w:rsidP="00AF751E">
      <w:pPr>
        <w:spacing w:after="160"/>
        <w:rPr>
          <w:iCs/>
          <w:u w:val="single"/>
          <w:lang w:val="es-ES_tradnl"/>
        </w:rPr>
      </w:pPr>
      <w:r w:rsidRPr="00A22BE4">
        <w:rPr>
          <w:iCs/>
          <w:u w:val="single"/>
          <w:lang w:val="es-ES_tradnl"/>
        </w:rPr>
        <w:t>Nivel de desembolso de fondos</w:t>
      </w:r>
    </w:p>
    <w:p w14:paraId="295C5E5D" w14:textId="77777777" w:rsidR="00AF751E" w:rsidRPr="00A22BE4" w:rsidRDefault="00AF751E" w:rsidP="00AF751E">
      <w:pPr>
        <w:numPr>
          <w:ilvl w:val="0"/>
          <w:numId w:val="1"/>
        </w:numPr>
        <w:tabs>
          <w:tab w:val="clear" w:pos="0"/>
          <w:tab w:val="num" w:pos="710"/>
        </w:tabs>
        <w:spacing w:after="240"/>
        <w:outlineLvl w:val="0"/>
        <w:rPr>
          <w:rFonts w:eastAsia="MS Mincho"/>
          <w:lang w:val="es-ES_tradnl"/>
        </w:rPr>
      </w:pPr>
      <w:r w:rsidRPr="00A22BE4">
        <w:rPr>
          <w:rFonts w:eastAsia="MS Mincho"/>
          <w:lang w:val="es-ES_tradnl"/>
        </w:rPr>
        <w:t>Según muestra el Cuadro 8, de la suma aprobada de 1.696.000 $EUA, al mes de abril de 2021 se habían desembolsado 1.363.931 $EUA. Los países recibieron a mediados de octubre de 2020 los primeros pagos correspondientes al tercer y último tramo (7.660 $EUA).</w:t>
      </w:r>
    </w:p>
    <w:p w14:paraId="579CF1DF" w14:textId="77777777" w:rsidR="00AF751E" w:rsidRPr="00A22BE4" w:rsidRDefault="00AF751E" w:rsidP="00AF751E">
      <w:pPr>
        <w:pStyle w:val="ListParagraph"/>
        <w:keepNext/>
        <w:ind w:left="0"/>
        <w:rPr>
          <w:b/>
          <w:lang w:val="es-ES_tradnl"/>
        </w:rPr>
      </w:pPr>
      <w:r w:rsidRPr="00A22BE4">
        <w:rPr>
          <w:b/>
          <w:lang w:val="es-ES_tradnl"/>
        </w:rPr>
        <w:t>Cuadro 8. Informe financiero de la etapa I del PGEH, Países insulares del Pacífico ($EUA)</w:t>
      </w:r>
    </w:p>
    <w:tbl>
      <w:tblPr>
        <w:tblStyle w:val="TableGrid"/>
        <w:tblW w:w="9351" w:type="dxa"/>
        <w:tblLayout w:type="fixed"/>
        <w:tblCellMar>
          <w:left w:w="72" w:type="dxa"/>
          <w:right w:w="72" w:type="dxa"/>
        </w:tblCellMar>
        <w:tblLook w:val="04A0" w:firstRow="1" w:lastRow="0" w:firstColumn="1" w:lastColumn="0" w:noHBand="0" w:noVBand="1"/>
      </w:tblPr>
      <w:tblGrid>
        <w:gridCol w:w="1232"/>
        <w:gridCol w:w="1014"/>
        <w:gridCol w:w="989"/>
        <w:gridCol w:w="990"/>
        <w:gridCol w:w="1080"/>
        <w:gridCol w:w="990"/>
        <w:gridCol w:w="990"/>
        <w:gridCol w:w="1080"/>
        <w:gridCol w:w="986"/>
      </w:tblGrid>
      <w:tr w:rsidR="00AF751E" w:rsidRPr="00A22BE4" w14:paraId="2766F382" w14:textId="77777777" w:rsidTr="00AF751E">
        <w:trPr>
          <w:tblHeader/>
        </w:trPr>
        <w:tc>
          <w:tcPr>
            <w:tcW w:w="1232" w:type="dxa"/>
            <w:vMerge w:val="restart"/>
            <w:tcMar>
              <w:left w:w="29" w:type="dxa"/>
              <w:right w:w="14" w:type="dxa"/>
            </w:tcMar>
            <w:vAlign w:val="center"/>
          </w:tcPr>
          <w:p w14:paraId="3AF7DAEB" w14:textId="77777777" w:rsidR="00AF751E" w:rsidRPr="00A22BE4" w:rsidRDefault="00AF751E" w:rsidP="00AF751E">
            <w:pPr>
              <w:jc w:val="left"/>
              <w:rPr>
                <w:b/>
                <w:sz w:val="19"/>
                <w:szCs w:val="19"/>
                <w:lang w:val="es-ES_tradnl"/>
              </w:rPr>
            </w:pPr>
            <w:r w:rsidRPr="00A22BE4">
              <w:rPr>
                <w:b/>
                <w:sz w:val="19"/>
                <w:szCs w:val="19"/>
                <w:lang w:val="es-ES_tradnl"/>
              </w:rPr>
              <w:t>Componente</w:t>
            </w:r>
          </w:p>
        </w:tc>
        <w:tc>
          <w:tcPr>
            <w:tcW w:w="2003" w:type="dxa"/>
            <w:gridSpan w:val="2"/>
          </w:tcPr>
          <w:p w14:paraId="51963A38" w14:textId="77777777" w:rsidR="00AF751E" w:rsidRPr="00A22BE4" w:rsidRDefault="00AF751E" w:rsidP="00AF751E">
            <w:pPr>
              <w:keepNext/>
              <w:jc w:val="center"/>
              <w:rPr>
                <w:b/>
                <w:sz w:val="19"/>
                <w:szCs w:val="19"/>
                <w:lang w:val="es-ES_tradnl"/>
              </w:rPr>
            </w:pPr>
            <w:r w:rsidRPr="00A22BE4">
              <w:rPr>
                <w:b/>
                <w:sz w:val="19"/>
                <w:szCs w:val="19"/>
                <w:lang w:val="es-ES_tradnl"/>
              </w:rPr>
              <w:t>Primer tramo</w:t>
            </w:r>
          </w:p>
        </w:tc>
        <w:tc>
          <w:tcPr>
            <w:tcW w:w="2070" w:type="dxa"/>
            <w:gridSpan w:val="2"/>
          </w:tcPr>
          <w:p w14:paraId="0B444FD0" w14:textId="77777777" w:rsidR="00AF751E" w:rsidRPr="00A22BE4" w:rsidRDefault="00AF751E" w:rsidP="00AF751E">
            <w:pPr>
              <w:keepNext/>
              <w:jc w:val="center"/>
              <w:rPr>
                <w:b/>
                <w:sz w:val="19"/>
                <w:szCs w:val="19"/>
                <w:lang w:val="es-ES_tradnl"/>
              </w:rPr>
            </w:pPr>
            <w:r w:rsidRPr="00A22BE4">
              <w:rPr>
                <w:b/>
                <w:sz w:val="19"/>
                <w:szCs w:val="19"/>
                <w:lang w:val="es-ES_tradnl"/>
              </w:rPr>
              <w:t>Segundo tramo</w:t>
            </w:r>
          </w:p>
        </w:tc>
        <w:tc>
          <w:tcPr>
            <w:tcW w:w="1980" w:type="dxa"/>
            <w:gridSpan w:val="2"/>
          </w:tcPr>
          <w:p w14:paraId="56B68D64" w14:textId="77777777" w:rsidR="00AF751E" w:rsidRPr="00A22BE4" w:rsidRDefault="00AF751E" w:rsidP="00AF751E">
            <w:pPr>
              <w:keepNext/>
              <w:jc w:val="center"/>
              <w:rPr>
                <w:b/>
                <w:sz w:val="19"/>
                <w:szCs w:val="19"/>
                <w:lang w:val="es-ES_tradnl"/>
              </w:rPr>
            </w:pPr>
            <w:r w:rsidRPr="00A22BE4">
              <w:rPr>
                <w:b/>
                <w:sz w:val="19"/>
                <w:szCs w:val="19"/>
                <w:lang w:val="es-ES_tradnl"/>
              </w:rPr>
              <w:t>Tercer tramo</w:t>
            </w:r>
          </w:p>
        </w:tc>
        <w:tc>
          <w:tcPr>
            <w:tcW w:w="2066" w:type="dxa"/>
            <w:gridSpan w:val="2"/>
          </w:tcPr>
          <w:p w14:paraId="345B2353" w14:textId="77777777" w:rsidR="00AF751E" w:rsidRPr="00A22BE4" w:rsidRDefault="00AF751E" w:rsidP="00AF751E">
            <w:pPr>
              <w:keepNext/>
              <w:jc w:val="center"/>
              <w:rPr>
                <w:b/>
                <w:sz w:val="19"/>
                <w:szCs w:val="19"/>
                <w:lang w:val="es-ES_tradnl"/>
              </w:rPr>
            </w:pPr>
            <w:r w:rsidRPr="00A22BE4">
              <w:rPr>
                <w:b/>
                <w:sz w:val="19"/>
                <w:szCs w:val="19"/>
                <w:lang w:val="es-ES_tradnl"/>
              </w:rPr>
              <w:t xml:space="preserve">Total </w:t>
            </w:r>
          </w:p>
        </w:tc>
      </w:tr>
      <w:tr w:rsidR="00AF751E" w:rsidRPr="00A22BE4" w14:paraId="2173A912" w14:textId="77777777" w:rsidTr="00AF751E">
        <w:trPr>
          <w:tblHeader/>
        </w:trPr>
        <w:tc>
          <w:tcPr>
            <w:tcW w:w="1232" w:type="dxa"/>
            <w:vMerge/>
            <w:tcMar>
              <w:left w:w="29" w:type="dxa"/>
              <w:right w:w="14" w:type="dxa"/>
            </w:tcMar>
            <w:vAlign w:val="center"/>
          </w:tcPr>
          <w:p w14:paraId="3398793A" w14:textId="77777777" w:rsidR="00AF751E" w:rsidRPr="00A22BE4" w:rsidRDefault="00AF751E" w:rsidP="00AF751E">
            <w:pPr>
              <w:jc w:val="left"/>
              <w:rPr>
                <w:b/>
                <w:sz w:val="19"/>
                <w:szCs w:val="19"/>
                <w:lang w:val="es-ES_tradnl"/>
              </w:rPr>
            </w:pPr>
          </w:p>
        </w:tc>
        <w:tc>
          <w:tcPr>
            <w:tcW w:w="1014" w:type="dxa"/>
            <w:vAlign w:val="center"/>
          </w:tcPr>
          <w:p w14:paraId="7B6F65FB" w14:textId="77777777" w:rsidR="00AF751E" w:rsidRPr="00A22BE4" w:rsidRDefault="00AF751E" w:rsidP="00AF751E">
            <w:pPr>
              <w:keepNext/>
              <w:jc w:val="center"/>
              <w:rPr>
                <w:b/>
                <w:sz w:val="19"/>
                <w:szCs w:val="19"/>
                <w:lang w:val="es-ES_tradnl"/>
              </w:rPr>
            </w:pPr>
            <w:r w:rsidRPr="00A22BE4">
              <w:rPr>
                <w:b/>
                <w:sz w:val="19"/>
                <w:szCs w:val="19"/>
                <w:lang w:val="es-ES_tradnl"/>
              </w:rPr>
              <w:t>Aprobado</w:t>
            </w:r>
          </w:p>
        </w:tc>
        <w:tc>
          <w:tcPr>
            <w:tcW w:w="989" w:type="dxa"/>
            <w:vAlign w:val="center"/>
          </w:tcPr>
          <w:p w14:paraId="7BA84C0F" w14:textId="77777777" w:rsidR="00AF751E" w:rsidRPr="00A22BE4" w:rsidRDefault="00AF751E" w:rsidP="00AF751E">
            <w:pPr>
              <w:keepNext/>
              <w:jc w:val="center"/>
              <w:rPr>
                <w:b/>
                <w:sz w:val="19"/>
                <w:szCs w:val="19"/>
                <w:lang w:val="es-ES_tradnl"/>
              </w:rPr>
            </w:pPr>
            <w:r w:rsidRPr="00A22BE4">
              <w:rPr>
                <w:b/>
                <w:sz w:val="19"/>
                <w:szCs w:val="19"/>
                <w:lang w:val="es-ES_tradnl"/>
              </w:rPr>
              <w:t>Desembolsado</w:t>
            </w:r>
          </w:p>
        </w:tc>
        <w:tc>
          <w:tcPr>
            <w:tcW w:w="990" w:type="dxa"/>
            <w:vAlign w:val="center"/>
          </w:tcPr>
          <w:p w14:paraId="027AE1A6" w14:textId="77777777" w:rsidR="00AF751E" w:rsidRPr="00A22BE4" w:rsidRDefault="00AF751E" w:rsidP="00AF751E">
            <w:pPr>
              <w:keepNext/>
              <w:jc w:val="center"/>
              <w:rPr>
                <w:b/>
                <w:sz w:val="19"/>
                <w:szCs w:val="19"/>
                <w:lang w:val="es-ES_tradnl"/>
              </w:rPr>
            </w:pPr>
            <w:r w:rsidRPr="00A22BE4">
              <w:rPr>
                <w:b/>
                <w:sz w:val="19"/>
                <w:szCs w:val="19"/>
                <w:lang w:val="es-ES_tradnl"/>
              </w:rPr>
              <w:t>Aprobado</w:t>
            </w:r>
          </w:p>
        </w:tc>
        <w:tc>
          <w:tcPr>
            <w:tcW w:w="1080" w:type="dxa"/>
            <w:vAlign w:val="center"/>
          </w:tcPr>
          <w:p w14:paraId="3F2F5D12" w14:textId="77777777" w:rsidR="00AF751E" w:rsidRPr="00A22BE4" w:rsidRDefault="00AF751E" w:rsidP="00AF751E">
            <w:pPr>
              <w:keepNext/>
              <w:jc w:val="center"/>
              <w:rPr>
                <w:b/>
                <w:sz w:val="19"/>
                <w:szCs w:val="19"/>
                <w:lang w:val="es-ES_tradnl"/>
              </w:rPr>
            </w:pPr>
            <w:r w:rsidRPr="00A22BE4">
              <w:rPr>
                <w:b/>
                <w:sz w:val="19"/>
                <w:szCs w:val="19"/>
                <w:lang w:val="es-ES_tradnl"/>
              </w:rPr>
              <w:t>Desembolsado</w:t>
            </w:r>
          </w:p>
        </w:tc>
        <w:tc>
          <w:tcPr>
            <w:tcW w:w="990" w:type="dxa"/>
            <w:vAlign w:val="center"/>
          </w:tcPr>
          <w:p w14:paraId="17124520" w14:textId="77777777" w:rsidR="00AF751E" w:rsidRPr="00A22BE4" w:rsidRDefault="00AF751E" w:rsidP="00AF751E">
            <w:pPr>
              <w:keepNext/>
              <w:jc w:val="center"/>
              <w:rPr>
                <w:b/>
                <w:sz w:val="19"/>
                <w:szCs w:val="19"/>
                <w:lang w:val="es-ES_tradnl"/>
              </w:rPr>
            </w:pPr>
            <w:r w:rsidRPr="00A22BE4">
              <w:rPr>
                <w:b/>
                <w:sz w:val="19"/>
                <w:szCs w:val="19"/>
                <w:lang w:val="es-ES_tradnl"/>
              </w:rPr>
              <w:t>Aprobado</w:t>
            </w:r>
          </w:p>
        </w:tc>
        <w:tc>
          <w:tcPr>
            <w:tcW w:w="990" w:type="dxa"/>
            <w:shd w:val="clear" w:color="auto" w:fill="auto"/>
            <w:vAlign w:val="center"/>
          </w:tcPr>
          <w:p w14:paraId="32F28EFA" w14:textId="77777777" w:rsidR="00AF751E" w:rsidRPr="00A22BE4" w:rsidRDefault="00AF751E" w:rsidP="00AF751E">
            <w:pPr>
              <w:keepNext/>
              <w:jc w:val="center"/>
              <w:rPr>
                <w:b/>
                <w:sz w:val="19"/>
                <w:szCs w:val="19"/>
                <w:lang w:val="es-ES_tradnl"/>
              </w:rPr>
            </w:pPr>
            <w:r w:rsidRPr="00A22BE4">
              <w:rPr>
                <w:b/>
                <w:sz w:val="19"/>
                <w:szCs w:val="19"/>
                <w:lang w:val="es-ES_tradnl"/>
              </w:rPr>
              <w:t>Desembolsado</w:t>
            </w:r>
          </w:p>
        </w:tc>
        <w:tc>
          <w:tcPr>
            <w:tcW w:w="1080" w:type="dxa"/>
            <w:tcBorders>
              <w:bottom w:val="single" w:sz="4" w:space="0" w:color="auto"/>
            </w:tcBorders>
            <w:vAlign w:val="center"/>
          </w:tcPr>
          <w:p w14:paraId="1E63E90F" w14:textId="77777777" w:rsidR="00AF751E" w:rsidRPr="00A22BE4" w:rsidRDefault="00AF751E" w:rsidP="00AF751E">
            <w:pPr>
              <w:keepNext/>
              <w:jc w:val="center"/>
              <w:rPr>
                <w:b/>
                <w:sz w:val="19"/>
                <w:szCs w:val="19"/>
                <w:lang w:val="es-ES_tradnl"/>
              </w:rPr>
            </w:pPr>
            <w:r w:rsidRPr="00A22BE4">
              <w:rPr>
                <w:b/>
                <w:sz w:val="19"/>
                <w:szCs w:val="19"/>
                <w:lang w:val="es-ES_tradnl"/>
              </w:rPr>
              <w:t>Aprobado</w:t>
            </w:r>
          </w:p>
        </w:tc>
        <w:tc>
          <w:tcPr>
            <w:tcW w:w="986" w:type="dxa"/>
            <w:tcBorders>
              <w:bottom w:val="single" w:sz="4" w:space="0" w:color="auto"/>
            </w:tcBorders>
            <w:vAlign w:val="center"/>
          </w:tcPr>
          <w:p w14:paraId="79F0AEED" w14:textId="77777777" w:rsidR="00AF751E" w:rsidRPr="00A22BE4" w:rsidRDefault="00AF751E" w:rsidP="00AF751E">
            <w:pPr>
              <w:keepNext/>
              <w:jc w:val="center"/>
              <w:rPr>
                <w:b/>
                <w:sz w:val="19"/>
                <w:szCs w:val="19"/>
                <w:lang w:val="es-ES_tradnl"/>
              </w:rPr>
            </w:pPr>
            <w:r w:rsidRPr="00A22BE4">
              <w:rPr>
                <w:b/>
                <w:sz w:val="19"/>
                <w:szCs w:val="19"/>
                <w:lang w:val="es-ES_tradnl"/>
              </w:rPr>
              <w:t>Desembolsado</w:t>
            </w:r>
          </w:p>
        </w:tc>
      </w:tr>
      <w:tr w:rsidR="00AF751E" w:rsidRPr="00A22BE4" w14:paraId="01C4B0D8" w14:textId="77777777" w:rsidTr="00AF751E">
        <w:tc>
          <w:tcPr>
            <w:tcW w:w="1232" w:type="dxa"/>
            <w:tcMar>
              <w:left w:w="29" w:type="dxa"/>
              <w:right w:w="14" w:type="dxa"/>
            </w:tcMar>
            <w:vAlign w:val="center"/>
          </w:tcPr>
          <w:p w14:paraId="6D29CB76" w14:textId="77777777" w:rsidR="00AF751E" w:rsidRPr="00A22BE4" w:rsidRDefault="00AF751E" w:rsidP="00AF751E">
            <w:pPr>
              <w:jc w:val="left"/>
              <w:rPr>
                <w:sz w:val="19"/>
                <w:szCs w:val="19"/>
                <w:lang w:val="es-ES_tradnl"/>
              </w:rPr>
            </w:pPr>
            <w:r w:rsidRPr="00A22BE4">
              <w:rPr>
                <w:sz w:val="19"/>
                <w:szCs w:val="19"/>
                <w:lang w:val="es-ES_tradnl"/>
              </w:rPr>
              <w:t xml:space="preserve">Nacional </w:t>
            </w:r>
          </w:p>
        </w:tc>
        <w:tc>
          <w:tcPr>
            <w:tcW w:w="1014" w:type="dxa"/>
          </w:tcPr>
          <w:p w14:paraId="776F6959" w14:textId="77777777" w:rsidR="00AF751E" w:rsidRPr="00A22BE4" w:rsidRDefault="00AF751E" w:rsidP="00AF751E">
            <w:pPr>
              <w:keepNext/>
              <w:jc w:val="right"/>
              <w:rPr>
                <w:sz w:val="19"/>
                <w:szCs w:val="19"/>
                <w:lang w:val="es-ES_tradnl"/>
              </w:rPr>
            </w:pPr>
            <w:r w:rsidRPr="00A22BE4">
              <w:rPr>
                <w:sz w:val="19"/>
                <w:szCs w:val="19"/>
                <w:lang w:val="es-ES_tradnl"/>
              </w:rPr>
              <w:t>739.375</w:t>
            </w:r>
          </w:p>
        </w:tc>
        <w:tc>
          <w:tcPr>
            <w:tcW w:w="989" w:type="dxa"/>
          </w:tcPr>
          <w:p w14:paraId="0829625D" w14:textId="77777777" w:rsidR="00AF751E" w:rsidRPr="00A22BE4" w:rsidRDefault="00AF751E" w:rsidP="00AF751E">
            <w:pPr>
              <w:keepNext/>
              <w:jc w:val="right"/>
              <w:rPr>
                <w:sz w:val="19"/>
                <w:szCs w:val="19"/>
                <w:lang w:val="es-ES_tradnl"/>
              </w:rPr>
            </w:pPr>
            <w:r w:rsidRPr="00A22BE4">
              <w:rPr>
                <w:sz w:val="19"/>
                <w:szCs w:val="19"/>
                <w:lang w:val="es-ES_tradnl"/>
              </w:rPr>
              <w:t>739.375</w:t>
            </w:r>
          </w:p>
        </w:tc>
        <w:tc>
          <w:tcPr>
            <w:tcW w:w="990" w:type="dxa"/>
            <w:tcBorders>
              <w:top w:val="nil"/>
              <w:left w:val="nil"/>
              <w:bottom w:val="single" w:sz="4" w:space="0" w:color="auto"/>
              <w:right w:val="single" w:sz="4" w:space="0" w:color="auto"/>
            </w:tcBorders>
            <w:shd w:val="clear" w:color="auto" w:fill="auto"/>
          </w:tcPr>
          <w:p w14:paraId="36AF33F8" w14:textId="77777777" w:rsidR="00AF751E" w:rsidRPr="00A22BE4" w:rsidRDefault="00AF751E" w:rsidP="00AF751E">
            <w:pPr>
              <w:keepNext/>
              <w:jc w:val="right"/>
              <w:rPr>
                <w:sz w:val="19"/>
                <w:szCs w:val="19"/>
                <w:lang w:val="es-ES_tradnl"/>
              </w:rPr>
            </w:pPr>
            <w:r w:rsidRPr="00A22BE4">
              <w:rPr>
                <w:sz w:val="19"/>
                <w:szCs w:val="19"/>
                <w:lang w:val="es-ES_tradnl"/>
              </w:rPr>
              <w:t>530.525</w:t>
            </w:r>
          </w:p>
        </w:tc>
        <w:tc>
          <w:tcPr>
            <w:tcW w:w="1080" w:type="dxa"/>
            <w:tcBorders>
              <w:top w:val="nil"/>
              <w:left w:val="single" w:sz="4" w:space="0" w:color="auto"/>
              <w:bottom w:val="single" w:sz="4" w:space="0" w:color="auto"/>
              <w:right w:val="single" w:sz="4" w:space="0" w:color="auto"/>
            </w:tcBorders>
            <w:shd w:val="clear" w:color="auto" w:fill="auto"/>
          </w:tcPr>
          <w:p w14:paraId="7A69950B" w14:textId="77777777" w:rsidR="00AF751E" w:rsidRPr="00A22BE4" w:rsidRDefault="00AF751E" w:rsidP="00AF751E">
            <w:pPr>
              <w:keepNext/>
              <w:jc w:val="right"/>
              <w:rPr>
                <w:sz w:val="19"/>
                <w:szCs w:val="19"/>
                <w:lang w:val="es-ES_tradnl"/>
              </w:rPr>
            </w:pPr>
            <w:r w:rsidRPr="00A22BE4">
              <w:rPr>
                <w:bCs/>
                <w:color w:val="000000"/>
                <w:sz w:val="19"/>
                <w:szCs w:val="19"/>
                <w:lang w:val="es-ES_tradnl"/>
              </w:rPr>
              <w:t>376.896</w:t>
            </w:r>
          </w:p>
        </w:tc>
        <w:tc>
          <w:tcPr>
            <w:tcW w:w="990" w:type="dxa"/>
            <w:tcBorders>
              <w:top w:val="single" w:sz="4" w:space="0" w:color="auto"/>
              <w:left w:val="nil"/>
              <w:bottom w:val="single" w:sz="4" w:space="0" w:color="auto"/>
              <w:right w:val="single" w:sz="4" w:space="0" w:color="auto"/>
            </w:tcBorders>
          </w:tcPr>
          <w:p w14:paraId="3F87D30A" w14:textId="77777777" w:rsidR="00AF751E" w:rsidRPr="00A22BE4" w:rsidRDefault="00AF751E" w:rsidP="00AF751E">
            <w:pPr>
              <w:keepNext/>
              <w:jc w:val="right"/>
              <w:rPr>
                <w:bCs/>
                <w:color w:val="000000"/>
                <w:sz w:val="19"/>
                <w:szCs w:val="19"/>
                <w:lang w:val="es-ES_tradnl"/>
              </w:rPr>
            </w:pPr>
            <w:r w:rsidRPr="00A22BE4">
              <w:rPr>
                <w:bCs/>
                <w:sz w:val="19"/>
                <w:szCs w:val="19"/>
                <w:lang w:val="es-ES_tradnl"/>
              </w:rPr>
              <w:t>141.100</w:t>
            </w:r>
          </w:p>
        </w:tc>
        <w:tc>
          <w:tcPr>
            <w:tcW w:w="990" w:type="dxa"/>
            <w:tcBorders>
              <w:top w:val="single" w:sz="4" w:space="0" w:color="auto"/>
              <w:left w:val="single" w:sz="4" w:space="0" w:color="auto"/>
              <w:bottom w:val="single" w:sz="4" w:space="0" w:color="auto"/>
              <w:right w:val="single" w:sz="4" w:space="0" w:color="auto"/>
            </w:tcBorders>
          </w:tcPr>
          <w:p w14:paraId="58B7ECD7" w14:textId="77777777" w:rsidR="00AF751E" w:rsidRPr="00A22BE4" w:rsidRDefault="00AF751E" w:rsidP="00AF751E">
            <w:pPr>
              <w:keepNext/>
              <w:jc w:val="right"/>
              <w:rPr>
                <w:color w:val="000000"/>
                <w:sz w:val="19"/>
                <w:szCs w:val="19"/>
                <w:lang w:val="es-ES_tradnl"/>
              </w:rPr>
            </w:pPr>
            <w:r w:rsidRPr="00A22BE4">
              <w:rPr>
                <w:color w:val="000000"/>
                <w:sz w:val="19"/>
                <w:szCs w:val="19"/>
                <w:lang w:val="es-ES_tradnl"/>
              </w:rPr>
              <w:t>7.660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05D584" w14:textId="77777777" w:rsidR="00AF751E" w:rsidRPr="00A22BE4" w:rsidRDefault="00AF751E" w:rsidP="00AF751E">
            <w:pPr>
              <w:keepNext/>
              <w:jc w:val="right"/>
              <w:rPr>
                <w:color w:val="000000"/>
                <w:sz w:val="19"/>
                <w:szCs w:val="19"/>
                <w:lang w:val="es-ES_tradnl"/>
              </w:rPr>
            </w:pPr>
            <w:r w:rsidRPr="00A22BE4">
              <w:rPr>
                <w:color w:val="000000"/>
                <w:sz w:val="19"/>
                <w:szCs w:val="19"/>
                <w:lang w:val="es-ES_tradnl"/>
              </w:rPr>
              <w:t>1.411.00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1DCE186" w14:textId="77777777" w:rsidR="00AF751E" w:rsidRPr="00A22BE4" w:rsidRDefault="00AF751E" w:rsidP="00AF751E">
            <w:pPr>
              <w:keepNext/>
              <w:jc w:val="right"/>
              <w:rPr>
                <w:color w:val="000000"/>
                <w:sz w:val="19"/>
                <w:szCs w:val="19"/>
                <w:lang w:val="es-ES_tradnl"/>
              </w:rPr>
            </w:pPr>
            <w:r w:rsidRPr="00A22BE4">
              <w:rPr>
                <w:color w:val="000000"/>
                <w:sz w:val="19"/>
                <w:szCs w:val="19"/>
                <w:lang w:val="es-ES_tradnl"/>
              </w:rPr>
              <w:t>1.123.931</w:t>
            </w:r>
          </w:p>
        </w:tc>
      </w:tr>
      <w:tr w:rsidR="00AF751E" w:rsidRPr="00A22BE4" w14:paraId="5D2E9F23" w14:textId="77777777" w:rsidTr="00AF751E">
        <w:tc>
          <w:tcPr>
            <w:tcW w:w="1232" w:type="dxa"/>
            <w:tcMar>
              <w:left w:w="29" w:type="dxa"/>
              <w:right w:w="14" w:type="dxa"/>
            </w:tcMar>
            <w:vAlign w:val="center"/>
          </w:tcPr>
          <w:p w14:paraId="71C0F5CE" w14:textId="77777777" w:rsidR="00AF751E" w:rsidRPr="00A22BE4" w:rsidRDefault="00AF751E" w:rsidP="00AF751E">
            <w:pPr>
              <w:jc w:val="left"/>
              <w:rPr>
                <w:sz w:val="19"/>
                <w:szCs w:val="19"/>
                <w:lang w:val="es-ES_tradnl"/>
              </w:rPr>
            </w:pPr>
            <w:r w:rsidRPr="00A22BE4">
              <w:rPr>
                <w:sz w:val="19"/>
                <w:szCs w:val="19"/>
                <w:lang w:val="es-ES_tradnl"/>
              </w:rPr>
              <w:t>Regional</w:t>
            </w:r>
          </w:p>
        </w:tc>
        <w:tc>
          <w:tcPr>
            <w:tcW w:w="1014" w:type="dxa"/>
          </w:tcPr>
          <w:p w14:paraId="12A2C78B" w14:textId="77777777" w:rsidR="00AF751E" w:rsidRPr="00A22BE4" w:rsidRDefault="00AF751E" w:rsidP="00AF751E">
            <w:pPr>
              <w:keepNext/>
              <w:jc w:val="right"/>
              <w:rPr>
                <w:sz w:val="19"/>
                <w:szCs w:val="19"/>
                <w:lang w:val="es-ES_tradnl"/>
              </w:rPr>
            </w:pPr>
            <w:r w:rsidRPr="00A22BE4">
              <w:rPr>
                <w:sz w:val="19"/>
                <w:szCs w:val="19"/>
                <w:lang w:val="es-ES_tradnl"/>
              </w:rPr>
              <w:t>134.000</w:t>
            </w:r>
          </w:p>
        </w:tc>
        <w:tc>
          <w:tcPr>
            <w:tcW w:w="989" w:type="dxa"/>
          </w:tcPr>
          <w:p w14:paraId="09CDD2AD" w14:textId="77777777" w:rsidR="00AF751E" w:rsidRPr="00A22BE4" w:rsidRDefault="00AF751E" w:rsidP="00AF751E">
            <w:pPr>
              <w:keepNext/>
              <w:jc w:val="right"/>
              <w:rPr>
                <w:sz w:val="19"/>
                <w:szCs w:val="19"/>
                <w:lang w:val="es-ES_tradnl"/>
              </w:rPr>
            </w:pPr>
            <w:r w:rsidRPr="00A22BE4">
              <w:rPr>
                <w:sz w:val="19"/>
                <w:szCs w:val="19"/>
                <w:lang w:val="es-ES_tradnl"/>
              </w:rPr>
              <w:t>134.000</w:t>
            </w:r>
          </w:p>
        </w:tc>
        <w:tc>
          <w:tcPr>
            <w:tcW w:w="990" w:type="dxa"/>
          </w:tcPr>
          <w:p w14:paraId="3817ECA6" w14:textId="77777777" w:rsidR="00AF751E" w:rsidRPr="00A22BE4" w:rsidRDefault="00AF751E" w:rsidP="00AF751E">
            <w:pPr>
              <w:keepNext/>
              <w:jc w:val="right"/>
              <w:rPr>
                <w:sz w:val="19"/>
                <w:szCs w:val="19"/>
                <w:lang w:val="es-ES_tradnl"/>
              </w:rPr>
            </w:pPr>
            <w:r w:rsidRPr="00A22BE4">
              <w:rPr>
                <w:sz w:val="19"/>
                <w:szCs w:val="19"/>
                <w:lang w:val="es-ES_tradnl"/>
              </w:rPr>
              <w:t>106.000</w:t>
            </w:r>
          </w:p>
        </w:tc>
        <w:tc>
          <w:tcPr>
            <w:tcW w:w="1080" w:type="dxa"/>
          </w:tcPr>
          <w:p w14:paraId="08DE5FD2" w14:textId="77777777" w:rsidR="00AF751E" w:rsidRPr="00A22BE4" w:rsidRDefault="00AF751E" w:rsidP="00AF751E">
            <w:pPr>
              <w:keepNext/>
              <w:jc w:val="right"/>
              <w:rPr>
                <w:sz w:val="19"/>
                <w:szCs w:val="19"/>
                <w:lang w:val="es-ES_tradnl"/>
              </w:rPr>
            </w:pPr>
            <w:r w:rsidRPr="00A22BE4">
              <w:rPr>
                <w:sz w:val="19"/>
                <w:szCs w:val="19"/>
                <w:lang w:val="es-ES_tradnl"/>
              </w:rPr>
              <w:t>106.000</w:t>
            </w:r>
          </w:p>
        </w:tc>
        <w:tc>
          <w:tcPr>
            <w:tcW w:w="990" w:type="dxa"/>
          </w:tcPr>
          <w:p w14:paraId="560EA1A7" w14:textId="77777777" w:rsidR="00AF751E" w:rsidRPr="00A22BE4" w:rsidRDefault="00AF751E" w:rsidP="00AF751E">
            <w:pPr>
              <w:keepNext/>
              <w:jc w:val="right"/>
              <w:rPr>
                <w:color w:val="000000"/>
                <w:sz w:val="19"/>
                <w:szCs w:val="19"/>
                <w:lang w:val="es-ES_tradnl"/>
              </w:rPr>
            </w:pPr>
            <w:r w:rsidRPr="00A22BE4">
              <w:rPr>
                <w:sz w:val="19"/>
                <w:szCs w:val="19"/>
                <w:lang w:val="es-ES_tradnl"/>
              </w:rPr>
              <w:t>45.000</w:t>
            </w:r>
          </w:p>
        </w:tc>
        <w:tc>
          <w:tcPr>
            <w:tcW w:w="990" w:type="dxa"/>
            <w:tcBorders>
              <w:right w:val="single" w:sz="4" w:space="0" w:color="auto"/>
            </w:tcBorders>
          </w:tcPr>
          <w:p w14:paraId="0A5C5D83" w14:textId="77777777" w:rsidR="00AF751E" w:rsidRPr="00A22BE4" w:rsidRDefault="00AF751E" w:rsidP="00AF751E">
            <w:pPr>
              <w:keepNext/>
              <w:jc w:val="right"/>
              <w:rPr>
                <w:color w:val="000000"/>
                <w:sz w:val="19"/>
                <w:szCs w:val="19"/>
                <w:lang w:val="es-ES_tradnl"/>
              </w:rPr>
            </w:pPr>
            <w:r w:rsidRPr="00A22BE4">
              <w:rPr>
                <w:color w:val="000000"/>
                <w:sz w:val="19"/>
                <w:szCs w:val="19"/>
                <w:lang w:val="es-ES_tradnl"/>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7C15E7" w14:textId="77777777" w:rsidR="00AF751E" w:rsidRPr="00A22BE4" w:rsidRDefault="00AF751E" w:rsidP="00AF751E">
            <w:pPr>
              <w:keepNext/>
              <w:jc w:val="right"/>
              <w:rPr>
                <w:color w:val="000000"/>
                <w:sz w:val="19"/>
                <w:szCs w:val="19"/>
                <w:lang w:val="es-ES_tradnl"/>
              </w:rPr>
            </w:pPr>
            <w:r w:rsidRPr="00A22BE4">
              <w:rPr>
                <w:color w:val="000000"/>
                <w:sz w:val="19"/>
                <w:szCs w:val="19"/>
                <w:lang w:val="es-ES_tradnl"/>
              </w:rPr>
              <w:t>285.000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760F1F1" w14:textId="77777777" w:rsidR="00AF751E" w:rsidRPr="00A22BE4" w:rsidRDefault="00AF751E" w:rsidP="00AF751E">
            <w:pPr>
              <w:keepNext/>
              <w:jc w:val="right"/>
              <w:rPr>
                <w:color w:val="000000"/>
                <w:sz w:val="19"/>
                <w:szCs w:val="19"/>
                <w:lang w:val="es-ES_tradnl"/>
              </w:rPr>
            </w:pPr>
            <w:r w:rsidRPr="00A22BE4">
              <w:rPr>
                <w:color w:val="000000"/>
                <w:sz w:val="19"/>
                <w:szCs w:val="19"/>
                <w:lang w:val="es-ES_tradnl"/>
              </w:rPr>
              <w:t>240.000</w:t>
            </w:r>
          </w:p>
        </w:tc>
      </w:tr>
      <w:tr w:rsidR="00AF751E" w:rsidRPr="00A22BE4" w14:paraId="7E5DA30B" w14:textId="77777777" w:rsidTr="00AF751E">
        <w:tc>
          <w:tcPr>
            <w:tcW w:w="1232" w:type="dxa"/>
            <w:tcBorders>
              <w:bottom w:val="single" w:sz="2" w:space="0" w:color="auto"/>
            </w:tcBorders>
            <w:tcMar>
              <w:left w:w="29" w:type="dxa"/>
              <w:right w:w="14" w:type="dxa"/>
            </w:tcMar>
            <w:vAlign w:val="center"/>
          </w:tcPr>
          <w:p w14:paraId="609BF3D4" w14:textId="77777777" w:rsidR="00AF751E" w:rsidRPr="00A22BE4" w:rsidRDefault="00AF751E" w:rsidP="00AF751E">
            <w:pPr>
              <w:jc w:val="left"/>
              <w:rPr>
                <w:b/>
                <w:sz w:val="19"/>
                <w:szCs w:val="19"/>
                <w:lang w:val="es-ES_tradnl"/>
              </w:rPr>
            </w:pPr>
            <w:r w:rsidRPr="00A22BE4">
              <w:rPr>
                <w:b/>
                <w:sz w:val="19"/>
                <w:szCs w:val="19"/>
                <w:lang w:val="es-ES_tradnl"/>
              </w:rPr>
              <w:t>Total</w:t>
            </w:r>
          </w:p>
        </w:tc>
        <w:tc>
          <w:tcPr>
            <w:tcW w:w="1014" w:type="dxa"/>
            <w:tcBorders>
              <w:bottom w:val="single" w:sz="2" w:space="0" w:color="auto"/>
            </w:tcBorders>
          </w:tcPr>
          <w:p w14:paraId="59E5FE5B" w14:textId="77777777" w:rsidR="00AF751E" w:rsidRPr="00A22BE4" w:rsidRDefault="00AF751E" w:rsidP="00AF751E">
            <w:pPr>
              <w:keepNext/>
              <w:jc w:val="right"/>
              <w:rPr>
                <w:b/>
                <w:sz w:val="19"/>
                <w:szCs w:val="19"/>
                <w:lang w:val="es-ES_tradnl"/>
              </w:rPr>
            </w:pPr>
            <w:r w:rsidRPr="00A22BE4">
              <w:rPr>
                <w:b/>
                <w:sz w:val="19"/>
                <w:szCs w:val="19"/>
                <w:lang w:val="es-ES_tradnl"/>
              </w:rPr>
              <w:t>873.375</w:t>
            </w:r>
          </w:p>
        </w:tc>
        <w:tc>
          <w:tcPr>
            <w:tcW w:w="989" w:type="dxa"/>
            <w:tcBorders>
              <w:bottom w:val="single" w:sz="2" w:space="0" w:color="auto"/>
            </w:tcBorders>
          </w:tcPr>
          <w:p w14:paraId="675BC9F0" w14:textId="77777777" w:rsidR="00AF751E" w:rsidRPr="00A22BE4" w:rsidRDefault="00AF751E" w:rsidP="00AF751E">
            <w:pPr>
              <w:keepNext/>
              <w:jc w:val="right"/>
              <w:rPr>
                <w:b/>
                <w:sz w:val="19"/>
                <w:szCs w:val="19"/>
                <w:lang w:val="es-ES_tradnl"/>
              </w:rPr>
            </w:pPr>
            <w:r w:rsidRPr="00A22BE4">
              <w:rPr>
                <w:b/>
                <w:sz w:val="19"/>
                <w:szCs w:val="19"/>
                <w:lang w:val="es-ES_tradnl"/>
              </w:rPr>
              <w:t>873.375</w:t>
            </w:r>
          </w:p>
        </w:tc>
        <w:tc>
          <w:tcPr>
            <w:tcW w:w="990" w:type="dxa"/>
            <w:tcBorders>
              <w:bottom w:val="single" w:sz="2" w:space="0" w:color="auto"/>
            </w:tcBorders>
          </w:tcPr>
          <w:p w14:paraId="475EF712" w14:textId="77777777" w:rsidR="00AF751E" w:rsidRPr="00A22BE4" w:rsidRDefault="00AF751E" w:rsidP="00AF751E">
            <w:pPr>
              <w:keepNext/>
              <w:jc w:val="right"/>
              <w:rPr>
                <w:b/>
                <w:sz w:val="19"/>
                <w:szCs w:val="19"/>
                <w:lang w:val="es-ES_tradnl"/>
              </w:rPr>
            </w:pPr>
            <w:r w:rsidRPr="00A22BE4">
              <w:rPr>
                <w:b/>
                <w:sz w:val="19"/>
                <w:szCs w:val="19"/>
                <w:lang w:val="es-ES_tradnl"/>
              </w:rPr>
              <w:t>636.525</w:t>
            </w:r>
          </w:p>
        </w:tc>
        <w:tc>
          <w:tcPr>
            <w:tcW w:w="1080" w:type="dxa"/>
            <w:tcBorders>
              <w:bottom w:val="single" w:sz="2" w:space="0" w:color="auto"/>
            </w:tcBorders>
          </w:tcPr>
          <w:p w14:paraId="2139432F" w14:textId="77777777" w:rsidR="00AF751E" w:rsidRPr="00A22BE4" w:rsidRDefault="00AF751E" w:rsidP="00AF751E">
            <w:pPr>
              <w:keepNext/>
              <w:jc w:val="right"/>
              <w:rPr>
                <w:b/>
                <w:sz w:val="19"/>
                <w:szCs w:val="19"/>
                <w:lang w:val="es-ES_tradnl"/>
              </w:rPr>
            </w:pPr>
            <w:r w:rsidRPr="00A22BE4">
              <w:rPr>
                <w:b/>
                <w:sz w:val="19"/>
                <w:szCs w:val="19"/>
                <w:lang w:val="es-ES_tradnl"/>
              </w:rPr>
              <w:t>482.896</w:t>
            </w:r>
          </w:p>
        </w:tc>
        <w:tc>
          <w:tcPr>
            <w:tcW w:w="990" w:type="dxa"/>
            <w:tcBorders>
              <w:bottom w:val="single" w:sz="4" w:space="0" w:color="auto"/>
            </w:tcBorders>
          </w:tcPr>
          <w:p w14:paraId="2CD32D27" w14:textId="77777777" w:rsidR="00AF751E" w:rsidRPr="00A22BE4" w:rsidRDefault="00AF751E" w:rsidP="00AF751E">
            <w:pPr>
              <w:keepNext/>
              <w:jc w:val="right"/>
              <w:rPr>
                <w:b/>
                <w:sz w:val="19"/>
                <w:szCs w:val="19"/>
                <w:lang w:val="es-ES_tradnl"/>
              </w:rPr>
            </w:pPr>
            <w:r w:rsidRPr="00A22BE4">
              <w:rPr>
                <w:b/>
                <w:sz w:val="19"/>
                <w:szCs w:val="19"/>
                <w:lang w:val="es-ES_tradnl"/>
              </w:rPr>
              <w:t>186.100</w:t>
            </w:r>
          </w:p>
        </w:tc>
        <w:tc>
          <w:tcPr>
            <w:tcW w:w="990" w:type="dxa"/>
            <w:tcBorders>
              <w:bottom w:val="single" w:sz="4" w:space="0" w:color="auto"/>
            </w:tcBorders>
          </w:tcPr>
          <w:p w14:paraId="3C780B28" w14:textId="77777777" w:rsidR="00AF751E" w:rsidRPr="00A22BE4" w:rsidRDefault="00AF751E" w:rsidP="00AF751E">
            <w:pPr>
              <w:keepNext/>
              <w:jc w:val="right"/>
              <w:rPr>
                <w:b/>
                <w:sz w:val="19"/>
                <w:szCs w:val="19"/>
                <w:lang w:val="es-ES_tradnl"/>
              </w:rPr>
            </w:pPr>
            <w:r w:rsidRPr="00A22BE4">
              <w:rPr>
                <w:b/>
                <w:sz w:val="19"/>
                <w:szCs w:val="19"/>
                <w:lang w:val="es-ES_tradnl"/>
              </w:rPr>
              <w:t>7.660</w:t>
            </w:r>
          </w:p>
        </w:tc>
        <w:tc>
          <w:tcPr>
            <w:tcW w:w="1080" w:type="dxa"/>
            <w:tcBorders>
              <w:bottom w:val="single" w:sz="2" w:space="0" w:color="auto"/>
            </w:tcBorders>
          </w:tcPr>
          <w:p w14:paraId="6450DD23" w14:textId="77777777" w:rsidR="00AF751E" w:rsidRPr="00A22BE4" w:rsidRDefault="00AF751E" w:rsidP="00AF751E">
            <w:pPr>
              <w:keepNext/>
              <w:jc w:val="right"/>
              <w:rPr>
                <w:b/>
                <w:sz w:val="19"/>
                <w:szCs w:val="19"/>
                <w:lang w:val="es-ES_tradnl"/>
              </w:rPr>
            </w:pPr>
            <w:r w:rsidRPr="00A22BE4">
              <w:rPr>
                <w:b/>
                <w:sz w:val="19"/>
                <w:szCs w:val="19"/>
                <w:lang w:val="es-ES_tradnl"/>
              </w:rPr>
              <w:t>1.696.000</w:t>
            </w:r>
          </w:p>
        </w:tc>
        <w:tc>
          <w:tcPr>
            <w:tcW w:w="986" w:type="dxa"/>
            <w:tcBorders>
              <w:bottom w:val="single" w:sz="2" w:space="0" w:color="auto"/>
            </w:tcBorders>
          </w:tcPr>
          <w:p w14:paraId="0D407F3B" w14:textId="77777777" w:rsidR="00AF751E" w:rsidRPr="00A22BE4" w:rsidRDefault="00AF751E" w:rsidP="00AF751E">
            <w:pPr>
              <w:keepNext/>
              <w:jc w:val="right"/>
              <w:rPr>
                <w:b/>
                <w:sz w:val="19"/>
                <w:szCs w:val="19"/>
                <w:lang w:val="es-ES_tradnl"/>
              </w:rPr>
            </w:pPr>
            <w:r w:rsidRPr="00A22BE4">
              <w:rPr>
                <w:b/>
                <w:sz w:val="19"/>
                <w:szCs w:val="19"/>
                <w:lang w:val="es-ES_tradnl"/>
              </w:rPr>
              <w:t>1.363.931</w:t>
            </w:r>
          </w:p>
        </w:tc>
      </w:tr>
      <w:tr w:rsidR="00AF751E" w:rsidRPr="00A22BE4" w14:paraId="763354F8" w14:textId="77777777" w:rsidTr="00AF751E">
        <w:tc>
          <w:tcPr>
            <w:tcW w:w="1232" w:type="dxa"/>
            <w:tcBorders>
              <w:bottom w:val="single" w:sz="2" w:space="0" w:color="auto"/>
            </w:tcBorders>
            <w:tcMar>
              <w:left w:w="29" w:type="dxa"/>
              <w:right w:w="14" w:type="dxa"/>
            </w:tcMar>
            <w:vAlign w:val="center"/>
          </w:tcPr>
          <w:p w14:paraId="6944C811" w14:textId="77777777" w:rsidR="00AF751E" w:rsidRPr="00A22BE4" w:rsidRDefault="00AF751E" w:rsidP="00AF751E">
            <w:pPr>
              <w:jc w:val="left"/>
              <w:rPr>
                <w:b/>
                <w:sz w:val="19"/>
                <w:szCs w:val="19"/>
                <w:lang w:val="es-ES_tradnl"/>
              </w:rPr>
            </w:pPr>
            <w:r w:rsidRPr="00A22BE4">
              <w:rPr>
                <w:b/>
                <w:sz w:val="19"/>
                <w:szCs w:val="19"/>
                <w:lang w:val="es-ES_tradnl"/>
              </w:rPr>
              <w:t>% desembolso</w:t>
            </w:r>
          </w:p>
        </w:tc>
        <w:tc>
          <w:tcPr>
            <w:tcW w:w="2003" w:type="dxa"/>
            <w:gridSpan w:val="2"/>
            <w:tcBorders>
              <w:bottom w:val="single" w:sz="2" w:space="0" w:color="auto"/>
            </w:tcBorders>
          </w:tcPr>
          <w:p w14:paraId="0EBC23BF" w14:textId="77777777" w:rsidR="00AF751E" w:rsidRPr="00A22BE4" w:rsidRDefault="00AF751E" w:rsidP="00AF751E">
            <w:pPr>
              <w:keepNext/>
              <w:jc w:val="center"/>
              <w:rPr>
                <w:b/>
                <w:sz w:val="19"/>
                <w:szCs w:val="19"/>
                <w:lang w:val="es-ES_tradnl"/>
              </w:rPr>
            </w:pPr>
            <w:r w:rsidRPr="00A22BE4">
              <w:rPr>
                <w:b/>
                <w:sz w:val="19"/>
                <w:szCs w:val="19"/>
                <w:lang w:val="es-ES_tradnl"/>
              </w:rPr>
              <w:t>100</w:t>
            </w:r>
          </w:p>
        </w:tc>
        <w:tc>
          <w:tcPr>
            <w:tcW w:w="2070" w:type="dxa"/>
            <w:gridSpan w:val="2"/>
            <w:tcBorders>
              <w:bottom w:val="single" w:sz="2" w:space="0" w:color="auto"/>
            </w:tcBorders>
          </w:tcPr>
          <w:p w14:paraId="62B41B9E" w14:textId="77777777" w:rsidR="00AF751E" w:rsidRPr="00A22BE4" w:rsidRDefault="00AF751E" w:rsidP="00AF751E">
            <w:pPr>
              <w:keepNext/>
              <w:jc w:val="center"/>
              <w:rPr>
                <w:b/>
                <w:sz w:val="19"/>
                <w:szCs w:val="19"/>
                <w:lang w:val="es-ES_tradnl"/>
              </w:rPr>
            </w:pPr>
            <w:r w:rsidRPr="00A22BE4">
              <w:rPr>
                <w:b/>
                <w:sz w:val="19"/>
                <w:szCs w:val="19"/>
                <w:lang w:val="es-ES_tradnl"/>
              </w:rPr>
              <w:t>76</w:t>
            </w:r>
          </w:p>
        </w:tc>
        <w:tc>
          <w:tcPr>
            <w:tcW w:w="1980" w:type="dxa"/>
            <w:gridSpan w:val="2"/>
            <w:tcBorders>
              <w:bottom w:val="single" w:sz="4" w:space="0" w:color="auto"/>
            </w:tcBorders>
          </w:tcPr>
          <w:p w14:paraId="3294764F" w14:textId="77777777" w:rsidR="00AF751E" w:rsidRPr="00A22BE4" w:rsidRDefault="00AF751E" w:rsidP="00AF751E">
            <w:pPr>
              <w:keepNext/>
              <w:jc w:val="center"/>
              <w:rPr>
                <w:b/>
                <w:sz w:val="19"/>
                <w:szCs w:val="19"/>
                <w:lang w:val="es-ES_tradnl"/>
              </w:rPr>
            </w:pPr>
            <w:r w:rsidRPr="00A22BE4">
              <w:rPr>
                <w:b/>
                <w:sz w:val="19"/>
                <w:szCs w:val="19"/>
                <w:lang w:val="es-ES_tradnl"/>
              </w:rPr>
              <w:t>4</w:t>
            </w:r>
          </w:p>
        </w:tc>
        <w:tc>
          <w:tcPr>
            <w:tcW w:w="2066" w:type="dxa"/>
            <w:gridSpan w:val="2"/>
            <w:tcBorders>
              <w:bottom w:val="single" w:sz="2" w:space="0" w:color="auto"/>
            </w:tcBorders>
          </w:tcPr>
          <w:p w14:paraId="048B7C7C" w14:textId="77777777" w:rsidR="00AF751E" w:rsidRPr="00A22BE4" w:rsidRDefault="00AF751E" w:rsidP="00AF751E">
            <w:pPr>
              <w:keepNext/>
              <w:jc w:val="center"/>
              <w:rPr>
                <w:b/>
                <w:sz w:val="19"/>
                <w:szCs w:val="19"/>
                <w:lang w:val="es-ES_tradnl"/>
              </w:rPr>
            </w:pPr>
            <w:r w:rsidRPr="00A22BE4">
              <w:rPr>
                <w:b/>
                <w:sz w:val="19"/>
                <w:szCs w:val="19"/>
                <w:lang w:val="es-ES_tradnl"/>
              </w:rPr>
              <w:t>80</w:t>
            </w:r>
          </w:p>
        </w:tc>
      </w:tr>
    </w:tbl>
    <w:p w14:paraId="2A4FA994" w14:textId="77777777" w:rsidR="00AF751E" w:rsidRPr="00A22BE4" w:rsidRDefault="00AF751E" w:rsidP="00AF751E">
      <w:pPr>
        <w:keepNext/>
        <w:outlineLvl w:val="1"/>
        <w:rPr>
          <w:b/>
          <w:bCs/>
          <w:lang w:val="es-ES_tradnl"/>
        </w:rPr>
      </w:pPr>
    </w:p>
    <w:p w14:paraId="4D29536E" w14:textId="77777777" w:rsidR="00AF751E" w:rsidRPr="00A22BE4" w:rsidRDefault="00AF751E" w:rsidP="00AF751E">
      <w:pPr>
        <w:keepNext/>
        <w:spacing w:after="240"/>
        <w:outlineLvl w:val="1"/>
        <w:rPr>
          <w:b/>
          <w:bCs/>
          <w:lang w:val="es-ES_tradnl"/>
        </w:rPr>
      </w:pPr>
      <w:r w:rsidRPr="00A22BE4">
        <w:rPr>
          <w:b/>
          <w:bCs/>
          <w:lang w:val="es-ES_tradnl"/>
        </w:rPr>
        <w:t>Observaciones de la Secretaría</w:t>
      </w:r>
    </w:p>
    <w:p w14:paraId="4572736F" w14:textId="77777777" w:rsidR="00AF751E" w:rsidRPr="00A22BE4" w:rsidRDefault="00AF751E" w:rsidP="00AF751E">
      <w:pPr>
        <w:numPr>
          <w:ilvl w:val="0"/>
          <w:numId w:val="1"/>
        </w:numPr>
        <w:tabs>
          <w:tab w:val="clear" w:pos="0"/>
          <w:tab w:val="num" w:pos="710"/>
        </w:tabs>
        <w:spacing w:after="240"/>
        <w:outlineLvl w:val="0"/>
        <w:rPr>
          <w:rFonts w:eastAsiaTheme="minorEastAsia"/>
          <w:lang w:val="es-ES_tradnl" w:eastAsia="en-GB"/>
        </w:rPr>
      </w:pPr>
      <w:r w:rsidRPr="00A22BE4">
        <w:rPr>
          <w:rFonts w:eastAsiaTheme="minorEastAsia"/>
          <w:lang w:val="es-ES_tradnl" w:eastAsia="en-GB"/>
        </w:rPr>
        <w:t>Pese a los esfuerzos desplegados por los Gobiernos de los Países insulares del Pacífico y el PNUMA, la pandemia ha impedido avanzar en la ejecución de las actividades del tercer y último tramo de la etapa I. La Secretaría valora estos esfuerzos, pero estima poco probable que las actividades queden terminadas a fines de diciembre de 2021. En consecuencia, ampliar el plazo de ejecución en un año daría a los Gobiernos y al PNUMA tiempo suficiente para terminar las actividades que restan del tercer tramo.</w:t>
      </w:r>
    </w:p>
    <w:p w14:paraId="52C3464F" w14:textId="77777777" w:rsidR="00AF751E" w:rsidRPr="00A22BE4" w:rsidRDefault="00AF751E" w:rsidP="00AF751E">
      <w:pPr>
        <w:numPr>
          <w:ilvl w:val="0"/>
          <w:numId w:val="1"/>
        </w:numPr>
        <w:tabs>
          <w:tab w:val="clear" w:pos="0"/>
          <w:tab w:val="num" w:pos="710"/>
        </w:tabs>
        <w:spacing w:after="240"/>
        <w:outlineLvl w:val="0"/>
        <w:rPr>
          <w:rFonts w:eastAsiaTheme="minorEastAsia"/>
          <w:lang w:val="es-ES_tradnl" w:eastAsia="en-GB"/>
        </w:rPr>
      </w:pPr>
      <w:r w:rsidRPr="00A22BE4">
        <w:rPr>
          <w:rFonts w:eastAsiaTheme="minorEastAsia"/>
          <w:lang w:val="es-ES_tradnl" w:eastAsia="en-GB"/>
        </w:rPr>
        <w:t xml:space="preserve">La Secretaría constata que de la aprobación de tramos anteriores se desprende el compromiso de los Países insulares del Pacífico de velar por la oportuna ejecución de las actividades y que los anteriores informes de avance dan muestra de sustantivos avances en la ejecución, confirmando que las demoras </w:t>
      </w:r>
      <w:r w:rsidRPr="00A22BE4">
        <w:rPr>
          <w:rFonts w:eastAsiaTheme="minorEastAsia"/>
          <w:lang w:val="es-ES_tradnl" w:eastAsia="en-GB"/>
        </w:rPr>
        <w:lastRenderedPageBreak/>
        <w:t>obedecen a causas de fuerza mayor fuera de la voluntad de los países. Aún más, se han suscrito acuerdos individuales con cada país</w:t>
      </w:r>
      <w:r w:rsidRPr="00A22BE4">
        <w:rPr>
          <w:rStyle w:val="FootnoteReference"/>
          <w:rFonts w:eastAsiaTheme="minorEastAsia"/>
          <w:lang w:val="es-ES_tradnl" w:eastAsia="en-GB"/>
        </w:rPr>
        <w:footnoteReference w:id="40"/>
      </w:r>
      <w:r w:rsidRPr="00A22BE4">
        <w:rPr>
          <w:rFonts w:eastAsiaTheme="minorEastAsia"/>
          <w:lang w:val="es-ES_tradnl" w:eastAsia="en-GB"/>
        </w:rPr>
        <w:t xml:space="preserve"> que garantizan la disponibilidad de fondos para las restantes actividades.</w:t>
      </w:r>
    </w:p>
    <w:p w14:paraId="286D2E80" w14:textId="77777777" w:rsidR="00AF751E" w:rsidRPr="00A22BE4" w:rsidRDefault="00AF751E" w:rsidP="00AF751E">
      <w:pPr>
        <w:numPr>
          <w:ilvl w:val="0"/>
          <w:numId w:val="1"/>
        </w:numPr>
        <w:tabs>
          <w:tab w:val="clear" w:pos="0"/>
          <w:tab w:val="num" w:pos="710"/>
        </w:tabs>
        <w:spacing w:after="240"/>
        <w:outlineLvl w:val="0"/>
        <w:rPr>
          <w:rFonts w:eastAsiaTheme="minorEastAsia"/>
          <w:lang w:val="es-ES_tradnl" w:eastAsia="en-GB"/>
        </w:rPr>
      </w:pPr>
      <w:r w:rsidRPr="00A22BE4">
        <w:rPr>
          <w:rFonts w:eastAsiaTheme="minorEastAsia"/>
          <w:lang w:val="es-ES_tradnl" w:eastAsia="en-GB"/>
        </w:rPr>
        <w:t>La Secretaría constata asimismo el detallado plan de trabajo para las restantes actividades</w:t>
      </w:r>
      <w:r w:rsidRPr="00A22BE4">
        <w:rPr>
          <w:lang w:val="es-ES_tradnl"/>
        </w:rPr>
        <w:t xml:space="preserve"> </w:t>
      </w:r>
      <w:r w:rsidRPr="00A22BE4">
        <w:rPr>
          <w:rFonts w:eastAsiaTheme="minorEastAsia"/>
          <w:lang w:val="es-ES_tradnl" w:eastAsia="en-GB"/>
        </w:rPr>
        <w:t>presentado por el PNUMA, el que confirma que algunas actividades se ejecutarán cada vez que sea factible, en tanto que las que requieran de la presencia y aporte de capacitadores externos quedarán terminadas a más tardar en diciembre de 2022.</w:t>
      </w:r>
    </w:p>
    <w:p w14:paraId="7F9DAA41" w14:textId="77777777" w:rsidR="00AF751E" w:rsidRPr="00A22BE4" w:rsidRDefault="00AF751E" w:rsidP="00AF751E">
      <w:pPr>
        <w:keepNext/>
        <w:tabs>
          <w:tab w:val="left" w:pos="720"/>
        </w:tabs>
        <w:spacing w:after="240"/>
        <w:outlineLvl w:val="0"/>
        <w:rPr>
          <w:b/>
          <w:bCs/>
          <w:color w:val="000000" w:themeColor="text1"/>
          <w:lang w:val="es-ES_tradnl"/>
        </w:rPr>
      </w:pPr>
      <w:r w:rsidRPr="00A22BE4">
        <w:rPr>
          <w:b/>
          <w:bCs/>
          <w:color w:val="000000" w:themeColor="text1"/>
          <w:lang w:val="es-ES_tradnl"/>
        </w:rPr>
        <w:t>Recomendación</w:t>
      </w:r>
    </w:p>
    <w:p w14:paraId="5E9983EF" w14:textId="77777777" w:rsidR="00AF751E" w:rsidRPr="00A22BE4" w:rsidRDefault="00AF751E" w:rsidP="00AF751E">
      <w:pPr>
        <w:numPr>
          <w:ilvl w:val="0"/>
          <w:numId w:val="1"/>
        </w:numPr>
        <w:tabs>
          <w:tab w:val="clear" w:pos="0"/>
          <w:tab w:val="num" w:pos="710"/>
        </w:tabs>
        <w:spacing w:after="240"/>
        <w:outlineLvl w:val="0"/>
        <w:rPr>
          <w:rFonts w:eastAsia="MS Mincho"/>
          <w:lang w:val="es-ES_tradnl"/>
        </w:rPr>
      </w:pPr>
      <w:r w:rsidRPr="00A22BE4">
        <w:rPr>
          <w:rFonts w:eastAsia="MS Mincho"/>
          <w:lang w:val="es-ES_tradnl"/>
        </w:rPr>
        <w:t>El Comité Ejecutivo podrá estimar oportuno:</w:t>
      </w:r>
    </w:p>
    <w:p w14:paraId="42675FA2" w14:textId="77777777" w:rsidR="00AF751E" w:rsidRPr="00A22BE4" w:rsidRDefault="00AF751E" w:rsidP="00AF751E">
      <w:pPr>
        <w:pStyle w:val="Heading2"/>
        <w:rPr>
          <w:lang w:val="es-ES_tradnl"/>
        </w:rPr>
      </w:pPr>
      <w:r w:rsidRPr="00A22BE4">
        <w:rPr>
          <w:lang w:val="es-ES_tradnl"/>
        </w:rPr>
        <w:t>Tomar nota del informe sobre la ejecución del programa de trabajo relativo al último tramo de la etapa I del plan de gestión para la eliminación de HCFC (PGEH) para los Países insulares del Pacífico, presentado por el PNUMA y recogido en el documento UNEP/OzL.Pro/ExCom/87/9;</w:t>
      </w:r>
    </w:p>
    <w:p w14:paraId="12CCB4B4" w14:textId="77777777" w:rsidR="00AF751E" w:rsidRPr="00A22BE4" w:rsidRDefault="00AF751E" w:rsidP="00AF751E">
      <w:pPr>
        <w:pStyle w:val="Heading2"/>
        <w:keepNext/>
        <w:widowControl/>
        <w:rPr>
          <w:lang w:val="es-ES_tradnl"/>
        </w:rPr>
      </w:pPr>
      <w:r w:rsidRPr="00A22BE4">
        <w:rPr>
          <w:lang w:val="es-ES_tradnl"/>
        </w:rPr>
        <w:t>De forma excepcional, y debido a los retrasos en la ejecución de las actividades causados por la pandemia del Covid-19, prorrogar hasta el 31 de diciembre de 2022 la fecha de término de la etapa I del PGEH para los Países insulares del Pacífico, en el entendido de que no se podrán solicitar nuevas prórrogas; y</w:t>
      </w:r>
    </w:p>
    <w:p w14:paraId="523D119D" w14:textId="77777777" w:rsidR="00AF751E" w:rsidRPr="0036618A" w:rsidRDefault="00AF751E" w:rsidP="00AF751E">
      <w:pPr>
        <w:pStyle w:val="Heading2"/>
        <w:rPr>
          <w:lang w:val="es-ES_tradnl"/>
        </w:rPr>
      </w:pPr>
      <w:r w:rsidRPr="00A22BE4">
        <w:rPr>
          <w:lang w:val="es-ES_tradnl"/>
        </w:rPr>
        <w:t>Solicitar los Gobiernos de los Países insulares del Pacífico y al PNUMA presentar a la primera reunión del Comité Ejecutivo del año 2023 el informe de ejecución del programa de trabajo relativo al último tramo, así como el informe de finalización del proyecto.</w:t>
      </w:r>
    </w:p>
    <w:p w14:paraId="181FCB1C" w14:textId="2263AD81" w:rsidR="008E0205" w:rsidRPr="008E0205" w:rsidRDefault="008E0205" w:rsidP="008E0205">
      <w:pPr>
        <w:keepNext/>
        <w:keepLines/>
        <w:spacing w:after="240"/>
        <w:rPr>
          <w:u w:val="single"/>
          <w:lang w:val="es-PE"/>
        </w:rPr>
      </w:pPr>
      <w:r w:rsidRPr="008E0205">
        <w:rPr>
          <w:u w:val="single"/>
          <w:lang w:val="es-PE"/>
        </w:rPr>
        <w:t>Filipinas: Plan de gestión de la eliminación de los HCFC (etapa II - solicitud de anulación del plan del sector de fabricación de equipos de aire acondicionado, plan de ejecución revisado y actualización del Acuerdo)</w:t>
      </w:r>
      <w:r w:rsidRPr="008E0205">
        <w:rPr>
          <w:lang w:val="es-PE"/>
        </w:rPr>
        <w:t xml:space="preserve"> (ONUDI)</w:t>
      </w:r>
    </w:p>
    <w:p w14:paraId="16BFB9EE" w14:textId="25B7AC64" w:rsidR="008E0205" w:rsidRDefault="008E0205" w:rsidP="008E0205">
      <w:pPr>
        <w:numPr>
          <w:ilvl w:val="0"/>
          <w:numId w:val="1"/>
        </w:numPr>
        <w:tabs>
          <w:tab w:val="clear" w:pos="0"/>
          <w:tab w:val="num" w:pos="710"/>
        </w:tabs>
        <w:spacing w:after="240"/>
        <w:outlineLvl w:val="0"/>
        <w:rPr>
          <w:lang w:val="es-ES"/>
        </w:rPr>
      </w:pPr>
      <w:r>
        <w:rPr>
          <w:lang w:val="es-PE"/>
        </w:rPr>
        <w:tab/>
        <w:t>En nombre del Gobierno de Filipinas, la ONUDI, en calidad de organismo de ejecución designado, presentó una solicitud para la anulación del plan del sector de fabricación de equipos de aire acondicionado de la etapa II del plan de gestión de la eliminación de los HCFC (PGEH)</w:t>
      </w:r>
      <w:r>
        <w:rPr>
          <w:rStyle w:val="FootnoteReference"/>
          <w:lang w:val="es-ES"/>
        </w:rPr>
        <w:footnoteReference w:customMarkFollows="1" w:id="41"/>
        <w:t>41</w:t>
      </w:r>
      <w:r>
        <w:rPr>
          <w:lang w:val="es-PE"/>
        </w:rPr>
        <w:t xml:space="preserve">, y para la actualización del Acuerdo entre el Gobierno y el Comité Ejecutivo. La presentación incluye un informe sobre la marcha de las actividades relativo a la ejecución del primer tramo, el informe de verificación sobre el consumo de HCFC para 2016-2020 y el plan de ejecución del tramo para 2021-2022. </w:t>
      </w:r>
    </w:p>
    <w:p w14:paraId="544CA13F" w14:textId="77777777" w:rsidR="008E0205" w:rsidRDefault="008E0205" w:rsidP="008E0205">
      <w:pPr>
        <w:pStyle w:val="Heading1"/>
        <w:numPr>
          <w:ilvl w:val="0"/>
          <w:numId w:val="0"/>
        </w:numPr>
        <w:tabs>
          <w:tab w:val="left" w:pos="720"/>
        </w:tabs>
        <w:rPr>
          <w:u w:val="single"/>
          <w:lang w:val="es-ES"/>
        </w:rPr>
      </w:pPr>
      <w:r>
        <w:rPr>
          <w:u w:val="single"/>
          <w:lang w:val="es-PE"/>
        </w:rPr>
        <w:t>Consumo de HCFC</w:t>
      </w:r>
    </w:p>
    <w:p w14:paraId="1AD2DA29" w14:textId="17787550" w:rsidR="008E0205" w:rsidRDefault="008E0205" w:rsidP="008E0205">
      <w:pPr>
        <w:numPr>
          <w:ilvl w:val="0"/>
          <w:numId w:val="1"/>
        </w:numPr>
        <w:tabs>
          <w:tab w:val="clear" w:pos="0"/>
          <w:tab w:val="num" w:pos="710"/>
        </w:tabs>
        <w:spacing w:after="240"/>
        <w:outlineLvl w:val="0"/>
        <w:rPr>
          <w:lang w:val="es-ES"/>
        </w:rPr>
      </w:pPr>
      <w:r>
        <w:rPr>
          <w:lang w:val="es-PE"/>
        </w:rPr>
        <w:tab/>
        <w:t>El Gobierno de Filipinas notificó un consumo de 50,62 toneladas PAO de HCFC en 2020, un 69 por ciento por debajo del nivel básico de cumplimiento de los HCFC. En el Cuadro 9 se indica el consumo de HCFC para 2016-2020.</w:t>
      </w:r>
    </w:p>
    <w:p w14:paraId="2A7ACE0E" w14:textId="77777777" w:rsidR="00305D02" w:rsidRDefault="00305D02">
      <w:pPr>
        <w:jc w:val="left"/>
        <w:rPr>
          <w:b/>
          <w:bCs/>
          <w:lang w:val="es-PE"/>
        </w:rPr>
      </w:pPr>
      <w:r>
        <w:rPr>
          <w:b/>
          <w:bCs/>
          <w:lang w:val="es-PE"/>
        </w:rPr>
        <w:br w:type="page"/>
      </w:r>
    </w:p>
    <w:p w14:paraId="26081C6E" w14:textId="487E25BE" w:rsidR="008E0205" w:rsidRDefault="008E0205" w:rsidP="008E0205">
      <w:pPr>
        <w:rPr>
          <w:b/>
          <w:lang w:val="es-ES"/>
        </w:rPr>
      </w:pPr>
      <w:r>
        <w:rPr>
          <w:b/>
          <w:bCs/>
          <w:lang w:val="es-PE"/>
        </w:rPr>
        <w:lastRenderedPageBreak/>
        <w:t>Cuadro 9. Consumo de HCFC en Filipinas (datos de 2016-2020, con arreglo al artículo 7).</w:t>
      </w:r>
    </w:p>
    <w:tbl>
      <w:tblPr>
        <w:tblW w:w="5000" w:type="pct"/>
        <w:tblCellMar>
          <w:left w:w="86" w:type="dxa"/>
          <w:right w:w="86" w:type="dxa"/>
        </w:tblCellMar>
        <w:tblLook w:val="04A0" w:firstRow="1" w:lastRow="0" w:firstColumn="1" w:lastColumn="0" w:noHBand="0" w:noVBand="1"/>
      </w:tblPr>
      <w:tblGrid>
        <w:gridCol w:w="2281"/>
        <w:gridCol w:w="1179"/>
        <w:gridCol w:w="1178"/>
        <w:gridCol w:w="1178"/>
        <w:gridCol w:w="1178"/>
        <w:gridCol w:w="1178"/>
        <w:gridCol w:w="1178"/>
      </w:tblGrid>
      <w:tr w:rsidR="008E0205" w14:paraId="2D54C773" w14:textId="77777777" w:rsidTr="008E0205">
        <w:trPr>
          <w:cantSplit/>
          <w:tblHeader/>
        </w:trPr>
        <w:tc>
          <w:tcPr>
            <w:tcW w:w="1219" w:type="pct"/>
            <w:tcBorders>
              <w:top w:val="single" w:sz="4" w:space="0" w:color="auto"/>
              <w:left w:val="single" w:sz="4" w:space="0" w:color="auto"/>
              <w:bottom w:val="single" w:sz="4" w:space="0" w:color="auto"/>
              <w:right w:val="single" w:sz="4" w:space="0" w:color="auto"/>
            </w:tcBorders>
            <w:noWrap/>
            <w:hideMark/>
          </w:tcPr>
          <w:p w14:paraId="20377105" w14:textId="77777777" w:rsidR="008E0205" w:rsidRDefault="008E0205">
            <w:pPr>
              <w:keepNext/>
              <w:ind w:left="25"/>
              <w:jc w:val="left"/>
              <w:rPr>
                <w:b/>
                <w:color w:val="000000" w:themeColor="text1"/>
                <w:sz w:val="20"/>
                <w:szCs w:val="20"/>
              </w:rPr>
            </w:pPr>
            <w:r>
              <w:rPr>
                <w:b/>
                <w:bCs/>
                <w:color w:val="000000"/>
                <w:sz w:val="20"/>
                <w:szCs w:val="20"/>
                <w:lang w:val="es-PE"/>
              </w:rPr>
              <w:t>HCFC</w:t>
            </w:r>
          </w:p>
        </w:tc>
        <w:tc>
          <w:tcPr>
            <w:tcW w:w="630" w:type="pct"/>
            <w:tcBorders>
              <w:top w:val="single" w:sz="4" w:space="0" w:color="auto"/>
              <w:left w:val="nil"/>
              <w:bottom w:val="single" w:sz="4" w:space="0" w:color="auto"/>
              <w:right w:val="single" w:sz="4" w:space="0" w:color="auto"/>
            </w:tcBorders>
            <w:hideMark/>
          </w:tcPr>
          <w:p w14:paraId="09F7841E" w14:textId="77777777" w:rsidR="008E0205" w:rsidRDefault="008E0205">
            <w:pPr>
              <w:keepNext/>
              <w:jc w:val="center"/>
              <w:rPr>
                <w:b/>
                <w:color w:val="000000" w:themeColor="text1"/>
                <w:sz w:val="20"/>
                <w:szCs w:val="20"/>
              </w:rPr>
            </w:pPr>
            <w:r>
              <w:rPr>
                <w:b/>
                <w:bCs/>
                <w:color w:val="000000"/>
                <w:sz w:val="20"/>
                <w:szCs w:val="20"/>
                <w:lang w:val="es-PE"/>
              </w:rPr>
              <w:t>2016</w:t>
            </w:r>
          </w:p>
        </w:tc>
        <w:tc>
          <w:tcPr>
            <w:tcW w:w="630" w:type="pct"/>
            <w:tcBorders>
              <w:top w:val="single" w:sz="4" w:space="0" w:color="auto"/>
              <w:left w:val="single" w:sz="4" w:space="0" w:color="auto"/>
              <w:bottom w:val="single" w:sz="4" w:space="0" w:color="auto"/>
              <w:right w:val="single" w:sz="4" w:space="0" w:color="auto"/>
            </w:tcBorders>
            <w:hideMark/>
          </w:tcPr>
          <w:p w14:paraId="77942852" w14:textId="77777777" w:rsidR="008E0205" w:rsidRDefault="008E0205">
            <w:pPr>
              <w:keepNext/>
              <w:jc w:val="center"/>
              <w:rPr>
                <w:b/>
                <w:color w:val="000000" w:themeColor="text1"/>
                <w:sz w:val="20"/>
                <w:szCs w:val="20"/>
              </w:rPr>
            </w:pPr>
            <w:r>
              <w:rPr>
                <w:b/>
                <w:bCs/>
                <w:color w:val="000000"/>
                <w:sz w:val="20"/>
                <w:szCs w:val="20"/>
                <w:lang w:val="es-PE"/>
              </w:rPr>
              <w:t>2017</w:t>
            </w:r>
          </w:p>
        </w:tc>
        <w:tc>
          <w:tcPr>
            <w:tcW w:w="630" w:type="pct"/>
            <w:tcBorders>
              <w:top w:val="single" w:sz="4" w:space="0" w:color="auto"/>
              <w:left w:val="single" w:sz="4" w:space="0" w:color="auto"/>
              <w:bottom w:val="single" w:sz="4" w:space="0" w:color="auto"/>
              <w:right w:val="single" w:sz="4" w:space="0" w:color="auto"/>
            </w:tcBorders>
            <w:hideMark/>
          </w:tcPr>
          <w:p w14:paraId="09DBBF30" w14:textId="77777777" w:rsidR="008E0205" w:rsidRDefault="008E0205">
            <w:pPr>
              <w:keepNext/>
              <w:jc w:val="center"/>
              <w:rPr>
                <w:b/>
                <w:color w:val="000000" w:themeColor="text1"/>
                <w:sz w:val="20"/>
                <w:szCs w:val="20"/>
              </w:rPr>
            </w:pPr>
            <w:r>
              <w:rPr>
                <w:b/>
                <w:bCs/>
                <w:color w:val="000000"/>
                <w:sz w:val="20"/>
                <w:szCs w:val="20"/>
                <w:lang w:val="es-PE"/>
              </w:rPr>
              <w:t>2018</w:t>
            </w:r>
          </w:p>
        </w:tc>
        <w:tc>
          <w:tcPr>
            <w:tcW w:w="630" w:type="pct"/>
            <w:tcBorders>
              <w:top w:val="single" w:sz="4" w:space="0" w:color="auto"/>
              <w:left w:val="single" w:sz="4" w:space="0" w:color="auto"/>
              <w:bottom w:val="single" w:sz="4" w:space="0" w:color="auto"/>
              <w:right w:val="single" w:sz="4" w:space="0" w:color="auto"/>
            </w:tcBorders>
            <w:hideMark/>
          </w:tcPr>
          <w:p w14:paraId="4E424F68" w14:textId="77777777" w:rsidR="008E0205" w:rsidRDefault="008E0205">
            <w:pPr>
              <w:keepNext/>
              <w:jc w:val="center"/>
              <w:rPr>
                <w:b/>
                <w:color w:val="000000" w:themeColor="text1"/>
                <w:sz w:val="20"/>
                <w:szCs w:val="20"/>
              </w:rPr>
            </w:pPr>
            <w:r>
              <w:rPr>
                <w:b/>
                <w:bCs/>
                <w:color w:val="000000"/>
                <w:sz w:val="20"/>
                <w:szCs w:val="20"/>
                <w:lang w:val="es-PE"/>
              </w:rPr>
              <w:t>2019</w:t>
            </w:r>
          </w:p>
        </w:tc>
        <w:tc>
          <w:tcPr>
            <w:tcW w:w="630" w:type="pct"/>
            <w:tcBorders>
              <w:top w:val="single" w:sz="4" w:space="0" w:color="auto"/>
              <w:left w:val="single" w:sz="4" w:space="0" w:color="auto"/>
              <w:bottom w:val="single" w:sz="4" w:space="0" w:color="auto"/>
              <w:right w:val="single" w:sz="4" w:space="0" w:color="auto"/>
            </w:tcBorders>
            <w:hideMark/>
          </w:tcPr>
          <w:p w14:paraId="60ED20BF" w14:textId="77777777" w:rsidR="008E0205" w:rsidRDefault="008E0205">
            <w:pPr>
              <w:keepNext/>
              <w:jc w:val="center"/>
              <w:rPr>
                <w:b/>
                <w:color w:val="000000" w:themeColor="text1"/>
                <w:sz w:val="20"/>
                <w:szCs w:val="20"/>
              </w:rPr>
            </w:pPr>
            <w:r>
              <w:rPr>
                <w:b/>
                <w:bCs/>
                <w:color w:val="000000"/>
                <w:sz w:val="20"/>
                <w:szCs w:val="20"/>
                <w:lang w:val="es-PE"/>
              </w:rPr>
              <w:t>2020</w:t>
            </w:r>
          </w:p>
        </w:tc>
        <w:tc>
          <w:tcPr>
            <w:tcW w:w="630" w:type="pct"/>
            <w:tcBorders>
              <w:top w:val="single" w:sz="4" w:space="0" w:color="auto"/>
              <w:left w:val="single" w:sz="4" w:space="0" w:color="auto"/>
              <w:bottom w:val="single" w:sz="4" w:space="0" w:color="auto"/>
              <w:right w:val="single" w:sz="4" w:space="0" w:color="auto"/>
            </w:tcBorders>
            <w:hideMark/>
          </w:tcPr>
          <w:p w14:paraId="040E22AC" w14:textId="77777777" w:rsidR="008E0205" w:rsidRDefault="008E0205">
            <w:pPr>
              <w:keepNext/>
              <w:jc w:val="right"/>
              <w:rPr>
                <w:b/>
                <w:color w:val="000000" w:themeColor="text1"/>
                <w:sz w:val="20"/>
                <w:szCs w:val="20"/>
              </w:rPr>
            </w:pPr>
            <w:r>
              <w:rPr>
                <w:b/>
                <w:bCs/>
                <w:color w:val="000000"/>
                <w:sz w:val="20"/>
                <w:szCs w:val="20"/>
                <w:lang w:val="es-PE"/>
              </w:rPr>
              <w:t>Nivel básico</w:t>
            </w:r>
          </w:p>
        </w:tc>
      </w:tr>
      <w:tr w:rsidR="008E0205" w14:paraId="077103AA"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28744BA3" w14:textId="77777777" w:rsidR="008E0205" w:rsidRDefault="008E0205">
            <w:pPr>
              <w:keepNext/>
              <w:ind w:left="25"/>
              <w:jc w:val="left"/>
              <w:rPr>
                <w:b/>
                <w:color w:val="000000" w:themeColor="text1"/>
                <w:sz w:val="20"/>
                <w:szCs w:val="20"/>
              </w:rPr>
            </w:pPr>
            <w:r>
              <w:rPr>
                <w:b/>
                <w:bCs/>
                <w:color w:val="000000"/>
                <w:sz w:val="20"/>
                <w:szCs w:val="20"/>
                <w:lang w:val="es-PE"/>
              </w:rPr>
              <w:t>Toneladas métricas</w:t>
            </w:r>
          </w:p>
        </w:tc>
        <w:tc>
          <w:tcPr>
            <w:tcW w:w="630" w:type="pct"/>
            <w:tcBorders>
              <w:top w:val="single" w:sz="4" w:space="0" w:color="auto"/>
              <w:left w:val="nil"/>
              <w:bottom w:val="single" w:sz="4" w:space="0" w:color="auto"/>
              <w:right w:val="single" w:sz="4" w:space="0" w:color="auto"/>
            </w:tcBorders>
          </w:tcPr>
          <w:p w14:paraId="10868349" w14:textId="77777777" w:rsidR="008E0205" w:rsidRDefault="008E020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13673D8C" w14:textId="77777777" w:rsidR="008E0205" w:rsidRDefault="008E020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7AB0D5E9" w14:textId="77777777" w:rsidR="008E0205" w:rsidRDefault="008E020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6D0B325E" w14:textId="77777777" w:rsidR="008E0205" w:rsidRDefault="008E020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6198418C" w14:textId="77777777" w:rsidR="008E0205" w:rsidRDefault="008E020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29178C60" w14:textId="77777777" w:rsidR="008E0205" w:rsidRDefault="008E0205">
            <w:pPr>
              <w:keepNext/>
              <w:jc w:val="right"/>
              <w:rPr>
                <w:b/>
                <w:color w:val="000000" w:themeColor="text1"/>
                <w:sz w:val="20"/>
                <w:szCs w:val="20"/>
              </w:rPr>
            </w:pPr>
          </w:p>
        </w:tc>
      </w:tr>
      <w:tr w:rsidR="008E0205" w14:paraId="0BAC7A54"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15A63A7F" w14:textId="77777777" w:rsidR="008E0205" w:rsidRDefault="008E0205">
            <w:pPr>
              <w:ind w:left="25"/>
              <w:jc w:val="left"/>
              <w:rPr>
                <w:color w:val="000000" w:themeColor="text1"/>
                <w:sz w:val="20"/>
                <w:szCs w:val="20"/>
              </w:rPr>
            </w:pPr>
            <w:r>
              <w:rPr>
                <w:color w:val="000000"/>
                <w:sz w:val="20"/>
                <w:szCs w:val="20"/>
                <w:lang w:val="es-PE"/>
              </w:rPr>
              <w:t>HCFC-22</w:t>
            </w:r>
          </w:p>
        </w:tc>
        <w:tc>
          <w:tcPr>
            <w:tcW w:w="630" w:type="pct"/>
            <w:tcBorders>
              <w:top w:val="single" w:sz="4" w:space="0" w:color="auto"/>
              <w:left w:val="nil"/>
              <w:bottom w:val="single" w:sz="4" w:space="0" w:color="auto"/>
              <w:right w:val="single" w:sz="4" w:space="0" w:color="auto"/>
            </w:tcBorders>
            <w:hideMark/>
          </w:tcPr>
          <w:p w14:paraId="251ED448" w14:textId="77777777" w:rsidR="008E0205" w:rsidRDefault="008E0205">
            <w:pPr>
              <w:jc w:val="right"/>
              <w:rPr>
                <w:color w:val="000000" w:themeColor="text1"/>
                <w:sz w:val="20"/>
                <w:szCs w:val="20"/>
              </w:rPr>
            </w:pPr>
            <w:r>
              <w:rPr>
                <w:color w:val="000000"/>
                <w:sz w:val="20"/>
                <w:szCs w:val="20"/>
                <w:lang w:val="es-PE"/>
              </w:rPr>
              <w:t>1685,12</w:t>
            </w:r>
          </w:p>
        </w:tc>
        <w:tc>
          <w:tcPr>
            <w:tcW w:w="630" w:type="pct"/>
            <w:tcBorders>
              <w:top w:val="single" w:sz="4" w:space="0" w:color="auto"/>
              <w:left w:val="single" w:sz="4" w:space="0" w:color="auto"/>
              <w:bottom w:val="single" w:sz="4" w:space="0" w:color="auto"/>
              <w:right w:val="single" w:sz="4" w:space="0" w:color="auto"/>
            </w:tcBorders>
            <w:hideMark/>
          </w:tcPr>
          <w:p w14:paraId="2AC2A633" w14:textId="77777777" w:rsidR="008E0205" w:rsidRDefault="008E0205">
            <w:pPr>
              <w:jc w:val="right"/>
              <w:rPr>
                <w:color w:val="000000" w:themeColor="text1"/>
                <w:sz w:val="20"/>
                <w:szCs w:val="20"/>
              </w:rPr>
            </w:pPr>
            <w:r>
              <w:rPr>
                <w:color w:val="000000"/>
                <w:sz w:val="20"/>
                <w:szCs w:val="20"/>
                <w:lang w:val="es-PE"/>
              </w:rPr>
              <w:t>1653,69</w:t>
            </w:r>
          </w:p>
        </w:tc>
        <w:tc>
          <w:tcPr>
            <w:tcW w:w="630" w:type="pct"/>
            <w:tcBorders>
              <w:top w:val="single" w:sz="4" w:space="0" w:color="auto"/>
              <w:left w:val="single" w:sz="4" w:space="0" w:color="auto"/>
              <w:bottom w:val="single" w:sz="4" w:space="0" w:color="auto"/>
              <w:right w:val="single" w:sz="4" w:space="0" w:color="auto"/>
            </w:tcBorders>
            <w:hideMark/>
          </w:tcPr>
          <w:p w14:paraId="086EB66B" w14:textId="77777777" w:rsidR="008E0205" w:rsidRDefault="008E0205">
            <w:pPr>
              <w:jc w:val="right"/>
              <w:rPr>
                <w:color w:val="000000" w:themeColor="text1"/>
                <w:sz w:val="20"/>
                <w:szCs w:val="20"/>
              </w:rPr>
            </w:pPr>
            <w:r>
              <w:rPr>
                <w:color w:val="000000"/>
                <w:sz w:val="20"/>
                <w:szCs w:val="20"/>
                <w:lang w:val="es-PE"/>
              </w:rPr>
              <w:t>1615,61</w:t>
            </w:r>
          </w:p>
        </w:tc>
        <w:tc>
          <w:tcPr>
            <w:tcW w:w="630" w:type="pct"/>
            <w:tcBorders>
              <w:top w:val="single" w:sz="4" w:space="0" w:color="auto"/>
              <w:left w:val="single" w:sz="4" w:space="0" w:color="auto"/>
              <w:bottom w:val="single" w:sz="4" w:space="0" w:color="auto"/>
              <w:right w:val="single" w:sz="4" w:space="0" w:color="auto"/>
            </w:tcBorders>
            <w:hideMark/>
          </w:tcPr>
          <w:p w14:paraId="1A58C9B7" w14:textId="77777777" w:rsidR="008E0205" w:rsidRDefault="008E0205">
            <w:pPr>
              <w:jc w:val="right"/>
              <w:rPr>
                <w:color w:val="000000" w:themeColor="text1"/>
                <w:sz w:val="20"/>
                <w:szCs w:val="20"/>
              </w:rPr>
            </w:pPr>
            <w:r>
              <w:rPr>
                <w:color w:val="000000"/>
                <w:sz w:val="20"/>
                <w:szCs w:val="20"/>
                <w:lang w:val="es-PE"/>
              </w:rPr>
              <w:t>1643,24</w:t>
            </w:r>
          </w:p>
        </w:tc>
        <w:tc>
          <w:tcPr>
            <w:tcW w:w="630" w:type="pct"/>
            <w:tcBorders>
              <w:top w:val="single" w:sz="4" w:space="0" w:color="auto"/>
              <w:left w:val="single" w:sz="4" w:space="0" w:color="auto"/>
              <w:bottom w:val="single" w:sz="4" w:space="0" w:color="auto"/>
              <w:right w:val="single" w:sz="4" w:space="0" w:color="auto"/>
            </w:tcBorders>
            <w:hideMark/>
          </w:tcPr>
          <w:p w14:paraId="5B3F36B6" w14:textId="77777777" w:rsidR="008E0205" w:rsidRDefault="008E0205">
            <w:pPr>
              <w:jc w:val="right"/>
              <w:rPr>
                <w:color w:val="000000" w:themeColor="text1"/>
                <w:sz w:val="20"/>
                <w:szCs w:val="20"/>
              </w:rPr>
            </w:pPr>
            <w:r>
              <w:rPr>
                <w:color w:val="000000"/>
                <w:sz w:val="20"/>
                <w:szCs w:val="20"/>
                <w:lang w:val="es-PE"/>
              </w:rPr>
              <w:t>843,69</w:t>
            </w:r>
          </w:p>
        </w:tc>
        <w:tc>
          <w:tcPr>
            <w:tcW w:w="630" w:type="pct"/>
            <w:tcBorders>
              <w:top w:val="single" w:sz="4" w:space="0" w:color="auto"/>
              <w:left w:val="single" w:sz="4" w:space="0" w:color="auto"/>
              <w:bottom w:val="single" w:sz="4" w:space="0" w:color="auto"/>
              <w:right w:val="single" w:sz="4" w:space="0" w:color="auto"/>
            </w:tcBorders>
            <w:noWrap/>
            <w:hideMark/>
          </w:tcPr>
          <w:p w14:paraId="2322DE07" w14:textId="77777777" w:rsidR="008E0205" w:rsidRDefault="008E0205">
            <w:pPr>
              <w:jc w:val="right"/>
              <w:rPr>
                <w:color w:val="000000" w:themeColor="text1"/>
                <w:sz w:val="20"/>
                <w:szCs w:val="20"/>
              </w:rPr>
            </w:pPr>
            <w:r>
              <w:rPr>
                <w:color w:val="000000"/>
                <w:sz w:val="20"/>
                <w:szCs w:val="20"/>
                <w:lang w:val="es-PE"/>
              </w:rPr>
              <w:t>1959,45</w:t>
            </w:r>
          </w:p>
        </w:tc>
      </w:tr>
      <w:tr w:rsidR="008E0205" w14:paraId="189F68C8"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72DD9C70" w14:textId="77777777" w:rsidR="008E0205" w:rsidRDefault="008E0205">
            <w:pPr>
              <w:ind w:left="25"/>
              <w:jc w:val="left"/>
              <w:rPr>
                <w:color w:val="000000" w:themeColor="text1"/>
                <w:sz w:val="20"/>
                <w:szCs w:val="20"/>
              </w:rPr>
            </w:pPr>
            <w:r>
              <w:rPr>
                <w:color w:val="000000"/>
                <w:sz w:val="20"/>
                <w:szCs w:val="20"/>
                <w:lang w:val="es-PE"/>
              </w:rPr>
              <w:t>HCFC-141b</w:t>
            </w:r>
          </w:p>
        </w:tc>
        <w:tc>
          <w:tcPr>
            <w:tcW w:w="630" w:type="pct"/>
            <w:tcBorders>
              <w:top w:val="single" w:sz="4" w:space="0" w:color="auto"/>
              <w:left w:val="nil"/>
              <w:bottom w:val="single" w:sz="4" w:space="0" w:color="auto"/>
              <w:right w:val="single" w:sz="4" w:space="0" w:color="auto"/>
            </w:tcBorders>
            <w:hideMark/>
          </w:tcPr>
          <w:p w14:paraId="3AC7702C" w14:textId="77777777" w:rsidR="008E0205" w:rsidRDefault="008E0205">
            <w:pPr>
              <w:jc w:val="right"/>
              <w:rPr>
                <w:color w:val="000000" w:themeColor="text1"/>
                <w:sz w:val="20"/>
                <w:szCs w:val="20"/>
              </w:rPr>
            </w:pPr>
            <w:r>
              <w:rPr>
                <w:color w:val="000000"/>
                <w:sz w:val="20"/>
                <w:szCs w:val="20"/>
                <w:lang w:val="es-PE"/>
              </w:rPr>
              <w:t>158,55</w:t>
            </w:r>
          </w:p>
        </w:tc>
        <w:tc>
          <w:tcPr>
            <w:tcW w:w="630" w:type="pct"/>
            <w:tcBorders>
              <w:top w:val="single" w:sz="4" w:space="0" w:color="auto"/>
              <w:left w:val="single" w:sz="4" w:space="0" w:color="auto"/>
              <w:bottom w:val="single" w:sz="4" w:space="0" w:color="auto"/>
              <w:right w:val="single" w:sz="4" w:space="0" w:color="auto"/>
            </w:tcBorders>
            <w:hideMark/>
          </w:tcPr>
          <w:p w14:paraId="102708A7" w14:textId="77777777" w:rsidR="008E0205" w:rsidRDefault="008E0205">
            <w:pPr>
              <w:jc w:val="right"/>
              <w:rPr>
                <w:color w:val="000000" w:themeColor="text1"/>
                <w:sz w:val="20"/>
                <w:szCs w:val="20"/>
              </w:rPr>
            </w:pPr>
            <w:r>
              <w:rPr>
                <w:color w:val="000000"/>
                <w:sz w:val="20"/>
                <w:szCs w:val="20"/>
                <w:lang w:val="es-PE"/>
              </w:rPr>
              <w:t>183,46</w:t>
            </w:r>
          </w:p>
        </w:tc>
        <w:tc>
          <w:tcPr>
            <w:tcW w:w="630" w:type="pct"/>
            <w:tcBorders>
              <w:top w:val="single" w:sz="4" w:space="0" w:color="auto"/>
              <w:left w:val="single" w:sz="4" w:space="0" w:color="auto"/>
              <w:bottom w:val="single" w:sz="4" w:space="0" w:color="auto"/>
              <w:right w:val="single" w:sz="4" w:space="0" w:color="auto"/>
            </w:tcBorders>
            <w:hideMark/>
          </w:tcPr>
          <w:p w14:paraId="448398C7" w14:textId="77777777" w:rsidR="008E0205" w:rsidRDefault="008E0205">
            <w:pPr>
              <w:jc w:val="right"/>
              <w:rPr>
                <w:color w:val="000000" w:themeColor="text1"/>
                <w:sz w:val="20"/>
                <w:szCs w:val="20"/>
              </w:rPr>
            </w:pPr>
            <w:r>
              <w:rPr>
                <w:color w:val="000000"/>
                <w:sz w:val="20"/>
                <w:szCs w:val="20"/>
                <w:lang w:val="es-PE"/>
              </w:rPr>
              <w:t>144,5</w:t>
            </w:r>
          </w:p>
        </w:tc>
        <w:tc>
          <w:tcPr>
            <w:tcW w:w="630" w:type="pct"/>
            <w:tcBorders>
              <w:top w:val="single" w:sz="4" w:space="0" w:color="auto"/>
              <w:left w:val="single" w:sz="4" w:space="0" w:color="auto"/>
              <w:bottom w:val="single" w:sz="4" w:space="0" w:color="auto"/>
              <w:right w:val="single" w:sz="4" w:space="0" w:color="auto"/>
            </w:tcBorders>
            <w:hideMark/>
          </w:tcPr>
          <w:p w14:paraId="0788E748" w14:textId="77777777" w:rsidR="008E0205" w:rsidRDefault="008E0205">
            <w:pPr>
              <w:jc w:val="right"/>
              <w:rPr>
                <w:color w:val="000000" w:themeColor="text1"/>
                <w:sz w:val="20"/>
                <w:szCs w:val="20"/>
              </w:rPr>
            </w:pPr>
            <w:r>
              <w:rPr>
                <w:color w:val="000000"/>
                <w:sz w:val="20"/>
                <w:szCs w:val="20"/>
                <w:lang w:val="es-PE"/>
              </w:rPr>
              <w:t>110,98</w:t>
            </w:r>
          </w:p>
        </w:tc>
        <w:tc>
          <w:tcPr>
            <w:tcW w:w="630" w:type="pct"/>
            <w:tcBorders>
              <w:top w:val="single" w:sz="4" w:space="0" w:color="auto"/>
              <w:left w:val="single" w:sz="4" w:space="0" w:color="auto"/>
              <w:bottom w:val="single" w:sz="4" w:space="0" w:color="auto"/>
              <w:right w:val="single" w:sz="4" w:space="0" w:color="auto"/>
            </w:tcBorders>
            <w:hideMark/>
          </w:tcPr>
          <w:p w14:paraId="2A1D7898" w14:textId="77777777" w:rsidR="008E0205" w:rsidRDefault="008E0205">
            <w:pPr>
              <w:jc w:val="right"/>
              <w:rPr>
                <w:color w:val="000000" w:themeColor="text1"/>
                <w:sz w:val="20"/>
                <w:szCs w:val="20"/>
              </w:rPr>
            </w:pPr>
            <w:r>
              <w:rPr>
                <w:color w:val="000000"/>
                <w:sz w:val="20"/>
                <w:szCs w:val="20"/>
                <w:lang w:val="es-PE"/>
              </w:rPr>
              <w:t>18,90</w:t>
            </w:r>
          </w:p>
        </w:tc>
        <w:tc>
          <w:tcPr>
            <w:tcW w:w="630" w:type="pct"/>
            <w:tcBorders>
              <w:top w:val="single" w:sz="4" w:space="0" w:color="auto"/>
              <w:left w:val="single" w:sz="4" w:space="0" w:color="auto"/>
              <w:bottom w:val="single" w:sz="4" w:space="0" w:color="auto"/>
              <w:right w:val="single" w:sz="4" w:space="0" w:color="auto"/>
            </w:tcBorders>
            <w:noWrap/>
            <w:hideMark/>
          </w:tcPr>
          <w:p w14:paraId="47A824FA" w14:textId="77777777" w:rsidR="008E0205" w:rsidRDefault="008E0205">
            <w:pPr>
              <w:jc w:val="right"/>
              <w:rPr>
                <w:color w:val="000000" w:themeColor="text1"/>
                <w:sz w:val="20"/>
                <w:szCs w:val="20"/>
              </w:rPr>
            </w:pPr>
            <w:r>
              <w:rPr>
                <w:color w:val="000000"/>
                <w:sz w:val="20"/>
                <w:szCs w:val="20"/>
                <w:lang w:val="es-PE"/>
              </w:rPr>
              <w:t>475,05</w:t>
            </w:r>
          </w:p>
        </w:tc>
      </w:tr>
      <w:tr w:rsidR="008E0205" w14:paraId="22DB313D"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368391F4" w14:textId="77777777" w:rsidR="008E0205" w:rsidRDefault="008E0205">
            <w:pPr>
              <w:ind w:left="25"/>
              <w:jc w:val="left"/>
              <w:rPr>
                <w:color w:val="000000" w:themeColor="text1"/>
                <w:sz w:val="20"/>
                <w:szCs w:val="20"/>
              </w:rPr>
            </w:pPr>
            <w:r>
              <w:rPr>
                <w:color w:val="000000"/>
                <w:sz w:val="20"/>
                <w:szCs w:val="20"/>
                <w:lang w:val="es-PE"/>
              </w:rPr>
              <w:t>HCFC-142b</w:t>
            </w:r>
          </w:p>
        </w:tc>
        <w:tc>
          <w:tcPr>
            <w:tcW w:w="630" w:type="pct"/>
            <w:tcBorders>
              <w:top w:val="single" w:sz="4" w:space="0" w:color="auto"/>
              <w:left w:val="nil"/>
              <w:bottom w:val="single" w:sz="4" w:space="0" w:color="auto"/>
              <w:right w:val="single" w:sz="4" w:space="0" w:color="auto"/>
            </w:tcBorders>
            <w:hideMark/>
          </w:tcPr>
          <w:p w14:paraId="70831A8D"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709E760D"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0A23C10B"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18B18144"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6CB8BF01"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noWrap/>
            <w:hideMark/>
          </w:tcPr>
          <w:p w14:paraId="06847723" w14:textId="77777777" w:rsidR="008E0205" w:rsidRDefault="008E0205">
            <w:pPr>
              <w:jc w:val="right"/>
              <w:rPr>
                <w:color w:val="000000" w:themeColor="text1"/>
                <w:sz w:val="20"/>
                <w:szCs w:val="20"/>
              </w:rPr>
            </w:pPr>
            <w:r>
              <w:rPr>
                <w:color w:val="000000"/>
                <w:sz w:val="20"/>
                <w:szCs w:val="20"/>
                <w:lang w:val="es-PE"/>
              </w:rPr>
              <w:t>3,99</w:t>
            </w:r>
          </w:p>
        </w:tc>
      </w:tr>
      <w:tr w:rsidR="008E0205" w14:paraId="22EC0E6D"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4DFCBB7D" w14:textId="77777777" w:rsidR="008E0205" w:rsidRDefault="008E0205">
            <w:pPr>
              <w:ind w:left="25"/>
              <w:jc w:val="left"/>
              <w:rPr>
                <w:color w:val="000000" w:themeColor="text1"/>
                <w:sz w:val="20"/>
                <w:szCs w:val="20"/>
              </w:rPr>
            </w:pPr>
            <w:r>
              <w:rPr>
                <w:color w:val="000000"/>
                <w:sz w:val="20"/>
                <w:szCs w:val="20"/>
                <w:lang w:val="es-PE"/>
              </w:rPr>
              <w:t>HCFC-123</w:t>
            </w:r>
          </w:p>
        </w:tc>
        <w:tc>
          <w:tcPr>
            <w:tcW w:w="630" w:type="pct"/>
            <w:tcBorders>
              <w:top w:val="single" w:sz="4" w:space="0" w:color="auto"/>
              <w:left w:val="nil"/>
              <w:bottom w:val="single" w:sz="4" w:space="0" w:color="auto"/>
              <w:right w:val="single" w:sz="4" w:space="0" w:color="auto"/>
            </w:tcBorders>
            <w:hideMark/>
          </w:tcPr>
          <w:p w14:paraId="73B18B71" w14:textId="77777777" w:rsidR="008E0205" w:rsidRDefault="008E0205">
            <w:pPr>
              <w:jc w:val="right"/>
              <w:rPr>
                <w:color w:val="000000" w:themeColor="text1"/>
                <w:sz w:val="20"/>
                <w:szCs w:val="20"/>
              </w:rPr>
            </w:pPr>
            <w:r>
              <w:rPr>
                <w:color w:val="000000"/>
                <w:sz w:val="20"/>
                <w:szCs w:val="20"/>
                <w:lang w:val="es-PE"/>
              </w:rPr>
              <w:t>263,06</w:t>
            </w:r>
          </w:p>
        </w:tc>
        <w:tc>
          <w:tcPr>
            <w:tcW w:w="630" w:type="pct"/>
            <w:tcBorders>
              <w:top w:val="single" w:sz="4" w:space="0" w:color="auto"/>
              <w:left w:val="single" w:sz="4" w:space="0" w:color="auto"/>
              <w:bottom w:val="single" w:sz="4" w:space="0" w:color="auto"/>
              <w:right w:val="single" w:sz="4" w:space="0" w:color="auto"/>
            </w:tcBorders>
            <w:hideMark/>
          </w:tcPr>
          <w:p w14:paraId="7D3F5081" w14:textId="77777777" w:rsidR="008E0205" w:rsidRDefault="008E0205">
            <w:pPr>
              <w:jc w:val="right"/>
              <w:rPr>
                <w:color w:val="000000" w:themeColor="text1"/>
                <w:sz w:val="20"/>
                <w:szCs w:val="20"/>
              </w:rPr>
            </w:pPr>
            <w:r>
              <w:rPr>
                <w:color w:val="000000"/>
                <w:sz w:val="20"/>
                <w:szCs w:val="20"/>
                <w:lang w:val="es-PE"/>
              </w:rPr>
              <w:t>57,13</w:t>
            </w:r>
          </w:p>
        </w:tc>
        <w:tc>
          <w:tcPr>
            <w:tcW w:w="630" w:type="pct"/>
            <w:tcBorders>
              <w:top w:val="single" w:sz="4" w:space="0" w:color="auto"/>
              <w:left w:val="single" w:sz="4" w:space="0" w:color="auto"/>
              <w:bottom w:val="single" w:sz="4" w:space="0" w:color="auto"/>
              <w:right w:val="single" w:sz="4" w:space="0" w:color="auto"/>
            </w:tcBorders>
            <w:hideMark/>
          </w:tcPr>
          <w:p w14:paraId="010058C8" w14:textId="77777777" w:rsidR="008E0205" w:rsidRDefault="008E0205">
            <w:pPr>
              <w:jc w:val="right"/>
              <w:rPr>
                <w:color w:val="000000" w:themeColor="text1"/>
                <w:sz w:val="20"/>
                <w:szCs w:val="20"/>
              </w:rPr>
            </w:pPr>
            <w:r>
              <w:rPr>
                <w:color w:val="000000"/>
                <w:sz w:val="20"/>
                <w:szCs w:val="20"/>
                <w:lang w:val="es-PE"/>
              </w:rPr>
              <w:t>57,4</w:t>
            </w:r>
          </w:p>
        </w:tc>
        <w:tc>
          <w:tcPr>
            <w:tcW w:w="630" w:type="pct"/>
            <w:tcBorders>
              <w:top w:val="single" w:sz="4" w:space="0" w:color="auto"/>
              <w:left w:val="single" w:sz="4" w:space="0" w:color="auto"/>
              <w:bottom w:val="single" w:sz="4" w:space="0" w:color="auto"/>
              <w:right w:val="single" w:sz="4" w:space="0" w:color="auto"/>
            </w:tcBorders>
            <w:hideMark/>
          </w:tcPr>
          <w:p w14:paraId="055AA423" w14:textId="77777777" w:rsidR="008E0205" w:rsidRDefault="008E0205">
            <w:pPr>
              <w:jc w:val="right"/>
              <w:rPr>
                <w:color w:val="000000" w:themeColor="text1"/>
                <w:sz w:val="20"/>
                <w:szCs w:val="20"/>
              </w:rPr>
            </w:pPr>
            <w:r>
              <w:rPr>
                <w:color w:val="000000"/>
                <w:sz w:val="20"/>
                <w:szCs w:val="20"/>
                <w:lang w:val="es-PE"/>
              </w:rPr>
              <w:t>57,13</w:t>
            </w:r>
          </w:p>
        </w:tc>
        <w:tc>
          <w:tcPr>
            <w:tcW w:w="630" w:type="pct"/>
            <w:tcBorders>
              <w:top w:val="single" w:sz="4" w:space="0" w:color="auto"/>
              <w:left w:val="single" w:sz="4" w:space="0" w:color="auto"/>
              <w:bottom w:val="single" w:sz="4" w:space="0" w:color="auto"/>
              <w:right w:val="single" w:sz="4" w:space="0" w:color="auto"/>
            </w:tcBorders>
            <w:hideMark/>
          </w:tcPr>
          <w:p w14:paraId="01577E07" w14:textId="77777777" w:rsidR="008E0205" w:rsidRDefault="008E0205">
            <w:pPr>
              <w:jc w:val="right"/>
              <w:rPr>
                <w:color w:val="000000" w:themeColor="text1"/>
                <w:sz w:val="20"/>
                <w:szCs w:val="20"/>
              </w:rPr>
            </w:pPr>
            <w:r>
              <w:rPr>
                <w:color w:val="000000"/>
                <w:sz w:val="20"/>
                <w:szCs w:val="20"/>
                <w:lang w:val="es-PE"/>
              </w:rPr>
              <w:t>106,66</w:t>
            </w:r>
          </w:p>
        </w:tc>
        <w:tc>
          <w:tcPr>
            <w:tcW w:w="630" w:type="pct"/>
            <w:tcBorders>
              <w:top w:val="single" w:sz="4" w:space="0" w:color="auto"/>
              <w:left w:val="single" w:sz="4" w:space="0" w:color="auto"/>
              <w:bottom w:val="single" w:sz="4" w:space="0" w:color="auto"/>
              <w:right w:val="single" w:sz="4" w:space="0" w:color="auto"/>
            </w:tcBorders>
            <w:noWrap/>
            <w:hideMark/>
          </w:tcPr>
          <w:p w14:paraId="148A9112" w14:textId="77777777" w:rsidR="008E0205" w:rsidRDefault="008E0205">
            <w:pPr>
              <w:jc w:val="right"/>
              <w:rPr>
                <w:color w:val="000000" w:themeColor="text1"/>
                <w:sz w:val="20"/>
                <w:szCs w:val="20"/>
              </w:rPr>
            </w:pPr>
            <w:r>
              <w:rPr>
                <w:color w:val="000000"/>
                <w:sz w:val="20"/>
                <w:szCs w:val="20"/>
                <w:lang w:val="es-PE"/>
              </w:rPr>
              <w:t>84,38</w:t>
            </w:r>
          </w:p>
        </w:tc>
      </w:tr>
      <w:tr w:rsidR="008E0205" w14:paraId="468C5012"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54F21F8F" w14:textId="77777777" w:rsidR="008E0205" w:rsidRDefault="008E0205">
            <w:pPr>
              <w:ind w:left="25"/>
              <w:jc w:val="left"/>
              <w:rPr>
                <w:color w:val="000000" w:themeColor="text1"/>
                <w:sz w:val="20"/>
                <w:szCs w:val="20"/>
              </w:rPr>
            </w:pPr>
            <w:r>
              <w:rPr>
                <w:color w:val="000000"/>
                <w:sz w:val="20"/>
                <w:szCs w:val="20"/>
                <w:lang w:val="es-PE"/>
              </w:rPr>
              <w:t>HCFC-225ca</w:t>
            </w:r>
          </w:p>
        </w:tc>
        <w:tc>
          <w:tcPr>
            <w:tcW w:w="630" w:type="pct"/>
            <w:tcBorders>
              <w:top w:val="single" w:sz="4" w:space="0" w:color="auto"/>
              <w:left w:val="nil"/>
              <w:bottom w:val="single" w:sz="4" w:space="0" w:color="auto"/>
              <w:right w:val="single" w:sz="4" w:space="0" w:color="auto"/>
            </w:tcBorders>
            <w:hideMark/>
          </w:tcPr>
          <w:p w14:paraId="67B19CBB" w14:textId="77777777" w:rsidR="008E0205" w:rsidRDefault="008E0205">
            <w:pPr>
              <w:jc w:val="right"/>
              <w:rPr>
                <w:color w:val="000000" w:themeColor="text1"/>
                <w:sz w:val="20"/>
                <w:szCs w:val="20"/>
              </w:rPr>
            </w:pPr>
            <w:r>
              <w:rPr>
                <w:sz w:val="20"/>
                <w:szCs w:val="20"/>
                <w:lang w:val="es-PE"/>
              </w:rPr>
              <w:t>0,21</w:t>
            </w:r>
          </w:p>
        </w:tc>
        <w:tc>
          <w:tcPr>
            <w:tcW w:w="630" w:type="pct"/>
            <w:tcBorders>
              <w:top w:val="single" w:sz="4" w:space="0" w:color="auto"/>
              <w:left w:val="single" w:sz="4" w:space="0" w:color="auto"/>
              <w:bottom w:val="single" w:sz="4" w:space="0" w:color="auto"/>
              <w:right w:val="single" w:sz="4" w:space="0" w:color="auto"/>
            </w:tcBorders>
            <w:hideMark/>
          </w:tcPr>
          <w:p w14:paraId="23D6AA1F" w14:textId="77777777" w:rsidR="008E0205" w:rsidRDefault="008E0205">
            <w:pPr>
              <w:jc w:val="right"/>
              <w:rPr>
                <w:color w:val="000000" w:themeColor="text1"/>
                <w:sz w:val="20"/>
                <w:szCs w:val="20"/>
              </w:rPr>
            </w:pPr>
            <w:r>
              <w:rPr>
                <w:sz w:val="20"/>
                <w:szCs w:val="20"/>
                <w:lang w:val="es-PE"/>
              </w:rPr>
              <w:t>0,31</w:t>
            </w:r>
          </w:p>
        </w:tc>
        <w:tc>
          <w:tcPr>
            <w:tcW w:w="630" w:type="pct"/>
            <w:tcBorders>
              <w:top w:val="single" w:sz="4" w:space="0" w:color="auto"/>
              <w:left w:val="single" w:sz="4" w:space="0" w:color="auto"/>
              <w:bottom w:val="single" w:sz="4" w:space="0" w:color="auto"/>
              <w:right w:val="single" w:sz="4" w:space="0" w:color="auto"/>
            </w:tcBorders>
            <w:hideMark/>
          </w:tcPr>
          <w:p w14:paraId="7D492839" w14:textId="77777777" w:rsidR="008E0205" w:rsidRDefault="008E0205">
            <w:pPr>
              <w:jc w:val="right"/>
              <w:rPr>
                <w:color w:val="000000" w:themeColor="text1"/>
                <w:sz w:val="20"/>
                <w:szCs w:val="20"/>
              </w:rPr>
            </w:pPr>
            <w:r>
              <w:rPr>
                <w:sz w:val="20"/>
                <w:szCs w:val="20"/>
                <w:lang w:val="es-PE"/>
              </w:rPr>
              <w:t>0,15</w:t>
            </w:r>
          </w:p>
        </w:tc>
        <w:tc>
          <w:tcPr>
            <w:tcW w:w="630" w:type="pct"/>
            <w:tcBorders>
              <w:top w:val="single" w:sz="4" w:space="0" w:color="auto"/>
              <w:left w:val="single" w:sz="4" w:space="0" w:color="auto"/>
              <w:bottom w:val="single" w:sz="4" w:space="0" w:color="auto"/>
              <w:right w:val="single" w:sz="4" w:space="0" w:color="auto"/>
            </w:tcBorders>
            <w:hideMark/>
          </w:tcPr>
          <w:p w14:paraId="7A98FF0D" w14:textId="77777777" w:rsidR="008E0205" w:rsidRDefault="008E0205">
            <w:pPr>
              <w:jc w:val="right"/>
              <w:rPr>
                <w:color w:val="000000" w:themeColor="text1"/>
                <w:sz w:val="20"/>
                <w:szCs w:val="20"/>
              </w:rPr>
            </w:pPr>
            <w:r>
              <w:rPr>
                <w:sz w:val="20"/>
                <w:szCs w:val="20"/>
                <w:lang w:val="es-PE"/>
              </w:rPr>
              <w:t>0,38</w:t>
            </w:r>
          </w:p>
        </w:tc>
        <w:tc>
          <w:tcPr>
            <w:tcW w:w="630" w:type="pct"/>
            <w:tcBorders>
              <w:top w:val="single" w:sz="4" w:space="0" w:color="auto"/>
              <w:left w:val="single" w:sz="4" w:space="0" w:color="auto"/>
              <w:bottom w:val="single" w:sz="4" w:space="0" w:color="auto"/>
              <w:right w:val="single" w:sz="4" w:space="0" w:color="auto"/>
            </w:tcBorders>
            <w:hideMark/>
          </w:tcPr>
          <w:p w14:paraId="5A7D88BC"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noWrap/>
            <w:hideMark/>
          </w:tcPr>
          <w:p w14:paraId="1CF38D9C" w14:textId="77777777" w:rsidR="008E0205" w:rsidRDefault="008E0205">
            <w:pPr>
              <w:tabs>
                <w:tab w:val="left" w:pos="1220"/>
              </w:tabs>
              <w:jc w:val="right"/>
              <w:rPr>
                <w:color w:val="000000" w:themeColor="text1"/>
                <w:sz w:val="20"/>
                <w:szCs w:val="20"/>
              </w:rPr>
            </w:pPr>
            <w:r>
              <w:rPr>
                <w:color w:val="000000"/>
                <w:sz w:val="20"/>
                <w:szCs w:val="20"/>
                <w:lang w:val="es-PE"/>
              </w:rPr>
              <w:t>0,17</w:t>
            </w:r>
          </w:p>
        </w:tc>
      </w:tr>
      <w:tr w:rsidR="008E0205" w14:paraId="3E02C554"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0FE89770" w14:textId="77777777" w:rsidR="008E0205" w:rsidRDefault="008E0205">
            <w:pPr>
              <w:ind w:left="25"/>
              <w:jc w:val="left"/>
              <w:rPr>
                <w:color w:val="000000" w:themeColor="text1"/>
                <w:sz w:val="20"/>
                <w:szCs w:val="20"/>
              </w:rPr>
            </w:pPr>
            <w:r>
              <w:rPr>
                <w:color w:val="000000"/>
                <w:sz w:val="20"/>
                <w:szCs w:val="20"/>
                <w:lang w:val="es-PE"/>
              </w:rPr>
              <w:t>HCFC-225cb</w:t>
            </w:r>
          </w:p>
        </w:tc>
        <w:tc>
          <w:tcPr>
            <w:tcW w:w="630" w:type="pct"/>
            <w:tcBorders>
              <w:top w:val="single" w:sz="4" w:space="0" w:color="auto"/>
              <w:left w:val="nil"/>
              <w:bottom w:val="single" w:sz="4" w:space="0" w:color="auto"/>
              <w:right w:val="single" w:sz="4" w:space="0" w:color="auto"/>
            </w:tcBorders>
            <w:hideMark/>
          </w:tcPr>
          <w:p w14:paraId="69064F72" w14:textId="77777777" w:rsidR="008E0205" w:rsidRDefault="008E0205">
            <w:pPr>
              <w:jc w:val="right"/>
              <w:rPr>
                <w:color w:val="000000" w:themeColor="text1"/>
                <w:sz w:val="20"/>
                <w:szCs w:val="20"/>
              </w:rPr>
            </w:pPr>
            <w:r>
              <w:rPr>
                <w:sz w:val="20"/>
                <w:szCs w:val="20"/>
                <w:lang w:val="es-PE"/>
              </w:rPr>
              <w:t>0,21</w:t>
            </w:r>
          </w:p>
        </w:tc>
        <w:tc>
          <w:tcPr>
            <w:tcW w:w="630" w:type="pct"/>
            <w:tcBorders>
              <w:top w:val="single" w:sz="4" w:space="0" w:color="auto"/>
              <w:left w:val="single" w:sz="4" w:space="0" w:color="auto"/>
              <w:bottom w:val="single" w:sz="4" w:space="0" w:color="auto"/>
              <w:right w:val="single" w:sz="4" w:space="0" w:color="auto"/>
            </w:tcBorders>
            <w:hideMark/>
          </w:tcPr>
          <w:p w14:paraId="3222A540" w14:textId="77777777" w:rsidR="008E0205" w:rsidRDefault="008E0205">
            <w:pPr>
              <w:jc w:val="right"/>
              <w:rPr>
                <w:color w:val="000000" w:themeColor="text1"/>
                <w:sz w:val="20"/>
                <w:szCs w:val="20"/>
              </w:rPr>
            </w:pPr>
            <w:r>
              <w:rPr>
                <w:sz w:val="20"/>
                <w:szCs w:val="20"/>
                <w:lang w:val="es-PE"/>
              </w:rPr>
              <w:t>0,31</w:t>
            </w:r>
          </w:p>
        </w:tc>
        <w:tc>
          <w:tcPr>
            <w:tcW w:w="630" w:type="pct"/>
            <w:tcBorders>
              <w:top w:val="single" w:sz="4" w:space="0" w:color="auto"/>
              <w:left w:val="single" w:sz="4" w:space="0" w:color="auto"/>
              <w:bottom w:val="single" w:sz="4" w:space="0" w:color="auto"/>
              <w:right w:val="single" w:sz="4" w:space="0" w:color="auto"/>
            </w:tcBorders>
            <w:hideMark/>
          </w:tcPr>
          <w:p w14:paraId="762A641C" w14:textId="77777777" w:rsidR="008E0205" w:rsidRDefault="008E0205">
            <w:pPr>
              <w:jc w:val="right"/>
              <w:rPr>
                <w:color w:val="000000" w:themeColor="text1"/>
                <w:sz w:val="20"/>
                <w:szCs w:val="20"/>
              </w:rPr>
            </w:pPr>
            <w:r>
              <w:rPr>
                <w:sz w:val="20"/>
                <w:szCs w:val="20"/>
                <w:lang w:val="es-PE"/>
              </w:rPr>
              <w:t>0,16</w:t>
            </w:r>
          </w:p>
        </w:tc>
        <w:tc>
          <w:tcPr>
            <w:tcW w:w="630" w:type="pct"/>
            <w:tcBorders>
              <w:top w:val="single" w:sz="4" w:space="0" w:color="auto"/>
              <w:left w:val="single" w:sz="4" w:space="0" w:color="auto"/>
              <w:bottom w:val="single" w:sz="4" w:space="0" w:color="auto"/>
              <w:right w:val="single" w:sz="4" w:space="0" w:color="auto"/>
            </w:tcBorders>
            <w:hideMark/>
          </w:tcPr>
          <w:p w14:paraId="534F7A89" w14:textId="77777777" w:rsidR="008E0205" w:rsidRDefault="008E0205">
            <w:pPr>
              <w:jc w:val="right"/>
              <w:rPr>
                <w:color w:val="000000" w:themeColor="text1"/>
                <w:sz w:val="20"/>
                <w:szCs w:val="20"/>
              </w:rPr>
            </w:pPr>
            <w:r>
              <w:rPr>
                <w:sz w:val="20"/>
                <w:szCs w:val="20"/>
                <w:lang w:val="es-PE"/>
              </w:rPr>
              <w:t>0,38</w:t>
            </w:r>
          </w:p>
        </w:tc>
        <w:tc>
          <w:tcPr>
            <w:tcW w:w="630" w:type="pct"/>
            <w:tcBorders>
              <w:top w:val="single" w:sz="4" w:space="0" w:color="auto"/>
              <w:left w:val="single" w:sz="4" w:space="0" w:color="auto"/>
              <w:bottom w:val="single" w:sz="4" w:space="0" w:color="auto"/>
              <w:right w:val="single" w:sz="4" w:space="0" w:color="auto"/>
            </w:tcBorders>
            <w:hideMark/>
          </w:tcPr>
          <w:p w14:paraId="2B1CB70F"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noWrap/>
            <w:hideMark/>
          </w:tcPr>
          <w:p w14:paraId="07A77366" w14:textId="77777777" w:rsidR="008E0205" w:rsidRDefault="008E0205">
            <w:pPr>
              <w:jc w:val="right"/>
              <w:rPr>
                <w:color w:val="000000" w:themeColor="text1"/>
                <w:sz w:val="20"/>
                <w:szCs w:val="20"/>
              </w:rPr>
            </w:pPr>
            <w:r>
              <w:rPr>
                <w:color w:val="000000"/>
                <w:sz w:val="20"/>
                <w:szCs w:val="20"/>
                <w:lang w:val="es-PE"/>
              </w:rPr>
              <w:t>0,17</w:t>
            </w:r>
          </w:p>
        </w:tc>
      </w:tr>
      <w:tr w:rsidR="008E0205" w14:paraId="5A4CDC09" w14:textId="77777777" w:rsidTr="008E0205">
        <w:trPr>
          <w:cantSplit/>
        </w:trPr>
        <w:tc>
          <w:tcPr>
            <w:tcW w:w="1219" w:type="pct"/>
            <w:tcBorders>
              <w:top w:val="nil"/>
              <w:left w:val="single" w:sz="4" w:space="0" w:color="auto"/>
              <w:bottom w:val="single" w:sz="4" w:space="0" w:color="auto"/>
              <w:right w:val="single" w:sz="4" w:space="0" w:color="auto"/>
            </w:tcBorders>
            <w:noWrap/>
            <w:hideMark/>
          </w:tcPr>
          <w:p w14:paraId="0B5906FA" w14:textId="77777777" w:rsidR="008E0205" w:rsidRDefault="008E0205">
            <w:pPr>
              <w:ind w:left="25"/>
              <w:jc w:val="left"/>
              <w:rPr>
                <w:b/>
                <w:color w:val="000000" w:themeColor="text1"/>
                <w:sz w:val="20"/>
                <w:szCs w:val="20"/>
              </w:rPr>
            </w:pPr>
            <w:r>
              <w:rPr>
                <w:b/>
                <w:bCs/>
                <w:color w:val="000000"/>
                <w:sz w:val="20"/>
                <w:szCs w:val="20"/>
                <w:lang w:val="es-PE"/>
              </w:rPr>
              <w:t>Total</w:t>
            </w:r>
          </w:p>
        </w:tc>
        <w:tc>
          <w:tcPr>
            <w:tcW w:w="630" w:type="pct"/>
            <w:tcBorders>
              <w:top w:val="single" w:sz="4" w:space="0" w:color="auto"/>
              <w:left w:val="nil"/>
              <w:bottom w:val="single" w:sz="4" w:space="0" w:color="auto"/>
              <w:right w:val="single" w:sz="4" w:space="0" w:color="auto"/>
            </w:tcBorders>
            <w:hideMark/>
          </w:tcPr>
          <w:p w14:paraId="716D6807" w14:textId="77777777" w:rsidR="008E0205" w:rsidRDefault="008E0205">
            <w:pPr>
              <w:jc w:val="right"/>
              <w:rPr>
                <w:b/>
                <w:color w:val="000000" w:themeColor="text1"/>
                <w:sz w:val="20"/>
                <w:szCs w:val="20"/>
              </w:rPr>
            </w:pPr>
            <w:r>
              <w:rPr>
                <w:b/>
                <w:bCs/>
                <w:color w:val="000000"/>
                <w:sz w:val="20"/>
                <w:szCs w:val="20"/>
                <w:lang w:val="es-PE"/>
              </w:rPr>
              <w:t>2.106,73</w:t>
            </w:r>
          </w:p>
        </w:tc>
        <w:tc>
          <w:tcPr>
            <w:tcW w:w="630" w:type="pct"/>
            <w:tcBorders>
              <w:top w:val="single" w:sz="4" w:space="0" w:color="auto"/>
              <w:left w:val="single" w:sz="4" w:space="0" w:color="auto"/>
              <w:bottom w:val="single" w:sz="4" w:space="0" w:color="auto"/>
              <w:right w:val="single" w:sz="4" w:space="0" w:color="auto"/>
            </w:tcBorders>
            <w:hideMark/>
          </w:tcPr>
          <w:p w14:paraId="0D3CD220" w14:textId="77777777" w:rsidR="008E0205" w:rsidRDefault="008E0205">
            <w:pPr>
              <w:jc w:val="right"/>
              <w:rPr>
                <w:b/>
                <w:color w:val="000000" w:themeColor="text1"/>
                <w:sz w:val="20"/>
                <w:szCs w:val="20"/>
              </w:rPr>
            </w:pPr>
            <w:r>
              <w:rPr>
                <w:b/>
                <w:bCs/>
                <w:color w:val="000000"/>
                <w:sz w:val="20"/>
                <w:szCs w:val="20"/>
                <w:lang w:val="es-PE"/>
              </w:rPr>
              <w:t>1.894,28</w:t>
            </w:r>
          </w:p>
        </w:tc>
        <w:tc>
          <w:tcPr>
            <w:tcW w:w="630" w:type="pct"/>
            <w:tcBorders>
              <w:top w:val="single" w:sz="4" w:space="0" w:color="auto"/>
              <w:left w:val="single" w:sz="4" w:space="0" w:color="auto"/>
              <w:bottom w:val="single" w:sz="4" w:space="0" w:color="auto"/>
              <w:right w:val="single" w:sz="4" w:space="0" w:color="auto"/>
            </w:tcBorders>
            <w:hideMark/>
          </w:tcPr>
          <w:p w14:paraId="7155D995" w14:textId="77777777" w:rsidR="008E0205" w:rsidRDefault="008E0205">
            <w:pPr>
              <w:jc w:val="right"/>
              <w:rPr>
                <w:b/>
                <w:color w:val="000000" w:themeColor="text1"/>
                <w:sz w:val="20"/>
                <w:szCs w:val="20"/>
              </w:rPr>
            </w:pPr>
            <w:r>
              <w:rPr>
                <w:b/>
                <w:bCs/>
                <w:color w:val="000000"/>
                <w:sz w:val="20"/>
                <w:szCs w:val="20"/>
                <w:lang w:val="es-PE"/>
              </w:rPr>
              <w:t>1.817,51</w:t>
            </w:r>
          </w:p>
        </w:tc>
        <w:tc>
          <w:tcPr>
            <w:tcW w:w="630" w:type="pct"/>
            <w:tcBorders>
              <w:top w:val="single" w:sz="4" w:space="0" w:color="auto"/>
              <w:left w:val="single" w:sz="4" w:space="0" w:color="auto"/>
              <w:bottom w:val="single" w:sz="4" w:space="0" w:color="auto"/>
              <w:right w:val="single" w:sz="4" w:space="0" w:color="auto"/>
            </w:tcBorders>
            <w:hideMark/>
          </w:tcPr>
          <w:p w14:paraId="05891FAB" w14:textId="77777777" w:rsidR="008E0205" w:rsidRDefault="008E0205">
            <w:pPr>
              <w:jc w:val="right"/>
              <w:rPr>
                <w:b/>
                <w:color w:val="000000" w:themeColor="text1"/>
                <w:sz w:val="20"/>
                <w:szCs w:val="20"/>
              </w:rPr>
            </w:pPr>
            <w:r>
              <w:rPr>
                <w:b/>
                <w:bCs/>
                <w:color w:val="000000"/>
                <w:sz w:val="20"/>
                <w:szCs w:val="20"/>
                <w:lang w:val="es-PE"/>
              </w:rPr>
              <w:t>1.811,36</w:t>
            </w:r>
          </w:p>
        </w:tc>
        <w:tc>
          <w:tcPr>
            <w:tcW w:w="630" w:type="pct"/>
            <w:tcBorders>
              <w:top w:val="single" w:sz="4" w:space="0" w:color="auto"/>
              <w:left w:val="single" w:sz="4" w:space="0" w:color="auto"/>
              <w:bottom w:val="single" w:sz="4" w:space="0" w:color="auto"/>
              <w:right w:val="single" w:sz="4" w:space="0" w:color="auto"/>
            </w:tcBorders>
            <w:hideMark/>
          </w:tcPr>
          <w:p w14:paraId="7890A461" w14:textId="77777777" w:rsidR="008E0205" w:rsidRDefault="008E0205">
            <w:pPr>
              <w:jc w:val="right"/>
              <w:rPr>
                <w:b/>
                <w:color w:val="000000" w:themeColor="text1"/>
                <w:sz w:val="20"/>
                <w:szCs w:val="20"/>
              </w:rPr>
            </w:pPr>
            <w:r>
              <w:rPr>
                <w:b/>
                <w:bCs/>
                <w:color w:val="000000"/>
                <w:sz w:val="20"/>
                <w:szCs w:val="20"/>
                <w:lang w:val="es-PE"/>
              </w:rPr>
              <w:t>969,25</w:t>
            </w:r>
          </w:p>
        </w:tc>
        <w:tc>
          <w:tcPr>
            <w:tcW w:w="630" w:type="pct"/>
            <w:tcBorders>
              <w:top w:val="single" w:sz="4" w:space="0" w:color="auto"/>
              <w:left w:val="single" w:sz="4" w:space="0" w:color="auto"/>
              <w:bottom w:val="single" w:sz="4" w:space="0" w:color="auto"/>
              <w:right w:val="single" w:sz="4" w:space="0" w:color="auto"/>
            </w:tcBorders>
            <w:noWrap/>
            <w:hideMark/>
          </w:tcPr>
          <w:p w14:paraId="5FFF2575" w14:textId="77777777" w:rsidR="008E0205" w:rsidRDefault="008E0205">
            <w:pPr>
              <w:jc w:val="right"/>
              <w:rPr>
                <w:b/>
                <w:color w:val="000000" w:themeColor="text1"/>
                <w:sz w:val="20"/>
                <w:szCs w:val="20"/>
              </w:rPr>
            </w:pPr>
            <w:r>
              <w:rPr>
                <w:b/>
                <w:bCs/>
                <w:color w:val="000000"/>
                <w:sz w:val="20"/>
                <w:szCs w:val="20"/>
                <w:lang w:val="es-PE"/>
              </w:rPr>
              <w:t>2.523,21</w:t>
            </w:r>
          </w:p>
        </w:tc>
      </w:tr>
      <w:tr w:rsidR="008E0205" w14:paraId="39AA5F85"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51A219A3" w14:textId="77777777" w:rsidR="008E0205" w:rsidRDefault="008E0205">
            <w:pPr>
              <w:ind w:left="25"/>
              <w:jc w:val="left"/>
              <w:rPr>
                <w:b/>
                <w:bCs/>
                <w:color w:val="000000" w:themeColor="text1"/>
                <w:sz w:val="20"/>
                <w:szCs w:val="20"/>
              </w:rPr>
            </w:pPr>
            <w:r>
              <w:rPr>
                <w:b/>
                <w:bCs/>
                <w:color w:val="000000"/>
                <w:sz w:val="20"/>
                <w:szCs w:val="20"/>
                <w:lang w:val="es-PE"/>
              </w:rPr>
              <w:t>Toneladas PAO</w:t>
            </w:r>
          </w:p>
        </w:tc>
        <w:tc>
          <w:tcPr>
            <w:tcW w:w="630" w:type="pct"/>
            <w:tcBorders>
              <w:top w:val="single" w:sz="4" w:space="0" w:color="auto"/>
              <w:left w:val="nil"/>
              <w:bottom w:val="single" w:sz="4" w:space="0" w:color="auto"/>
              <w:right w:val="single" w:sz="4" w:space="0" w:color="auto"/>
            </w:tcBorders>
          </w:tcPr>
          <w:p w14:paraId="52BE7049" w14:textId="77777777" w:rsidR="008E0205" w:rsidRDefault="008E020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6EE673D6" w14:textId="77777777" w:rsidR="008E0205" w:rsidRDefault="008E020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19F6D859" w14:textId="77777777" w:rsidR="008E0205" w:rsidRDefault="008E020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2DD68EB2" w14:textId="77777777" w:rsidR="008E0205" w:rsidRDefault="008E020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1B2D1DA1" w14:textId="77777777" w:rsidR="008E0205" w:rsidRDefault="008E020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noWrap/>
          </w:tcPr>
          <w:p w14:paraId="2CD67099" w14:textId="77777777" w:rsidR="008E0205" w:rsidRDefault="008E0205">
            <w:pPr>
              <w:jc w:val="right"/>
              <w:rPr>
                <w:b/>
                <w:bCs/>
                <w:color w:val="000000" w:themeColor="text1"/>
                <w:sz w:val="20"/>
                <w:szCs w:val="20"/>
              </w:rPr>
            </w:pPr>
          </w:p>
        </w:tc>
      </w:tr>
      <w:tr w:rsidR="008E0205" w14:paraId="43CCA5D7"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581F4529" w14:textId="77777777" w:rsidR="008E0205" w:rsidRDefault="008E0205">
            <w:pPr>
              <w:ind w:left="25"/>
              <w:jc w:val="left"/>
              <w:rPr>
                <w:color w:val="000000" w:themeColor="text1"/>
                <w:sz w:val="20"/>
                <w:szCs w:val="20"/>
              </w:rPr>
            </w:pPr>
            <w:r>
              <w:rPr>
                <w:color w:val="000000"/>
                <w:sz w:val="20"/>
                <w:szCs w:val="20"/>
                <w:lang w:val="es-PE"/>
              </w:rPr>
              <w:t>HCFC-22</w:t>
            </w:r>
          </w:p>
        </w:tc>
        <w:tc>
          <w:tcPr>
            <w:tcW w:w="630" w:type="pct"/>
            <w:tcBorders>
              <w:top w:val="single" w:sz="4" w:space="0" w:color="auto"/>
              <w:left w:val="nil"/>
              <w:bottom w:val="single" w:sz="4" w:space="0" w:color="auto"/>
              <w:right w:val="single" w:sz="4" w:space="0" w:color="auto"/>
            </w:tcBorders>
            <w:hideMark/>
          </w:tcPr>
          <w:p w14:paraId="42AD198D" w14:textId="77777777" w:rsidR="008E0205" w:rsidRDefault="008E0205">
            <w:pPr>
              <w:jc w:val="right"/>
              <w:rPr>
                <w:color w:val="000000" w:themeColor="text1"/>
                <w:sz w:val="20"/>
                <w:szCs w:val="20"/>
              </w:rPr>
            </w:pPr>
            <w:r>
              <w:rPr>
                <w:color w:val="000000"/>
                <w:sz w:val="20"/>
                <w:szCs w:val="20"/>
                <w:lang w:val="es-PE"/>
              </w:rPr>
              <w:t>92,68</w:t>
            </w:r>
          </w:p>
        </w:tc>
        <w:tc>
          <w:tcPr>
            <w:tcW w:w="630" w:type="pct"/>
            <w:tcBorders>
              <w:top w:val="single" w:sz="4" w:space="0" w:color="auto"/>
              <w:left w:val="single" w:sz="4" w:space="0" w:color="auto"/>
              <w:bottom w:val="single" w:sz="4" w:space="0" w:color="auto"/>
              <w:right w:val="single" w:sz="4" w:space="0" w:color="auto"/>
            </w:tcBorders>
            <w:hideMark/>
          </w:tcPr>
          <w:p w14:paraId="05BA0008" w14:textId="77777777" w:rsidR="008E0205" w:rsidRDefault="008E0205">
            <w:pPr>
              <w:jc w:val="right"/>
              <w:rPr>
                <w:color w:val="000000" w:themeColor="text1"/>
                <w:sz w:val="20"/>
                <w:szCs w:val="20"/>
              </w:rPr>
            </w:pPr>
            <w:r>
              <w:rPr>
                <w:color w:val="000000"/>
                <w:sz w:val="20"/>
                <w:szCs w:val="20"/>
                <w:lang w:val="es-PE"/>
              </w:rPr>
              <w:t>90,95</w:t>
            </w:r>
          </w:p>
        </w:tc>
        <w:tc>
          <w:tcPr>
            <w:tcW w:w="630" w:type="pct"/>
            <w:tcBorders>
              <w:top w:val="single" w:sz="4" w:space="0" w:color="auto"/>
              <w:left w:val="single" w:sz="4" w:space="0" w:color="auto"/>
              <w:bottom w:val="single" w:sz="4" w:space="0" w:color="auto"/>
              <w:right w:val="single" w:sz="4" w:space="0" w:color="auto"/>
            </w:tcBorders>
            <w:hideMark/>
          </w:tcPr>
          <w:p w14:paraId="4B9FE329" w14:textId="77777777" w:rsidR="008E0205" w:rsidRDefault="008E0205">
            <w:pPr>
              <w:jc w:val="right"/>
              <w:rPr>
                <w:color w:val="000000" w:themeColor="text1"/>
                <w:sz w:val="20"/>
                <w:szCs w:val="20"/>
              </w:rPr>
            </w:pPr>
            <w:r>
              <w:rPr>
                <w:color w:val="000000"/>
                <w:sz w:val="20"/>
                <w:szCs w:val="20"/>
                <w:lang w:val="es-PE"/>
              </w:rPr>
              <w:t>88,86</w:t>
            </w:r>
          </w:p>
        </w:tc>
        <w:tc>
          <w:tcPr>
            <w:tcW w:w="630" w:type="pct"/>
            <w:tcBorders>
              <w:top w:val="single" w:sz="4" w:space="0" w:color="auto"/>
              <w:left w:val="single" w:sz="4" w:space="0" w:color="auto"/>
              <w:bottom w:val="single" w:sz="4" w:space="0" w:color="auto"/>
              <w:right w:val="single" w:sz="4" w:space="0" w:color="auto"/>
            </w:tcBorders>
            <w:hideMark/>
          </w:tcPr>
          <w:p w14:paraId="4FDA74D5" w14:textId="77777777" w:rsidR="008E0205" w:rsidRDefault="008E0205">
            <w:pPr>
              <w:jc w:val="right"/>
              <w:rPr>
                <w:color w:val="000000" w:themeColor="text1"/>
                <w:sz w:val="20"/>
                <w:szCs w:val="20"/>
              </w:rPr>
            </w:pPr>
            <w:r>
              <w:rPr>
                <w:color w:val="000000"/>
                <w:sz w:val="20"/>
                <w:szCs w:val="20"/>
                <w:lang w:val="es-PE"/>
              </w:rPr>
              <w:t>90,38</w:t>
            </w:r>
          </w:p>
        </w:tc>
        <w:tc>
          <w:tcPr>
            <w:tcW w:w="630" w:type="pct"/>
            <w:tcBorders>
              <w:top w:val="single" w:sz="4" w:space="0" w:color="auto"/>
              <w:left w:val="single" w:sz="4" w:space="0" w:color="auto"/>
              <w:bottom w:val="single" w:sz="4" w:space="0" w:color="auto"/>
              <w:right w:val="single" w:sz="4" w:space="0" w:color="auto"/>
            </w:tcBorders>
            <w:hideMark/>
          </w:tcPr>
          <w:p w14:paraId="0AC10086" w14:textId="77777777" w:rsidR="008E0205" w:rsidRDefault="008E0205">
            <w:pPr>
              <w:jc w:val="right"/>
              <w:rPr>
                <w:color w:val="000000" w:themeColor="text1"/>
                <w:sz w:val="20"/>
                <w:szCs w:val="20"/>
              </w:rPr>
            </w:pPr>
            <w:r>
              <w:rPr>
                <w:color w:val="000000"/>
                <w:sz w:val="20"/>
                <w:szCs w:val="20"/>
                <w:lang w:val="es-PE"/>
              </w:rPr>
              <w:t>46,40</w:t>
            </w:r>
          </w:p>
        </w:tc>
        <w:tc>
          <w:tcPr>
            <w:tcW w:w="630" w:type="pct"/>
            <w:tcBorders>
              <w:top w:val="single" w:sz="4" w:space="0" w:color="auto"/>
              <w:left w:val="single" w:sz="4" w:space="0" w:color="auto"/>
              <w:bottom w:val="single" w:sz="4" w:space="0" w:color="auto"/>
              <w:right w:val="single" w:sz="4" w:space="0" w:color="auto"/>
            </w:tcBorders>
            <w:noWrap/>
            <w:hideMark/>
          </w:tcPr>
          <w:p w14:paraId="293DD2CC" w14:textId="77777777" w:rsidR="008E0205" w:rsidRDefault="008E0205">
            <w:pPr>
              <w:jc w:val="right"/>
              <w:rPr>
                <w:color w:val="000000" w:themeColor="text1"/>
                <w:sz w:val="20"/>
                <w:szCs w:val="20"/>
              </w:rPr>
            </w:pPr>
            <w:r>
              <w:rPr>
                <w:color w:val="000000"/>
                <w:sz w:val="20"/>
                <w:szCs w:val="20"/>
                <w:lang w:val="es-PE"/>
              </w:rPr>
              <w:t>107,77</w:t>
            </w:r>
          </w:p>
        </w:tc>
      </w:tr>
      <w:tr w:rsidR="008E0205" w14:paraId="03C43BCB"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1D02F8C2" w14:textId="77777777" w:rsidR="008E0205" w:rsidRDefault="008E0205">
            <w:pPr>
              <w:ind w:left="25"/>
              <w:jc w:val="left"/>
              <w:rPr>
                <w:color w:val="000000" w:themeColor="text1"/>
                <w:sz w:val="20"/>
                <w:szCs w:val="20"/>
              </w:rPr>
            </w:pPr>
            <w:r>
              <w:rPr>
                <w:color w:val="000000"/>
                <w:sz w:val="20"/>
                <w:szCs w:val="20"/>
                <w:lang w:val="es-PE"/>
              </w:rPr>
              <w:t>HCFC-141b</w:t>
            </w:r>
          </w:p>
        </w:tc>
        <w:tc>
          <w:tcPr>
            <w:tcW w:w="630" w:type="pct"/>
            <w:tcBorders>
              <w:top w:val="single" w:sz="4" w:space="0" w:color="auto"/>
              <w:left w:val="nil"/>
              <w:bottom w:val="single" w:sz="4" w:space="0" w:color="auto"/>
              <w:right w:val="single" w:sz="4" w:space="0" w:color="auto"/>
            </w:tcBorders>
            <w:hideMark/>
          </w:tcPr>
          <w:p w14:paraId="160DE12D" w14:textId="77777777" w:rsidR="008E0205" w:rsidRDefault="008E0205">
            <w:pPr>
              <w:jc w:val="right"/>
              <w:rPr>
                <w:color w:val="000000" w:themeColor="text1"/>
                <w:sz w:val="20"/>
                <w:szCs w:val="20"/>
              </w:rPr>
            </w:pPr>
            <w:r>
              <w:rPr>
                <w:color w:val="000000"/>
                <w:sz w:val="20"/>
                <w:szCs w:val="20"/>
                <w:lang w:val="es-PE"/>
              </w:rPr>
              <w:t>17,44</w:t>
            </w:r>
          </w:p>
        </w:tc>
        <w:tc>
          <w:tcPr>
            <w:tcW w:w="630" w:type="pct"/>
            <w:tcBorders>
              <w:top w:val="single" w:sz="4" w:space="0" w:color="auto"/>
              <w:left w:val="single" w:sz="4" w:space="0" w:color="auto"/>
              <w:bottom w:val="single" w:sz="4" w:space="0" w:color="auto"/>
              <w:right w:val="single" w:sz="4" w:space="0" w:color="auto"/>
            </w:tcBorders>
            <w:hideMark/>
          </w:tcPr>
          <w:p w14:paraId="2D8445C1" w14:textId="77777777" w:rsidR="008E0205" w:rsidRDefault="008E0205">
            <w:pPr>
              <w:jc w:val="right"/>
              <w:rPr>
                <w:color w:val="000000" w:themeColor="text1"/>
                <w:sz w:val="20"/>
                <w:szCs w:val="20"/>
              </w:rPr>
            </w:pPr>
            <w:r>
              <w:rPr>
                <w:color w:val="000000"/>
                <w:sz w:val="20"/>
                <w:szCs w:val="20"/>
                <w:lang w:val="es-PE"/>
              </w:rPr>
              <w:t>20,18</w:t>
            </w:r>
          </w:p>
        </w:tc>
        <w:tc>
          <w:tcPr>
            <w:tcW w:w="630" w:type="pct"/>
            <w:tcBorders>
              <w:top w:val="single" w:sz="4" w:space="0" w:color="auto"/>
              <w:left w:val="single" w:sz="4" w:space="0" w:color="auto"/>
              <w:bottom w:val="single" w:sz="4" w:space="0" w:color="auto"/>
              <w:right w:val="single" w:sz="4" w:space="0" w:color="auto"/>
            </w:tcBorders>
            <w:hideMark/>
          </w:tcPr>
          <w:p w14:paraId="4674BEC0" w14:textId="77777777" w:rsidR="008E0205" w:rsidRDefault="008E0205">
            <w:pPr>
              <w:jc w:val="right"/>
              <w:rPr>
                <w:color w:val="000000" w:themeColor="text1"/>
                <w:sz w:val="20"/>
                <w:szCs w:val="20"/>
              </w:rPr>
            </w:pPr>
            <w:r>
              <w:rPr>
                <w:color w:val="000000"/>
                <w:sz w:val="20"/>
                <w:szCs w:val="20"/>
                <w:lang w:val="es-PE"/>
              </w:rPr>
              <w:t>15,90</w:t>
            </w:r>
          </w:p>
        </w:tc>
        <w:tc>
          <w:tcPr>
            <w:tcW w:w="630" w:type="pct"/>
            <w:tcBorders>
              <w:top w:val="single" w:sz="4" w:space="0" w:color="auto"/>
              <w:left w:val="single" w:sz="4" w:space="0" w:color="auto"/>
              <w:bottom w:val="single" w:sz="4" w:space="0" w:color="auto"/>
              <w:right w:val="single" w:sz="4" w:space="0" w:color="auto"/>
            </w:tcBorders>
            <w:hideMark/>
          </w:tcPr>
          <w:p w14:paraId="07C6AA17" w14:textId="77777777" w:rsidR="008E0205" w:rsidRDefault="008E0205">
            <w:pPr>
              <w:jc w:val="right"/>
              <w:rPr>
                <w:color w:val="000000" w:themeColor="text1"/>
                <w:sz w:val="20"/>
                <w:szCs w:val="20"/>
              </w:rPr>
            </w:pPr>
            <w:r>
              <w:rPr>
                <w:color w:val="000000"/>
                <w:sz w:val="20"/>
                <w:szCs w:val="20"/>
                <w:lang w:val="es-PE"/>
              </w:rPr>
              <w:t>12,21</w:t>
            </w:r>
          </w:p>
        </w:tc>
        <w:tc>
          <w:tcPr>
            <w:tcW w:w="630" w:type="pct"/>
            <w:tcBorders>
              <w:top w:val="single" w:sz="4" w:space="0" w:color="auto"/>
              <w:left w:val="single" w:sz="4" w:space="0" w:color="auto"/>
              <w:bottom w:val="single" w:sz="4" w:space="0" w:color="auto"/>
              <w:right w:val="single" w:sz="4" w:space="0" w:color="auto"/>
            </w:tcBorders>
            <w:hideMark/>
          </w:tcPr>
          <w:p w14:paraId="6B77DBC4" w14:textId="77777777" w:rsidR="008E0205" w:rsidRDefault="008E0205">
            <w:pPr>
              <w:jc w:val="right"/>
              <w:rPr>
                <w:color w:val="000000" w:themeColor="text1"/>
                <w:sz w:val="20"/>
                <w:szCs w:val="20"/>
              </w:rPr>
            </w:pPr>
            <w:r>
              <w:rPr>
                <w:color w:val="000000"/>
                <w:sz w:val="20"/>
                <w:szCs w:val="20"/>
                <w:lang w:val="es-PE"/>
              </w:rPr>
              <w:t>2,08</w:t>
            </w:r>
          </w:p>
        </w:tc>
        <w:tc>
          <w:tcPr>
            <w:tcW w:w="630" w:type="pct"/>
            <w:tcBorders>
              <w:top w:val="single" w:sz="4" w:space="0" w:color="auto"/>
              <w:left w:val="single" w:sz="4" w:space="0" w:color="auto"/>
              <w:bottom w:val="single" w:sz="4" w:space="0" w:color="auto"/>
              <w:right w:val="single" w:sz="4" w:space="0" w:color="auto"/>
            </w:tcBorders>
            <w:noWrap/>
            <w:hideMark/>
          </w:tcPr>
          <w:p w14:paraId="7036DCDF" w14:textId="77777777" w:rsidR="008E0205" w:rsidRDefault="008E0205">
            <w:pPr>
              <w:jc w:val="right"/>
              <w:rPr>
                <w:color w:val="000000" w:themeColor="text1"/>
                <w:sz w:val="20"/>
                <w:szCs w:val="20"/>
              </w:rPr>
            </w:pPr>
            <w:r>
              <w:rPr>
                <w:color w:val="000000"/>
                <w:sz w:val="20"/>
                <w:szCs w:val="20"/>
                <w:lang w:val="es-PE"/>
              </w:rPr>
              <w:t>52,26</w:t>
            </w:r>
          </w:p>
        </w:tc>
      </w:tr>
      <w:tr w:rsidR="008E0205" w14:paraId="6E12C956"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1A369A10" w14:textId="77777777" w:rsidR="008E0205" w:rsidRDefault="008E0205">
            <w:pPr>
              <w:ind w:left="25"/>
              <w:jc w:val="left"/>
              <w:rPr>
                <w:color w:val="000000" w:themeColor="text1"/>
                <w:sz w:val="20"/>
                <w:szCs w:val="20"/>
              </w:rPr>
            </w:pPr>
            <w:r>
              <w:rPr>
                <w:color w:val="000000"/>
                <w:sz w:val="20"/>
                <w:szCs w:val="20"/>
                <w:lang w:val="es-PE"/>
              </w:rPr>
              <w:t>HCFC-142b</w:t>
            </w:r>
          </w:p>
        </w:tc>
        <w:tc>
          <w:tcPr>
            <w:tcW w:w="630" w:type="pct"/>
            <w:tcBorders>
              <w:top w:val="single" w:sz="4" w:space="0" w:color="auto"/>
              <w:left w:val="nil"/>
              <w:bottom w:val="single" w:sz="4" w:space="0" w:color="auto"/>
              <w:right w:val="single" w:sz="4" w:space="0" w:color="auto"/>
            </w:tcBorders>
            <w:hideMark/>
          </w:tcPr>
          <w:p w14:paraId="3BC11DF2"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7AA6A759"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666F0AC0"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4CFC46AF"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hideMark/>
          </w:tcPr>
          <w:p w14:paraId="053086BD"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noWrap/>
            <w:hideMark/>
          </w:tcPr>
          <w:p w14:paraId="31ADA800" w14:textId="77777777" w:rsidR="008E0205" w:rsidRDefault="008E0205">
            <w:pPr>
              <w:jc w:val="right"/>
              <w:rPr>
                <w:color w:val="000000" w:themeColor="text1"/>
                <w:sz w:val="20"/>
                <w:szCs w:val="20"/>
              </w:rPr>
            </w:pPr>
            <w:r>
              <w:rPr>
                <w:color w:val="000000"/>
                <w:sz w:val="20"/>
                <w:szCs w:val="20"/>
                <w:lang w:val="es-PE"/>
              </w:rPr>
              <w:t>0,26</w:t>
            </w:r>
          </w:p>
        </w:tc>
      </w:tr>
      <w:tr w:rsidR="008E0205" w14:paraId="7FA26CE6"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61C2D111" w14:textId="77777777" w:rsidR="008E0205" w:rsidRDefault="008E0205">
            <w:pPr>
              <w:ind w:left="25"/>
              <w:jc w:val="left"/>
              <w:rPr>
                <w:color w:val="000000" w:themeColor="text1"/>
                <w:sz w:val="20"/>
                <w:szCs w:val="20"/>
              </w:rPr>
            </w:pPr>
            <w:r>
              <w:rPr>
                <w:color w:val="000000"/>
                <w:sz w:val="20"/>
                <w:szCs w:val="20"/>
                <w:lang w:val="es-PE"/>
              </w:rPr>
              <w:t>HCFC-123</w:t>
            </w:r>
          </w:p>
        </w:tc>
        <w:tc>
          <w:tcPr>
            <w:tcW w:w="630" w:type="pct"/>
            <w:tcBorders>
              <w:top w:val="single" w:sz="4" w:space="0" w:color="auto"/>
              <w:left w:val="nil"/>
              <w:bottom w:val="single" w:sz="4" w:space="0" w:color="auto"/>
              <w:right w:val="single" w:sz="4" w:space="0" w:color="auto"/>
            </w:tcBorders>
            <w:hideMark/>
          </w:tcPr>
          <w:p w14:paraId="09DB5784" w14:textId="77777777" w:rsidR="008E0205" w:rsidRDefault="008E0205">
            <w:pPr>
              <w:jc w:val="right"/>
              <w:rPr>
                <w:color w:val="000000" w:themeColor="text1"/>
                <w:sz w:val="20"/>
                <w:szCs w:val="20"/>
              </w:rPr>
            </w:pPr>
            <w:r>
              <w:rPr>
                <w:color w:val="000000"/>
                <w:sz w:val="20"/>
                <w:szCs w:val="20"/>
                <w:lang w:val="es-PE"/>
              </w:rPr>
              <w:t>5,26</w:t>
            </w:r>
          </w:p>
        </w:tc>
        <w:tc>
          <w:tcPr>
            <w:tcW w:w="630" w:type="pct"/>
            <w:tcBorders>
              <w:top w:val="single" w:sz="4" w:space="0" w:color="auto"/>
              <w:left w:val="single" w:sz="4" w:space="0" w:color="auto"/>
              <w:bottom w:val="single" w:sz="4" w:space="0" w:color="auto"/>
              <w:right w:val="single" w:sz="4" w:space="0" w:color="auto"/>
            </w:tcBorders>
            <w:hideMark/>
          </w:tcPr>
          <w:p w14:paraId="3EB90A5E" w14:textId="77777777" w:rsidR="008E0205" w:rsidRDefault="008E0205">
            <w:pPr>
              <w:jc w:val="right"/>
              <w:rPr>
                <w:color w:val="000000" w:themeColor="text1"/>
                <w:sz w:val="20"/>
                <w:szCs w:val="20"/>
              </w:rPr>
            </w:pPr>
            <w:r>
              <w:rPr>
                <w:color w:val="000000"/>
                <w:sz w:val="20"/>
                <w:szCs w:val="20"/>
                <w:lang w:val="es-PE"/>
              </w:rPr>
              <w:t>1,14</w:t>
            </w:r>
          </w:p>
        </w:tc>
        <w:tc>
          <w:tcPr>
            <w:tcW w:w="630" w:type="pct"/>
            <w:tcBorders>
              <w:top w:val="single" w:sz="4" w:space="0" w:color="auto"/>
              <w:left w:val="single" w:sz="4" w:space="0" w:color="auto"/>
              <w:bottom w:val="single" w:sz="4" w:space="0" w:color="auto"/>
              <w:right w:val="single" w:sz="4" w:space="0" w:color="auto"/>
            </w:tcBorders>
            <w:hideMark/>
          </w:tcPr>
          <w:p w14:paraId="5BCF8074" w14:textId="77777777" w:rsidR="008E0205" w:rsidRDefault="008E0205">
            <w:pPr>
              <w:jc w:val="right"/>
              <w:rPr>
                <w:color w:val="000000" w:themeColor="text1"/>
                <w:sz w:val="20"/>
                <w:szCs w:val="20"/>
              </w:rPr>
            </w:pPr>
            <w:r>
              <w:rPr>
                <w:color w:val="000000"/>
                <w:sz w:val="20"/>
                <w:szCs w:val="20"/>
                <w:lang w:val="es-PE"/>
              </w:rPr>
              <w:t>1,15</w:t>
            </w:r>
          </w:p>
        </w:tc>
        <w:tc>
          <w:tcPr>
            <w:tcW w:w="630" w:type="pct"/>
            <w:tcBorders>
              <w:top w:val="single" w:sz="4" w:space="0" w:color="auto"/>
              <w:left w:val="single" w:sz="4" w:space="0" w:color="auto"/>
              <w:bottom w:val="single" w:sz="4" w:space="0" w:color="auto"/>
              <w:right w:val="single" w:sz="4" w:space="0" w:color="auto"/>
            </w:tcBorders>
            <w:hideMark/>
          </w:tcPr>
          <w:p w14:paraId="427FC6D8" w14:textId="77777777" w:rsidR="008E0205" w:rsidRDefault="008E0205">
            <w:pPr>
              <w:jc w:val="right"/>
              <w:rPr>
                <w:color w:val="000000" w:themeColor="text1"/>
                <w:sz w:val="20"/>
                <w:szCs w:val="20"/>
              </w:rPr>
            </w:pPr>
            <w:r>
              <w:rPr>
                <w:color w:val="000000"/>
                <w:sz w:val="20"/>
                <w:szCs w:val="20"/>
                <w:lang w:val="es-PE"/>
              </w:rPr>
              <w:t>1,14</w:t>
            </w:r>
          </w:p>
        </w:tc>
        <w:tc>
          <w:tcPr>
            <w:tcW w:w="630" w:type="pct"/>
            <w:tcBorders>
              <w:top w:val="single" w:sz="4" w:space="0" w:color="auto"/>
              <w:left w:val="single" w:sz="4" w:space="0" w:color="auto"/>
              <w:bottom w:val="single" w:sz="4" w:space="0" w:color="auto"/>
              <w:right w:val="single" w:sz="4" w:space="0" w:color="auto"/>
            </w:tcBorders>
            <w:hideMark/>
          </w:tcPr>
          <w:p w14:paraId="3AFC2B1B" w14:textId="77777777" w:rsidR="008E0205" w:rsidRDefault="008E0205">
            <w:pPr>
              <w:jc w:val="right"/>
              <w:rPr>
                <w:color w:val="000000" w:themeColor="text1"/>
                <w:sz w:val="20"/>
                <w:szCs w:val="20"/>
              </w:rPr>
            </w:pPr>
            <w:r>
              <w:rPr>
                <w:color w:val="000000"/>
                <w:sz w:val="20"/>
                <w:szCs w:val="20"/>
                <w:lang w:val="es-PE"/>
              </w:rPr>
              <w:t>2,13</w:t>
            </w:r>
          </w:p>
        </w:tc>
        <w:tc>
          <w:tcPr>
            <w:tcW w:w="630" w:type="pct"/>
            <w:tcBorders>
              <w:top w:val="single" w:sz="4" w:space="0" w:color="auto"/>
              <w:left w:val="single" w:sz="4" w:space="0" w:color="auto"/>
              <w:bottom w:val="single" w:sz="4" w:space="0" w:color="auto"/>
              <w:right w:val="single" w:sz="4" w:space="0" w:color="auto"/>
            </w:tcBorders>
            <w:noWrap/>
            <w:hideMark/>
          </w:tcPr>
          <w:p w14:paraId="770E6E17" w14:textId="77777777" w:rsidR="008E0205" w:rsidRDefault="008E0205">
            <w:pPr>
              <w:jc w:val="right"/>
              <w:rPr>
                <w:color w:val="000000" w:themeColor="text1"/>
                <w:sz w:val="20"/>
                <w:szCs w:val="20"/>
              </w:rPr>
            </w:pPr>
            <w:r>
              <w:rPr>
                <w:color w:val="000000"/>
                <w:sz w:val="20"/>
                <w:szCs w:val="20"/>
                <w:lang w:val="es-PE"/>
              </w:rPr>
              <w:t>1,69</w:t>
            </w:r>
          </w:p>
        </w:tc>
      </w:tr>
      <w:tr w:rsidR="008E0205" w14:paraId="314EABB6"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1538C033" w14:textId="77777777" w:rsidR="008E0205" w:rsidRDefault="008E0205">
            <w:pPr>
              <w:ind w:left="25"/>
              <w:jc w:val="left"/>
              <w:rPr>
                <w:color w:val="000000" w:themeColor="text1"/>
                <w:sz w:val="20"/>
                <w:szCs w:val="20"/>
              </w:rPr>
            </w:pPr>
            <w:r>
              <w:rPr>
                <w:color w:val="000000"/>
                <w:sz w:val="20"/>
                <w:szCs w:val="20"/>
                <w:lang w:val="es-PE"/>
              </w:rPr>
              <w:t>HCFC-225ca</w:t>
            </w:r>
          </w:p>
        </w:tc>
        <w:tc>
          <w:tcPr>
            <w:tcW w:w="630" w:type="pct"/>
            <w:tcBorders>
              <w:top w:val="single" w:sz="4" w:space="0" w:color="auto"/>
              <w:left w:val="nil"/>
              <w:bottom w:val="single" w:sz="4" w:space="0" w:color="auto"/>
              <w:right w:val="single" w:sz="4" w:space="0" w:color="auto"/>
            </w:tcBorders>
            <w:vAlign w:val="bottom"/>
            <w:hideMark/>
          </w:tcPr>
          <w:p w14:paraId="3D3215C1"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vAlign w:val="bottom"/>
            <w:hideMark/>
          </w:tcPr>
          <w:p w14:paraId="457973EA"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vAlign w:val="bottom"/>
            <w:hideMark/>
          </w:tcPr>
          <w:p w14:paraId="5F60B9F0"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vAlign w:val="bottom"/>
            <w:hideMark/>
          </w:tcPr>
          <w:p w14:paraId="1CCA158A"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hideMark/>
          </w:tcPr>
          <w:p w14:paraId="0FA91173"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noWrap/>
            <w:hideMark/>
          </w:tcPr>
          <w:p w14:paraId="640F12BC" w14:textId="77777777" w:rsidR="008E0205" w:rsidRDefault="008E0205">
            <w:pPr>
              <w:jc w:val="right"/>
              <w:rPr>
                <w:color w:val="000000" w:themeColor="text1"/>
                <w:sz w:val="20"/>
                <w:szCs w:val="20"/>
              </w:rPr>
            </w:pPr>
            <w:r>
              <w:rPr>
                <w:color w:val="000000"/>
                <w:sz w:val="20"/>
                <w:szCs w:val="20"/>
                <w:lang w:val="es-PE"/>
              </w:rPr>
              <w:t>0,00</w:t>
            </w:r>
          </w:p>
        </w:tc>
      </w:tr>
      <w:tr w:rsidR="008E0205" w14:paraId="18C6480A"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321E30CC" w14:textId="77777777" w:rsidR="008E0205" w:rsidRDefault="008E0205">
            <w:pPr>
              <w:ind w:left="25"/>
              <w:jc w:val="left"/>
              <w:rPr>
                <w:color w:val="000000" w:themeColor="text1"/>
                <w:sz w:val="20"/>
                <w:szCs w:val="20"/>
              </w:rPr>
            </w:pPr>
            <w:r>
              <w:rPr>
                <w:color w:val="000000"/>
                <w:sz w:val="20"/>
                <w:szCs w:val="20"/>
                <w:lang w:val="es-PE"/>
              </w:rPr>
              <w:t>HCFC-225cb</w:t>
            </w:r>
          </w:p>
        </w:tc>
        <w:tc>
          <w:tcPr>
            <w:tcW w:w="630" w:type="pct"/>
            <w:tcBorders>
              <w:top w:val="single" w:sz="4" w:space="0" w:color="auto"/>
              <w:left w:val="nil"/>
              <w:bottom w:val="single" w:sz="4" w:space="0" w:color="auto"/>
              <w:right w:val="single" w:sz="4" w:space="0" w:color="auto"/>
            </w:tcBorders>
            <w:vAlign w:val="bottom"/>
            <w:hideMark/>
          </w:tcPr>
          <w:p w14:paraId="4B42C71E"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vAlign w:val="bottom"/>
            <w:hideMark/>
          </w:tcPr>
          <w:p w14:paraId="5BDDAEE7"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vAlign w:val="bottom"/>
            <w:hideMark/>
          </w:tcPr>
          <w:p w14:paraId="628BA810"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vAlign w:val="bottom"/>
            <w:hideMark/>
          </w:tcPr>
          <w:p w14:paraId="22BB46FB" w14:textId="77777777" w:rsidR="008E0205" w:rsidRDefault="008E0205">
            <w:pPr>
              <w:jc w:val="right"/>
              <w:rPr>
                <w:color w:val="000000" w:themeColor="text1"/>
                <w:sz w:val="20"/>
                <w:szCs w:val="20"/>
              </w:rPr>
            </w:pPr>
            <w:r>
              <w:rPr>
                <w:color w:val="000000"/>
                <w:sz w:val="20"/>
                <w:szCs w:val="20"/>
                <w:lang w:val="es-PE"/>
              </w:rPr>
              <w:t>0,01</w:t>
            </w:r>
          </w:p>
        </w:tc>
        <w:tc>
          <w:tcPr>
            <w:tcW w:w="630" w:type="pct"/>
            <w:tcBorders>
              <w:top w:val="single" w:sz="4" w:space="0" w:color="auto"/>
              <w:left w:val="single" w:sz="4" w:space="0" w:color="auto"/>
              <w:bottom w:val="single" w:sz="4" w:space="0" w:color="auto"/>
              <w:right w:val="single" w:sz="4" w:space="0" w:color="auto"/>
            </w:tcBorders>
            <w:hideMark/>
          </w:tcPr>
          <w:p w14:paraId="059EC482" w14:textId="77777777" w:rsidR="008E0205" w:rsidRDefault="008E0205">
            <w:pPr>
              <w:jc w:val="right"/>
              <w:rPr>
                <w:color w:val="000000" w:themeColor="text1"/>
                <w:sz w:val="20"/>
                <w:szCs w:val="20"/>
              </w:rPr>
            </w:pPr>
            <w:r>
              <w:rPr>
                <w:color w:val="000000"/>
                <w:sz w:val="20"/>
                <w:szCs w:val="20"/>
                <w:lang w:val="es-PE"/>
              </w:rPr>
              <w:t>0,00</w:t>
            </w:r>
          </w:p>
        </w:tc>
        <w:tc>
          <w:tcPr>
            <w:tcW w:w="630" w:type="pct"/>
            <w:tcBorders>
              <w:top w:val="single" w:sz="4" w:space="0" w:color="auto"/>
              <w:left w:val="single" w:sz="4" w:space="0" w:color="auto"/>
              <w:bottom w:val="single" w:sz="4" w:space="0" w:color="auto"/>
              <w:right w:val="single" w:sz="4" w:space="0" w:color="auto"/>
            </w:tcBorders>
            <w:noWrap/>
            <w:hideMark/>
          </w:tcPr>
          <w:p w14:paraId="36E560FB" w14:textId="77777777" w:rsidR="008E0205" w:rsidRDefault="008E0205">
            <w:pPr>
              <w:jc w:val="right"/>
              <w:rPr>
                <w:color w:val="000000" w:themeColor="text1"/>
                <w:sz w:val="20"/>
                <w:szCs w:val="20"/>
              </w:rPr>
            </w:pPr>
            <w:r>
              <w:rPr>
                <w:color w:val="000000"/>
                <w:sz w:val="20"/>
                <w:szCs w:val="20"/>
                <w:lang w:val="es-PE"/>
              </w:rPr>
              <w:t>0,00</w:t>
            </w:r>
          </w:p>
        </w:tc>
      </w:tr>
      <w:tr w:rsidR="008E0205" w14:paraId="2B43DB6A" w14:textId="77777777" w:rsidTr="008E020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09C66CB8" w14:textId="77777777" w:rsidR="008E0205" w:rsidRDefault="008E0205">
            <w:pPr>
              <w:ind w:left="25"/>
              <w:jc w:val="left"/>
              <w:rPr>
                <w:b/>
                <w:color w:val="000000" w:themeColor="text1"/>
                <w:sz w:val="20"/>
                <w:szCs w:val="20"/>
              </w:rPr>
            </w:pPr>
            <w:r>
              <w:rPr>
                <w:b/>
                <w:bCs/>
                <w:color w:val="000000"/>
                <w:sz w:val="20"/>
                <w:szCs w:val="20"/>
                <w:lang w:val="es-PE"/>
              </w:rPr>
              <w:t>Total</w:t>
            </w:r>
          </w:p>
        </w:tc>
        <w:tc>
          <w:tcPr>
            <w:tcW w:w="630" w:type="pct"/>
            <w:tcBorders>
              <w:top w:val="single" w:sz="4" w:space="0" w:color="auto"/>
              <w:left w:val="nil"/>
              <w:bottom w:val="single" w:sz="4" w:space="0" w:color="auto"/>
              <w:right w:val="single" w:sz="4" w:space="0" w:color="auto"/>
            </w:tcBorders>
            <w:hideMark/>
          </w:tcPr>
          <w:p w14:paraId="1C459474" w14:textId="77777777" w:rsidR="008E0205" w:rsidRDefault="008E0205">
            <w:pPr>
              <w:jc w:val="right"/>
              <w:rPr>
                <w:b/>
                <w:color w:val="000000" w:themeColor="text1"/>
                <w:sz w:val="20"/>
                <w:szCs w:val="20"/>
              </w:rPr>
            </w:pPr>
            <w:r>
              <w:rPr>
                <w:b/>
                <w:bCs/>
                <w:color w:val="000000"/>
                <w:sz w:val="20"/>
                <w:szCs w:val="20"/>
                <w:lang w:val="es-PE"/>
              </w:rPr>
              <w:t>115,38</w:t>
            </w:r>
          </w:p>
        </w:tc>
        <w:tc>
          <w:tcPr>
            <w:tcW w:w="630" w:type="pct"/>
            <w:tcBorders>
              <w:top w:val="single" w:sz="4" w:space="0" w:color="auto"/>
              <w:left w:val="single" w:sz="4" w:space="0" w:color="auto"/>
              <w:bottom w:val="single" w:sz="4" w:space="0" w:color="auto"/>
              <w:right w:val="single" w:sz="4" w:space="0" w:color="auto"/>
            </w:tcBorders>
            <w:hideMark/>
          </w:tcPr>
          <w:p w14:paraId="345CF62A" w14:textId="77777777" w:rsidR="008E0205" w:rsidRDefault="008E0205">
            <w:pPr>
              <w:jc w:val="right"/>
              <w:rPr>
                <w:b/>
                <w:color w:val="000000" w:themeColor="text1"/>
                <w:sz w:val="20"/>
                <w:szCs w:val="20"/>
              </w:rPr>
            </w:pPr>
            <w:r>
              <w:rPr>
                <w:b/>
                <w:bCs/>
                <w:color w:val="000000"/>
                <w:sz w:val="20"/>
                <w:szCs w:val="20"/>
                <w:lang w:val="es-PE"/>
              </w:rPr>
              <w:t>112,28</w:t>
            </w:r>
          </w:p>
        </w:tc>
        <w:tc>
          <w:tcPr>
            <w:tcW w:w="630" w:type="pct"/>
            <w:tcBorders>
              <w:top w:val="single" w:sz="4" w:space="0" w:color="auto"/>
              <w:left w:val="single" w:sz="4" w:space="0" w:color="auto"/>
              <w:bottom w:val="single" w:sz="4" w:space="0" w:color="auto"/>
              <w:right w:val="single" w:sz="4" w:space="0" w:color="auto"/>
            </w:tcBorders>
            <w:hideMark/>
          </w:tcPr>
          <w:p w14:paraId="6D5C82CB" w14:textId="77777777" w:rsidR="008E0205" w:rsidRDefault="008E0205">
            <w:pPr>
              <w:jc w:val="right"/>
              <w:rPr>
                <w:b/>
                <w:color w:val="000000" w:themeColor="text1"/>
                <w:sz w:val="20"/>
                <w:szCs w:val="20"/>
              </w:rPr>
            </w:pPr>
            <w:r>
              <w:rPr>
                <w:b/>
                <w:bCs/>
                <w:color w:val="000000"/>
                <w:sz w:val="20"/>
                <w:szCs w:val="20"/>
                <w:lang w:val="es-PE"/>
              </w:rPr>
              <w:t>105,90</w:t>
            </w:r>
          </w:p>
        </w:tc>
        <w:tc>
          <w:tcPr>
            <w:tcW w:w="630" w:type="pct"/>
            <w:tcBorders>
              <w:top w:val="single" w:sz="4" w:space="0" w:color="auto"/>
              <w:left w:val="single" w:sz="4" w:space="0" w:color="auto"/>
              <w:bottom w:val="single" w:sz="4" w:space="0" w:color="auto"/>
              <w:right w:val="single" w:sz="4" w:space="0" w:color="auto"/>
            </w:tcBorders>
            <w:hideMark/>
          </w:tcPr>
          <w:p w14:paraId="1112A846" w14:textId="77777777" w:rsidR="008E0205" w:rsidRDefault="008E0205">
            <w:pPr>
              <w:jc w:val="right"/>
              <w:rPr>
                <w:b/>
                <w:color w:val="000000" w:themeColor="text1"/>
                <w:sz w:val="20"/>
                <w:szCs w:val="20"/>
              </w:rPr>
            </w:pPr>
            <w:r>
              <w:rPr>
                <w:b/>
                <w:bCs/>
                <w:color w:val="000000"/>
                <w:sz w:val="20"/>
                <w:szCs w:val="20"/>
                <w:lang w:val="es-PE"/>
              </w:rPr>
              <w:t>103,73</w:t>
            </w:r>
          </w:p>
        </w:tc>
        <w:tc>
          <w:tcPr>
            <w:tcW w:w="630" w:type="pct"/>
            <w:tcBorders>
              <w:top w:val="single" w:sz="4" w:space="0" w:color="auto"/>
              <w:left w:val="single" w:sz="4" w:space="0" w:color="auto"/>
              <w:bottom w:val="single" w:sz="4" w:space="0" w:color="auto"/>
              <w:right w:val="single" w:sz="4" w:space="0" w:color="auto"/>
            </w:tcBorders>
            <w:hideMark/>
          </w:tcPr>
          <w:p w14:paraId="13CE4918" w14:textId="77777777" w:rsidR="008E0205" w:rsidRDefault="008E0205">
            <w:pPr>
              <w:jc w:val="right"/>
              <w:rPr>
                <w:b/>
                <w:color w:val="000000" w:themeColor="text1"/>
                <w:sz w:val="20"/>
                <w:szCs w:val="20"/>
              </w:rPr>
            </w:pPr>
            <w:r>
              <w:rPr>
                <w:b/>
                <w:bCs/>
                <w:color w:val="000000"/>
                <w:sz w:val="20"/>
                <w:szCs w:val="20"/>
                <w:lang w:val="es-PE"/>
              </w:rPr>
              <w:t>50,62</w:t>
            </w:r>
          </w:p>
        </w:tc>
        <w:tc>
          <w:tcPr>
            <w:tcW w:w="630" w:type="pct"/>
            <w:tcBorders>
              <w:top w:val="single" w:sz="4" w:space="0" w:color="auto"/>
              <w:left w:val="single" w:sz="4" w:space="0" w:color="auto"/>
              <w:bottom w:val="single" w:sz="4" w:space="0" w:color="auto"/>
              <w:right w:val="single" w:sz="4" w:space="0" w:color="auto"/>
            </w:tcBorders>
            <w:noWrap/>
            <w:hideMark/>
          </w:tcPr>
          <w:p w14:paraId="6BD6D204" w14:textId="77777777" w:rsidR="008E0205" w:rsidRDefault="008E0205">
            <w:pPr>
              <w:jc w:val="right"/>
              <w:rPr>
                <w:b/>
                <w:color w:val="000000" w:themeColor="text1"/>
                <w:sz w:val="20"/>
                <w:szCs w:val="20"/>
              </w:rPr>
            </w:pPr>
            <w:r>
              <w:rPr>
                <w:b/>
                <w:bCs/>
                <w:color w:val="000000"/>
                <w:sz w:val="20"/>
                <w:szCs w:val="20"/>
                <w:lang w:val="es-PE"/>
              </w:rPr>
              <w:t>161,98</w:t>
            </w:r>
          </w:p>
        </w:tc>
      </w:tr>
    </w:tbl>
    <w:p w14:paraId="65454400" w14:textId="77777777" w:rsidR="008E0205" w:rsidRDefault="008E0205" w:rsidP="008E0205">
      <w:pPr>
        <w:rPr>
          <w:strike/>
          <w:sz w:val="16"/>
          <w:szCs w:val="16"/>
          <w:lang w:val="es-ES"/>
        </w:rPr>
      </w:pPr>
      <w:r>
        <w:rPr>
          <w:sz w:val="16"/>
          <w:szCs w:val="16"/>
          <w:lang w:val="es-PE"/>
        </w:rPr>
        <w:t xml:space="preserve">* Datos derivados del informe de verificación sobre el consumo de HCFC. </w:t>
      </w:r>
    </w:p>
    <w:p w14:paraId="2D4EB3AE" w14:textId="77777777" w:rsidR="008E0205" w:rsidRDefault="008E0205" w:rsidP="008E0205">
      <w:pPr>
        <w:rPr>
          <w:sz w:val="16"/>
          <w:szCs w:val="16"/>
          <w:lang w:val="es-ES"/>
        </w:rPr>
      </w:pPr>
    </w:p>
    <w:p w14:paraId="3F4FE178" w14:textId="37E0C5EA" w:rsidR="008E0205" w:rsidRDefault="008E0205" w:rsidP="008E0205">
      <w:pPr>
        <w:numPr>
          <w:ilvl w:val="0"/>
          <w:numId w:val="1"/>
        </w:numPr>
        <w:tabs>
          <w:tab w:val="clear" w:pos="0"/>
          <w:tab w:val="num" w:pos="710"/>
        </w:tabs>
        <w:spacing w:after="240"/>
        <w:outlineLvl w:val="0"/>
        <w:rPr>
          <w:lang w:val="es-ES"/>
        </w:rPr>
      </w:pPr>
      <w:r>
        <w:rPr>
          <w:lang w:val="es-PE"/>
        </w:rPr>
        <w:t>Entre 2016 y 2019, se observó una disminución gradual en el consumo general de HCFC; en 2020, se acusó una marcada reducción en el consumo de HCFC-22 y de HCFC-141b, atribuida al declive económico provocado por la pandemia de COVID-19, la prohibición de la importación de HCFC-22 para su uso en el sector de fabricación de equipos de refrigeración y aire acondicionado</w:t>
      </w:r>
      <w:r>
        <w:rPr>
          <w:rStyle w:val="FootnoteReference"/>
          <w:lang w:val="es-ES"/>
        </w:rPr>
        <w:footnoteReference w:customMarkFollows="1" w:id="42"/>
        <w:t>42</w:t>
      </w:r>
      <w:r>
        <w:rPr>
          <w:lang w:val="es-PE"/>
        </w:rPr>
        <w:t xml:space="preserve"> en vigor desde el 1º de enero de 2020, y la introducción de equipos de refrigeración y aire acondicionado que utilizan HFC. El aumento en el consumo de HCFC-123 en 2020 obedeció a la solicitud de un importador de una mayor asignación de cupos, a cambio de la correspondiente deducción en l</w:t>
      </w:r>
      <w:r w:rsidR="00305D02">
        <w:rPr>
          <w:lang w:val="es-PE"/>
        </w:rPr>
        <w:t>os cupos del importador de HCFC</w:t>
      </w:r>
      <w:r w:rsidR="00305D02">
        <w:rPr>
          <w:lang w:val="es-PE"/>
        </w:rPr>
        <w:noBreakHyphen/>
      </w:r>
      <w:r>
        <w:rPr>
          <w:lang w:val="es-PE"/>
        </w:rPr>
        <w:t xml:space="preserve">141b. </w:t>
      </w:r>
      <w:r>
        <w:rPr>
          <w:rFonts w:cs="Calibri"/>
          <w:lang w:val="es-PE"/>
        </w:rPr>
        <w:t xml:space="preserve">El Gobierno impuso una prohibición al uso de HCFC-141b en el sector de fabricación de espumas con efecto a partir del 1º de enero de 2015; no obstante, aún está permitida la importación de HCFC-141b para su uso en el sector de servicio y mantenimiento. Para limpiar los sistemas de refrigeración se utilizaron pequeñas cantidades de </w:t>
      </w:r>
      <w:r>
        <w:rPr>
          <w:color w:val="000000"/>
          <w:lang w:val="es-PE"/>
        </w:rPr>
        <w:t>HCFC-225ca y HCFC</w:t>
      </w:r>
      <w:r>
        <w:rPr>
          <w:color w:val="000000"/>
          <w:lang w:val="es-PE"/>
        </w:rPr>
        <w:noBreakHyphen/>
        <w:t>225cb</w:t>
      </w:r>
      <w:r>
        <w:rPr>
          <w:lang w:val="es-PE"/>
        </w:rPr>
        <w:t>.</w:t>
      </w:r>
    </w:p>
    <w:p w14:paraId="76898877" w14:textId="77777777" w:rsidR="008E0205" w:rsidRDefault="008E0205" w:rsidP="008E0205">
      <w:pPr>
        <w:widowControl w:val="0"/>
        <w:rPr>
          <w:i/>
          <w:iCs/>
          <w:u w:val="single"/>
          <w:lang w:val="es-ES"/>
        </w:rPr>
      </w:pPr>
      <w:r>
        <w:rPr>
          <w:i/>
          <w:iCs/>
          <w:lang w:val="es-PE"/>
        </w:rPr>
        <w:t>Informe de ejecución del programa de país</w:t>
      </w:r>
    </w:p>
    <w:p w14:paraId="15452F33" w14:textId="77777777" w:rsidR="008E0205" w:rsidRDefault="008E0205" w:rsidP="008E0205">
      <w:pPr>
        <w:widowControl w:val="0"/>
        <w:rPr>
          <w:lang w:val="es-ES"/>
        </w:rPr>
      </w:pPr>
    </w:p>
    <w:p w14:paraId="1A3075A5" w14:textId="7E654426" w:rsidR="008E0205" w:rsidRDefault="008E0205" w:rsidP="00305D02">
      <w:pPr>
        <w:numPr>
          <w:ilvl w:val="0"/>
          <w:numId w:val="1"/>
        </w:numPr>
        <w:tabs>
          <w:tab w:val="clear" w:pos="0"/>
          <w:tab w:val="num" w:pos="710"/>
        </w:tabs>
        <w:spacing w:after="240"/>
        <w:outlineLvl w:val="0"/>
        <w:rPr>
          <w:lang w:val="es-ES"/>
        </w:rPr>
      </w:pPr>
      <w:r>
        <w:rPr>
          <w:lang w:val="es-PE"/>
        </w:rPr>
        <w:t>El Gobierno de Filipinas, en el informe de ejecución del programa de país de 2020, notificó datos sobre el consumo del sector de los HCFC de 63,20 toneladas PAO, que no son compatibles con los datos notificados con arreglo al artículo 7 del Protocolo de Montreal. La ONUDI explicó que el consumo notificado en el informe del programa de país de HCFC-22 (56,02 toneladas PAO) y de HCFC</w:t>
      </w:r>
      <w:r>
        <w:rPr>
          <w:lang w:val="es-PE"/>
        </w:rPr>
        <w:noBreakHyphen/>
        <w:t>141b (6,52</w:t>
      </w:r>
      <w:r w:rsidR="00305D02">
        <w:rPr>
          <w:lang w:val="es-PE"/>
        </w:rPr>
        <w:t> </w:t>
      </w:r>
      <w:r>
        <w:rPr>
          <w:lang w:val="es-PE"/>
        </w:rPr>
        <w:t xml:space="preserve">toneladas PAO) incluía las reservas de años anteriores. </w:t>
      </w:r>
    </w:p>
    <w:p w14:paraId="501E04AC" w14:textId="77777777" w:rsidR="008E0205" w:rsidRDefault="008E0205" w:rsidP="008E0205">
      <w:pPr>
        <w:rPr>
          <w:i/>
          <w:lang w:val="es-ES"/>
        </w:rPr>
      </w:pPr>
      <w:r>
        <w:rPr>
          <w:i/>
          <w:iCs/>
          <w:lang w:val="es-PE"/>
        </w:rPr>
        <w:t>Informe de verificación</w:t>
      </w:r>
    </w:p>
    <w:p w14:paraId="2AA60A23" w14:textId="77777777" w:rsidR="008E0205" w:rsidRDefault="008E0205" w:rsidP="008E0205">
      <w:pPr>
        <w:rPr>
          <w:lang w:val="es-ES"/>
        </w:rPr>
      </w:pPr>
    </w:p>
    <w:p w14:paraId="3EDF976A" w14:textId="1E263DB6" w:rsidR="008E0205" w:rsidRDefault="008E0205" w:rsidP="008E0205">
      <w:pPr>
        <w:numPr>
          <w:ilvl w:val="0"/>
          <w:numId w:val="1"/>
        </w:numPr>
        <w:tabs>
          <w:tab w:val="clear" w:pos="0"/>
          <w:tab w:val="num" w:pos="710"/>
        </w:tabs>
        <w:spacing w:after="240"/>
        <w:outlineLvl w:val="0"/>
        <w:rPr>
          <w:lang w:val="es-ES"/>
        </w:rPr>
      </w:pPr>
      <w:r>
        <w:rPr>
          <w:lang w:val="es-PE"/>
        </w:rPr>
        <w:t xml:space="preserve">En el informe de verificación se confirmó que el Gobierno de Filipinas estaba aplicando un sistema de otorgamiento de licencias y cupos para la importación y exportación de HCFC y que se habían detectado diferencias mínimas entre el consumo verificado para 2016, 2017 y 2018 y los datos notificados con arreglo al artículo 7 del Protocolo de Montreal, como se ha indicado anteriormente en el Cuadro 9 (esto es, los datos verificados revelaron una diferencia de -0,1, +0,61 y -0,03 toneladas PAO, respectivamente, atribuida al redondeo de las cifras). En la verificación se concluyó que los datos sobre el consumo de SAO se habían notificado correctamente; sin embargo, el verificador recomendó que el Gobierno revisase el sistema de otorgamiento de licencias y de supervisión en línea para incluir un sistema de alerta temprana que detectara el comercio ilícito, el cual indicaría automáticamente las importaciones realizadas sin licencias, así como </w:t>
      </w:r>
      <w:r>
        <w:rPr>
          <w:lang w:val="es-PE"/>
        </w:rPr>
        <w:lastRenderedPageBreak/>
        <w:t>la ampliación del sistema para incluir los HFC. Durante la ejecución de las actividades restantes del PGEH, se tendrán en cuenta dichas recomendaciones.</w:t>
      </w:r>
    </w:p>
    <w:p w14:paraId="4F2ADDA5" w14:textId="77777777" w:rsidR="008E0205" w:rsidRDefault="008E0205" w:rsidP="008E0205">
      <w:pPr>
        <w:rPr>
          <w:u w:val="single"/>
          <w:lang w:val="es-ES"/>
        </w:rPr>
      </w:pPr>
      <w:r>
        <w:rPr>
          <w:u w:val="single"/>
          <w:lang w:val="es-PE"/>
        </w:rPr>
        <w:t>Informe sobre la marcha de las actividades relativo a la ejecución del primer tramo de la etapa II del plan de gestión de la eliminación de los HCFC</w:t>
      </w:r>
    </w:p>
    <w:p w14:paraId="3A85E147" w14:textId="77777777" w:rsidR="008E0205" w:rsidRDefault="008E0205" w:rsidP="008E0205">
      <w:pPr>
        <w:rPr>
          <w:lang w:val="es-ES"/>
        </w:rPr>
      </w:pPr>
    </w:p>
    <w:p w14:paraId="3D202E92" w14:textId="77777777" w:rsidR="008E0205" w:rsidRDefault="008E0205" w:rsidP="008E0205">
      <w:pPr>
        <w:rPr>
          <w:i/>
          <w:lang w:val="es-ES"/>
        </w:rPr>
      </w:pPr>
      <w:r>
        <w:rPr>
          <w:i/>
          <w:iCs/>
          <w:lang w:val="es-PE"/>
        </w:rPr>
        <w:t>Marco jurídico</w:t>
      </w:r>
    </w:p>
    <w:p w14:paraId="16A75F59" w14:textId="77777777" w:rsidR="008E0205" w:rsidRDefault="008E0205" w:rsidP="008E0205">
      <w:pPr>
        <w:rPr>
          <w:lang w:val="es-ES"/>
        </w:rPr>
      </w:pPr>
    </w:p>
    <w:p w14:paraId="2E0197AC" w14:textId="4CEB7631" w:rsidR="008E0205" w:rsidRDefault="008E0205" w:rsidP="008E0205">
      <w:pPr>
        <w:numPr>
          <w:ilvl w:val="0"/>
          <w:numId w:val="1"/>
        </w:numPr>
        <w:tabs>
          <w:tab w:val="clear" w:pos="0"/>
          <w:tab w:val="num" w:pos="710"/>
        </w:tabs>
        <w:spacing w:after="240"/>
        <w:outlineLvl w:val="0"/>
        <w:rPr>
          <w:lang w:val="es-ES"/>
        </w:rPr>
      </w:pPr>
      <w:r>
        <w:rPr>
          <w:lang w:val="es-PE"/>
        </w:rPr>
        <w:t xml:space="preserve">El sistema de otorgamiento de licencias y cupos para la importación de HCFC ha estado en funcionamiento desde 2004. La Oficina de Gestión Ambiental, por medio de la Dirección General del Ozono de Filipinas, determina los cupos de importación anuales de HCFC, en coordinación con la Dirección de Aduanas.  En 2013, se introdujo en la normativa un plan de certificación para técnicos y un Sistema Armonizado de Codificación, así como requisitos para el etiquetado; desde el 1º de enero de 2015, ha estado en vigor una prohibición de la importación y exportación de HCFC-141b en el sector de fabricación de espumas, contenido en los </w:t>
      </w:r>
      <w:proofErr w:type="spellStart"/>
      <w:r>
        <w:rPr>
          <w:lang w:val="es-PE"/>
        </w:rPr>
        <w:t>polioles</w:t>
      </w:r>
      <w:proofErr w:type="spellEnd"/>
      <w:r>
        <w:rPr>
          <w:lang w:val="es-PE"/>
        </w:rPr>
        <w:t xml:space="preserve"> premezclados importados, y desde el 1º de enero de 2020, está vigente la prohibición de la importación de HCFC-22 para su uso en el sector de fabricación de equipos de refrigeración y aire acondicionado. Desde 2005, se exige a los importadores de alternativas que no utilizan SAO (esto es, HFC) la obtención de una autorización de importación previa al envío; sin embargo, en la actualidad no se han fijado límites a la cantidad de la importación.  </w:t>
      </w:r>
    </w:p>
    <w:p w14:paraId="0E24801F" w14:textId="31C47D12" w:rsidR="008E0205" w:rsidRPr="008E0205" w:rsidRDefault="008E0205" w:rsidP="008E0205">
      <w:pPr>
        <w:numPr>
          <w:ilvl w:val="0"/>
          <w:numId w:val="1"/>
        </w:numPr>
        <w:tabs>
          <w:tab w:val="clear" w:pos="0"/>
          <w:tab w:val="num" w:pos="710"/>
        </w:tabs>
        <w:spacing w:after="240"/>
        <w:outlineLvl w:val="0"/>
        <w:rPr>
          <w:lang w:val="es-PE"/>
        </w:rPr>
      </w:pPr>
      <w:r>
        <w:rPr>
          <w:lang w:val="es-PE"/>
        </w:rPr>
        <w:t xml:space="preserve">Se han llevado a cabo tres sesiones de capacitación para 70 oficiales de aduanas y funcionarios encargados de hacer cumplir la ley sobre el Protocolo de Montreal, la necesidad de verificación y control durante la inspección y la supervisión de las importaciones reales, y sobre el uso de analizadores de refrigerantes; durante la pandemia de COVID-19, se llevó a cabo una cuarta sesión de capacitación en línea para 100 oficiales de aduanas y de reglamentación.   A raíz de esas sesiones, Filipinas se unió a la red de consentimiento fundamentado previo de carácter oficioso. En 2020, se revisó y actualizó el manual de capacitación para oficiales de aduanas y funcionarios encargados de hacer cumplir la ley. Se compraron veintitrés analizadores de refrigerantes, que se distribuirán a las oficinas de aduanas regionales. </w:t>
      </w:r>
    </w:p>
    <w:p w14:paraId="2953E88D" w14:textId="23B0C040" w:rsidR="008E0205" w:rsidRDefault="008E0205" w:rsidP="008E0205">
      <w:pPr>
        <w:numPr>
          <w:ilvl w:val="0"/>
          <w:numId w:val="1"/>
        </w:numPr>
        <w:tabs>
          <w:tab w:val="clear" w:pos="0"/>
          <w:tab w:val="num" w:pos="710"/>
        </w:tabs>
        <w:spacing w:after="240"/>
        <w:outlineLvl w:val="0"/>
        <w:rPr>
          <w:lang w:val="es-ES"/>
        </w:rPr>
      </w:pPr>
      <w:r>
        <w:rPr>
          <w:lang w:val="es-PE"/>
        </w:rPr>
        <w:t xml:space="preserve">Se celebraron tres reuniones en línea con importadores registrados para discutir sobre un sistema de registro en línea y sobre los requisitos de presentación de datos anuales.  Se redactaron las atribuciones de un consultor en tecnología de la información para la actualización del sistema de otorgamiento de licencias y de gestión de datos. Se celebraron dos reuniones de coordinación con algunos departamentos gubernamentales sobre las políticas y los reglamentos relativos a las SAO. La dependencia nacional del ozono y la Dirección de Aduanas tendrán en cuenta las recomendaciones formuladas en el informe de verificación en la revisión de todo el sistema de supervisión de las importaciones de SAO y de otras sustancias controladas, a fin de adaptarlo, según proceda, para que sea más eficaz. </w:t>
      </w:r>
    </w:p>
    <w:p w14:paraId="130D210C" w14:textId="77777777" w:rsidR="008E0205" w:rsidRDefault="008E0205" w:rsidP="008E0205">
      <w:pPr>
        <w:rPr>
          <w:i/>
          <w:lang w:val="es-ES"/>
        </w:rPr>
      </w:pPr>
      <w:r>
        <w:rPr>
          <w:i/>
          <w:iCs/>
          <w:lang w:val="es-PE"/>
        </w:rPr>
        <w:t>Sector de fabricación</w:t>
      </w:r>
    </w:p>
    <w:p w14:paraId="79B98932" w14:textId="77777777" w:rsidR="008E0205" w:rsidRDefault="008E0205" w:rsidP="008E0205">
      <w:pPr>
        <w:rPr>
          <w:lang w:val="es-ES"/>
        </w:rPr>
      </w:pPr>
    </w:p>
    <w:p w14:paraId="5DD13A13" w14:textId="3D796A40" w:rsidR="008E0205" w:rsidRDefault="008E0205" w:rsidP="008E0205">
      <w:pPr>
        <w:numPr>
          <w:ilvl w:val="0"/>
          <w:numId w:val="1"/>
        </w:numPr>
        <w:tabs>
          <w:tab w:val="clear" w:pos="0"/>
          <w:tab w:val="num" w:pos="710"/>
        </w:tabs>
        <w:spacing w:after="240"/>
        <w:outlineLvl w:val="0"/>
        <w:rPr>
          <w:lang w:val="es-ES"/>
        </w:rPr>
      </w:pPr>
      <w:r>
        <w:rPr>
          <w:lang w:val="es-PE"/>
        </w:rPr>
        <w:t xml:space="preserve">En la etapa II del PGEH se incluyó la conversión de cuatro empresas fabricantes de acondicionadores de aire que utilizan HCFC-22 </w:t>
      </w:r>
      <w:r>
        <w:rPr>
          <w:color w:val="000000"/>
          <w:lang w:val="es-PE"/>
        </w:rPr>
        <w:t xml:space="preserve">(a saber, </w:t>
      </w:r>
      <w:proofErr w:type="spellStart"/>
      <w:r>
        <w:rPr>
          <w:color w:val="000000"/>
          <w:lang w:val="es-PE"/>
        </w:rPr>
        <w:t>Concepcion</w:t>
      </w:r>
      <w:proofErr w:type="spellEnd"/>
      <w:r>
        <w:rPr>
          <w:color w:val="000000"/>
          <w:lang w:val="es-PE"/>
        </w:rPr>
        <w:t xml:space="preserve"> </w:t>
      </w:r>
      <w:proofErr w:type="spellStart"/>
      <w:r>
        <w:rPr>
          <w:color w:val="000000"/>
          <w:lang w:val="es-PE"/>
        </w:rPr>
        <w:t>Carrier</w:t>
      </w:r>
      <w:proofErr w:type="spellEnd"/>
      <w:r>
        <w:rPr>
          <w:color w:val="000000"/>
          <w:lang w:val="es-PE"/>
        </w:rPr>
        <w:t xml:space="preserve">, Hitachi, Koppel y Panasonic) a la tecnología de HFC-32, que dará lugar a </w:t>
      </w:r>
      <w:r>
        <w:rPr>
          <w:lang w:val="es-PE"/>
        </w:rPr>
        <w:t>la eliminación de 15,57 toneladas PAO (283,12 toneladas) de HCFC-22, al costo acordado de 1 793 307 $EUA, más gastos de apoyo del organismo</w:t>
      </w:r>
      <w:r>
        <w:rPr>
          <w:rStyle w:val="FootnoteReference"/>
          <w:lang w:val="es-ES"/>
        </w:rPr>
        <w:footnoteReference w:customMarkFollows="1" w:id="43"/>
        <w:t>43</w:t>
      </w:r>
      <w:r>
        <w:rPr>
          <w:lang w:val="es-PE"/>
        </w:rPr>
        <w:t>.</w:t>
      </w:r>
    </w:p>
    <w:p w14:paraId="3EADCEEF" w14:textId="0BA55B68" w:rsidR="008E0205" w:rsidRPr="008E0205" w:rsidRDefault="008E0205" w:rsidP="008E0205">
      <w:pPr>
        <w:numPr>
          <w:ilvl w:val="0"/>
          <w:numId w:val="1"/>
        </w:numPr>
        <w:tabs>
          <w:tab w:val="clear" w:pos="0"/>
          <w:tab w:val="num" w:pos="710"/>
        </w:tabs>
        <w:spacing w:after="240"/>
        <w:outlineLvl w:val="0"/>
        <w:rPr>
          <w:lang w:val="es-PE"/>
        </w:rPr>
      </w:pPr>
      <w:r>
        <w:rPr>
          <w:lang w:val="es-PE"/>
        </w:rPr>
        <w:t xml:space="preserve">En la solicitud del tramo presentada a la 87ª reunión, la ONUDI señaló, </w:t>
      </w:r>
      <w:proofErr w:type="gramStart"/>
      <w:r>
        <w:rPr>
          <w:lang w:val="es-PE"/>
        </w:rPr>
        <w:t>que</w:t>
      </w:r>
      <w:proofErr w:type="gramEnd"/>
      <w:r>
        <w:rPr>
          <w:lang w:val="es-PE"/>
        </w:rPr>
        <w:t xml:space="preserve"> a principios de 2019, las empresas beneficiarias habían realizado la conversión a la tecnología de R-410A por cuenta propia, y que se había procedido a la eliminación del consumo de HCFC-22 vinculado a esas empresas. El Gobierno de Filipinas también señaló que esas empresas podían integrarse al plan de reducción de los HFC, en caso de ser admisibles para la financiación, conforme a la decisión XXVIII/2.  </w:t>
      </w:r>
    </w:p>
    <w:p w14:paraId="2CE86D1C" w14:textId="0900B902" w:rsidR="008E0205" w:rsidRPr="008E0205" w:rsidRDefault="008E0205" w:rsidP="008E0205">
      <w:pPr>
        <w:numPr>
          <w:ilvl w:val="0"/>
          <w:numId w:val="1"/>
        </w:numPr>
        <w:tabs>
          <w:tab w:val="clear" w:pos="0"/>
          <w:tab w:val="num" w:pos="710"/>
        </w:tabs>
        <w:spacing w:after="240"/>
        <w:outlineLvl w:val="0"/>
        <w:rPr>
          <w:lang w:val="es-PE"/>
        </w:rPr>
      </w:pPr>
      <w:r>
        <w:rPr>
          <w:lang w:val="es-PE"/>
        </w:rPr>
        <w:lastRenderedPageBreak/>
        <w:t>La conversión de esas empresas se retrasó considerablemente debido a cambios en la gestión y la estructura de la Dirección General del Ozono de Filipinas y a un cambio en el organismo designado. En 2019, dos empresas (Panasonic y Hitachi) indicaron que prácticamente habían eliminado los HCFC-22 mediante la conversión a la tecnología de R-410A con recursos propios; en las posteriores discusiones con las otras dos empresas (</w:t>
      </w:r>
      <w:proofErr w:type="spellStart"/>
      <w:r>
        <w:rPr>
          <w:lang w:val="es-PE"/>
        </w:rPr>
        <w:t>Concepcion</w:t>
      </w:r>
      <w:proofErr w:type="spellEnd"/>
      <w:r>
        <w:rPr>
          <w:lang w:val="es-PE"/>
        </w:rPr>
        <w:t xml:space="preserve"> y Panasonic) también se señaló que prácticamente habían completado su conversión a la tecnología de R-410A con recursos propios.  </w:t>
      </w:r>
    </w:p>
    <w:p w14:paraId="6BAE8D2E" w14:textId="10FF3ED4" w:rsidR="008E0205" w:rsidRPr="008E0205" w:rsidRDefault="008E0205" w:rsidP="008E0205">
      <w:pPr>
        <w:numPr>
          <w:ilvl w:val="0"/>
          <w:numId w:val="1"/>
        </w:numPr>
        <w:tabs>
          <w:tab w:val="clear" w:pos="0"/>
          <w:tab w:val="num" w:pos="710"/>
        </w:tabs>
        <w:spacing w:after="240"/>
        <w:outlineLvl w:val="0"/>
        <w:rPr>
          <w:lang w:val="es-PE"/>
        </w:rPr>
      </w:pPr>
      <w:r>
        <w:rPr>
          <w:lang w:val="es-PE"/>
        </w:rPr>
        <w:t>Por medio de una comunicación oficial de fecha 19 de mayo de 2021, el Gobierno de Filipinas, tras la evaluación técnica de la actual situación en el sector de fabricación de acondicionadores de aire, pidió que la ONUDI</w:t>
      </w:r>
      <w:r w:rsidRPr="008E0205">
        <w:rPr>
          <w:lang w:val="es-PE"/>
        </w:rPr>
        <w:footnoteReference w:customMarkFollows="1" w:id="44"/>
        <w:t>44</w:t>
      </w:r>
      <w:r>
        <w:rPr>
          <w:lang w:val="es-PE"/>
        </w:rPr>
        <w:t xml:space="preserve"> cancelara el proyecto de conversión de las cuatro empresas fabricantes de acondicionadores de aire y que devolviera al Fondo Multilateral el saldo. </w:t>
      </w:r>
    </w:p>
    <w:p w14:paraId="226B1EE4" w14:textId="39BDF4F8" w:rsidR="008E0205" w:rsidRPr="008E0205" w:rsidRDefault="008E0205" w:rsidP="008E0205">
      <w:pPr>
        <w:numPr>
          <w:ilvl w:val="0"/>
          <w:numId w:val="1"/>
        </w:numPr>
        <w:tabs>
          <w:tab w:val="clear" w:pos="0"/>
          <w:tab w:val="num" w:pos="710"/>
        </w:tabs>
        <w:spacing w:after="240"/>
        <w:outlineLvl w:val="0"/>
        <w:rPr>
          <w:lang w:val="es-PE"/>
        </w:rPr>
      </w:pPr>
      <w:r>
        <w:rPr>
          <w:lang w:val="es-PE"/>
        </w:rPr>
        <w:t>Además de la financiación para la conversión de las cuatro empresas, se aprobó la cuantía de 211 000 $EUA para la asistencia técnica y el apoyo al sector de fabricación, con el fin de apoyar la manipulación segura de equipos de acondicionamiento de aire que utilizan refrigerantes inflamables. En los fondos restantes de la etapa II del plan de gestión de la eliminación de los HCFC se seguirá teniendo en cuenta dicha financiación para la asistencia técnica, y se utilizará para apoyar el sector de refrigeración y climatización, con el fin de estudiar el uso de equipos de menor PCA y de fomentar su absorción en el mercado.</w:t>
      </w:r>
    </w:p>
    <w:p w14:paraId="028CCA01" w14:textId="77777777" w:rsidR="008E0205" w:rsidRDefault="008E0205" w:rsidP="008E0205">
      <w:pPr>
        <w:pStyle w:val="Heading1"/>
        <w:numPr>
          <w:ilvl w:val="0"/>
          <w:numId w:val="0"/>
        </w:numPr>
        <w:tabs>
          <w:tab w:val="left" w:pos="720"/>
        </w:tabs>
        <w:rPr>
          <w:i/>
          <w:lang w:val="es-ES"/>
        </w:rPr>
      </w:pPr>
      <w:r>
        <w:rPr>
          <w:i/>
          <w:iCs/>
          <w:lang w:val="es-PE"/>
        </w:rPr>
        <w:t>Sector de servicio y mantenimiento de equipos de refrigeración</w:t>
      </w:r>
    </w:p>
    <w:p w14:paraId="6E2E2C2D" w14:textId="5C71DEF7" w:rsidR="008E0205" w:rsidRDefault="008E0205" w:rsidP="008E0205">
      <w:pPr>
        <w:numPr>
          <w:ilvl w:val="0"/>
          <w:numId w:val="1"/>
        </w:numPr>
        <w:tabs>
          <w:tab w:val="clear" w:pos="0"/>
          <w:tab w:val="num" w:pos="710"/>
        </w:tabs>
        <w:spacing w:after="240"/>
        <w:outlineLvl w:val="0"/>
        <w:rPr>
          <w:lang w:val="es-ES"/>
        </w:rPr>
      </w:pPr>
      <w:r>
        <w:rPr>
          <w:lang w:val="es-PE"/>
        </w:rPr>
        <w:t xml:space="preserve">El cambio de organismo de ejecución designado y las restricciones impuestas por la pandemia de COVID-19 han provocado importantes retrasos en la ejecución de las actividades en el sector de servicio y mantenimiento de los equipos de refrigeración. Se han entablado conversaciones con el centro de reciclado acerca de la ejecución de la recolección de HCFC y otros refrigerantes. </w:t>
      </w:r>
    </w:p>
    <w:p w14:paraId="7C61B3CE" w14:textId="77777777" w:rsidR="008E0205" w:rsidRDefault="008E0205" w:rsidP="008E0205">
      <w:pPr>
        <w:rPr>
          <w:i/>
          <w:lang w:val="es-ES"/>
        </w:rPr>
      </w:pPr>
      <w:proofErr w:type="spellStart"/>
      <w:r>
        <w:rPr>
          <w:i/>
          <w:iCs/>
          <w:lang w:val="es-PE"/>
        </w:rPr>
        <w:t>Ejecución</w:t>
      </w:r>
      <w:proofErr w:type="spellEnd"/>
      <w:r>
        <w:rPr>
          <w:i/>
          <w:iCs/>
          <w:lang w:val="es-PE"/>
        </w:rPr>
        <w:t xml:space="preserve"> y </w:t>
      </w:r>
      <w:proofErr w:type="spellStart"/>
      <w:r>
        <w:rPr>
          <w:i/>
          <w:iCs/>
          <w:lang w:val="es-PE"/>
        </w:rPr>
        <w:t>supervisión</w:t>
      </w:r>
      <w:proofErr w:type="spellEnd"/>
      <w:r>
        <w:rPr>
          <w:i/>
          <w:iCs/>
          <w:lang w:val="es-PE"/>
        </w:rPr>
        <w:t xml:space="preserve"> de proyectos</w:t>
      </w:r>
    </w:p>
    <w:p w14:paraId="4B3BE789" w14:textId="77777777" w:rsidR="008E0205" w:rsidRDefault="008E0205" w:rsidP="008E0205">
      <w:pPr>
        <w:rPr>
          <w:lang w:val="es-ES"/>
        </w:rPr>
      </w:pPr>
    </w:p>
    <w:p w14:paraId="542E5CCB" w14:textId="46A81CFF" w:rsidR="008E0205" w:rsidRDefault="008E0205" w:rsidP="008E0205">
      <w:pPr>
        <w:numPr>
          <w:ilvl w:val="0"/>
          <w:numId w:val="1"/>
        </w:numPr>
        <w:tabs>
          <w:tab w:val="clear" w:pos="0"/>
          <w:tab w:val="num" w:pos="710"/>
        </w:tabs>
        <w:spacing w:after="240"/>
        <w:outlineLvl w:val="0"/>
        <w:rPr>
          <w:lang w:val="es-ES"/>
        </w:rPr>
      </w:pPr>
      <w:r>
        <w:rPr>
          <w:lang w:val="es-PE"/>
        </w:rPr>
        <w:t xml:space="preserve">De los 75 000 $EUA asignados a la dependencia de gestión de proyectos para el primer tramo, se desembolsaron 25 500 $EUA para el personal de proyectos (17 500 $EUA) y para servicios de consultoría y la contratación de expertos (8 000 $EUA). </w:t>
      </w:r>
    </w:p>
    <w:p w14:paraId="11AAB26A" w14:textId="77777777" w:rsidR="008E0205" w:rsidRDefault="008E0205" w:rsidP="008E0205">
      <w:pPr>
        <w:pStyle w:val="Heading1"/>
        <w:keepNext/>
        <w:keepLines/>
        <w:numPr>
          <w:ilvl w:val="0"/>
          <w:numId w:val="0"/>
        </w:numPr>
        <w:tabs>
          <w:tab w:val="left" w:pos="720"/>
        </w:tabs>
        <w:rPr>
          <w:u w:val="single"/>
          <w:lang w:val="es-ES"/>
        </w:rPr>
      </w:pPr>
      <w:r>
        <w:rPr>
          <w:u w:val="single"/>
          <w:lang w:val="es-PE"/>
        </w:rPr>
        <w:t>Nivel de desembolso de los fondos</w:t>
      </w:r>
    </w:p>
    <w:p w14:paraId="5C8B37BD" w14:textId="0EAB3A41" w:rsidR="008E0205" w:rsidRDefault="008E0205" w:rsidP="008E0205">
      <w:pPr>
        <w:numPr>
          <w:ilvl w:val="0"/>
          <w:numId w:val="1"/>
        </w:numPr>
        <w:tabs>
          <w:tab w:val="clear" w:pos="0"/>
          <w:tab w:val="num" w:pos="710"/>
        </w:tabs>
        <w:spacing w:after="240"/>
        <w:outlineLvl w:val="0"/>
        <w:rPr>
          <w:lang w:val="es-ES"/>
        </w:rPr>
      </w:pPr>
      <w:r>
        <w:rPr>
          <w:lang w:val="es-PE"/>
        </w:rPr>
        <w:t xml:space="preserve">En mayo de 2021, de 1 010 023 $EUA aprobado a la fecha, se habían desembolsado 201 438 $EUA (21 por ciento); no se desembolsaron fondos para la conversión de las cuatro empresas fabricantes de acondicionadores de aire. </w:t>
      </w:r>
    </w:p>
    <w:p w14:paraId="63E64671" w14:textId="77777777" w:rsidR="008E0205" w:rsidRDefault="008E0205" w:rsidP="008E0205">
      <w:pPr>
        <w:keepNext/>
        <w:rPr>
          <w:u w:val="single"/>
          <w:lang w:val="es-ES"/>
        </w:rPr>
      </w:pPr>
      <w:r>
        <w:rPr>
          <w:u w:val="single"/>
          <w:lang w:val="es-PE"/>
        </w:rPr>
        <w:t xml:space="preserve">Ajustes en la financiación </w:t>
      </w:r>
    </w:p>
    <w:p w14:paraId="142955C3" w14:textId="77777777" w:rsidR="008E0205" w:rsidRDefault="008E0205" w:rsidP="008E0205">
      <w:pPr>
        <w:keepNext/>
        <w:rPr>
          <w:lang w:val="es-ES"/>
        </w:rPr>
      </w:pPr>
    </w:p>
    <w:p w14:paraId="10CBE539" w14:textId="50F1C64A" w:rsidR="008E0205" w:rsidRDefault="008E0205" w:rsidP="008E0205">
      <w:pPr>
        <w:numPr>
          <w:ilvl w:val="0"/>
          <w:numId w:val="1"/>
        </w:numPr>
        <w:tabs>
          <w:tab w:val="clear" w:pos="0"/>
          <w:tab w:val="num" w:pos="710"/>
        </w:tabs>
        <w:spacing w:after="240"/>
        <w:outlineLvl w:val="0"/>
        <w:rPr>
          <w:lang w:val="es-ES"/>
        </w:rPr>
      </w:pPr>
      <w:r>
        <w:rPr>
          <w:lang w:val="es-PE"/>
        </w:rPr>
        <w:t>Tras deducir la financiación para el plan del sector de fabricación de acondicionadores de aire (1 793 307 $EUA) y eliminar el componente de financiación de la dependencia de gestión de proyectos vinculado al sector de equipos de refrigeración y aire acondicionado (145 000 $EUA), el total de los fondos restantes de la etapa II asciende a 811 750 $EUA, más gastos de apoyo del organismo de 56 823 $EUA. La ONUDI devolverá al Fondo Multilateral 212 152 $EUA de los fondos que ya se habían suministrado en el primer tramo, más gastos de apoyo del organismo, como se indica en el Cuadro 10.</w:t>
      </w:r>
    </w:p>
    <w:p w14:paraId="792564D7" w14:textId="77777777" w:rsidR="008E0205" w:rsidRDefault="008E0205" w:rsidP="008E0205">
      <w:pPr>
        <w:pStyle w:val="Heading1"/>
        <w:keepNext/>
        <w:keepLines/>
        <w:numPr>
          <w:ilvl w:val="0"/>
          <w:numId w:val="0"/>
        </w:numPr>
        <w:tabs>
          <w:tab w:val="left" w:pos="720"/>
        </w:tabs>
        <w:spacing w:after="0"/>
        <w:rPr>
          <w:b/>
          <w:bCs/>
          <w:lang w:val="es-ES"/>
        </w:rPr>
      </w:pPr>
      <w:r>
        <w:rPr>
          <w:b/>
          <w:bCs/>
          <w:lang w:val="es-PE"/>
        </w:rPr>
        <w:lastRenderedPageBreak/>
        <w:t>Cuadro 10. Financiación revisada de la etapa II del plan de gestión de la eliminación de los HCFC para Filipinas ($EUA).</w:t>
      </w:r>
    </w:p>
    <w:tbl>
      <w:tblPr>
        <w:tblW w:w="9360" w:type="dxa"/>
        <w:tblInd w:w="-5" w:type="dxa"/>
        <w:tblLayout w:type="fixed"/>
        <w:tblLook w:val="04A0" w:firstRow="1" w:lastRow="0" w:firstColumn="1" w:lastColumn="0" w:noHBand="0" w:noVBand="1"/>
      </w:tblPr>
      <w:tblGrid>
        <w:gridCol w:w="1982"/>
        <w:gridCol w:w="1476"/>
        <w:gridCol w:w="1475"/>
        <w:gridCol w:w="1476"/>
        <w:gridCol w:w="1475"/>
        <w:gridCol w:w="1476"/>
      </w:tblGrid>
      <w:tr w:rsidR="008E0205" w:rsidRPr="00305D02" w14:paraId="7F5E95F2" w14:textId="77777777" w:rsidTr="008E0205">
        <w:tc>
          <w:tcPr>
            <w:tcW w:w="1980" w:type="dxa"/>
            <w:tcBorders>
              <w:top w:val="single" w:sz="4" w:space="0" w:color="auto"/>
              <w:left w:val="single" w:sz="4" w:space="0" w:color="auto"/>
              <w:bottom w:val="single" w:sz="4" w:space="0" w:color="auto"/>
              <w:right w:val="single" w:sz="4" w:space="0" w:color="auto"/>
            </w:tcBorders>
            <w:noWrap/>
            <w:vAlign w:val="center"/>
            <w:hideMark/>
          </w:tcPr>
          <w:p w14:paraId="2A9A8198" w14:textId="77777777" w:rsidR="008E0205" w:rsidRDefault="008E0205">
            <w:pPr>
              <w:keepNext/>
              <w:keepLines/>
              <w:jc w:val="left"/>
              <w:rPr>
                <w:b/>
                <w:bCs/>
                <w:sz w:val="20"/>
                <w:szCs w:val="20"/>
                <w:lang w:eastAsia="en-GB"/>
              </w:rPr>
            </w:pPr>
            <w:r>
              <w:rPr>
                <w:b/>
                <w:bCs/>
                <w:sz w:val="20"/>
                <w:szCs w:val="20"/>
                <w:lang w:val="es-PE" w:eastAsia="en-GB"/>
              </w:rPr>
              <w:t>Componente de financiación</w:t>
            </w:r>
          </w:p>
        </w:tc>
        <w:tc>
          <w:tcPr>
            <w:tcW w:w="1475" w:type="dxa"/>
            <w:tcBorders>
              <w:top w:val="single" w:sz="4" w:space="0" w:color="auto"/>
              <w:left w:val="nil"/>
              <w:bottom w:val="single" w:sz="4" w:space="0" w:color="auto"/>
              <w:right w:val="single" w:sz="4" w:space="0" w:color="auto"/>
            </w:tcBorders>
            <w:hideMark/>
          </w:tcPr>
          <w:p w14:paraId="046A76DE" w14:textId="77777777" w:rsidR="008E0205" w:rsidRDefault="008E0205">
            <w:pPr>
              <w:keepNext/>
              <w:keepLines/>
              <w:jc w:val="center"/>
              <w:rPr>
                <w:b/>
                <w:bCs/>
                <w:color w:val="000000"/>
                <w:sz w:val="20"/>
                <w:szCs w:val="20"/>
                <w:lang w:val="es-ES" w:eastAsia="en-GB"/>
              </w:rPr>
            </w:pPr>
            <w:r>
              <w:rPr>
                <w:b/>
                <w:bCs/>
                <w:color w:val="000000"/>
                <w:sz w:val="20"/>
                <w:szCs w:val="20"/>
                <w:lang w:val="es-PE" w:eastAsia="en-GB"/>
              </w:rPr>
              <w:t>Costos aprobados de la etapa II</w:t>
            </w:r>
          </w:p>
        </w:tc>
        <w:tc>
          <w:tcPr>
            <w:tcW w:w="1475" w:type="dxa"/>
            <w:tcBorders>
              <w:top w:val="single" w:sz="4" w:space="0" w:color="auto"/>
              <w:left w:val="nil"/>
              <w:bottom w:val="single" w:sz="4" w:space="0" w:color="auto"/>
              <w:right w:val="single" w:sz="4" w:space="0" w:color="auto"/>
            </w:tcBorders>
            <w:hideMark/>
          </w:tcPr>
          <w:p w14:paraId="035EE38A" w14:textId="77777777" w:rsidR="008E0205" w:rsidRDefault="008E0205">
            <w:pPr>
              <w:keepNext/>
              <w:keepLines/>
              <w:jc w:val="center"/>
              <w:rPr>
                <w:b/>
                <w:bCs/>
                <w:color w:val="000000"/>
                <w:sz w:val="20"/>
                <w:szCs w:val="20"/>
                <w:lang w:val="es-ES" w:eastAsia="en-GB"/>
              </w:rPr>
            </w:pPr>
            <w:r>
              <w:rPr>
                <w:b/>
                <w:bCs/>
                <w:color w:val="000000"/>
                <w:sz w:val="20"/>
                <w:szCs w:val="20"/>
                <w:lang w:val="es-PE" w:eastAsia="en-GB"/>
              </w:rPr>
              <w:t>Cuantía que se eliminará del Acuerdo</w:t>
            </w:r>
          </w:p>
        </w:tc>
        <w:tc>
          <w:tcPr>
            <w:tcW w:w="1476" w:type="dxa"/>
            <w:tcBorders>
              <w:top w:val="single" w:sz="4" w:space="0" w:color="auto"/>
              <w:left w:val="nil"/>
              <w:bottom w:val="single" w:sz="4" w:space="0" w:color="auto"/>
              <w:right w:val="single" w:sz="4" w:space="0" w:color="auto"/>
            </w:tcBorders>
            <w:hideMark/>
          </w:tcPr>
          <w:p w14:paraId="6A4BE425" w14:textId="77777777" w:rsidR="008E0205" w:rsidRDefault="008E0205">
            <w:pPr>
              <w:keepNext/>
              <w:keepLines/>
              <w:jc w:val="center"/>
              <w:rPr>
                <w:b/>
                <w:bCs/>
                <w:color w:val="000000"/>
                <w:sz w:val="20"/>
                <w:szCs w:val="20"/>
                <w:lang w:val="es-ES" w:eastAsia="en-GB"/>
              </w:rPr>
            </w:pPr>
            <w:r>
              <w:rPr>
                <w:b/>
                <w:bCs/>
                <w:color w:val="000000"/>
                <w:sz w:val="20"/>
                <w:szCs w:val="20"/>
                <w:lang w:val="es-PE" w:eastAsia="en-GB"/>
              </w:rPr>
              <w:t>Costos del proyecto revisados de la etapa II</w:t>
            </w:r>
          </w:p>
        </w:tc>
        <w:tc>
          <w:tcPr>
            <w:tcW w:w="1475" w:type="dxa"/>
            <w:tcBorders>
              <w:top w:val="single" w:sz="4" w:space="0" w:color="auto"/>
              <w:left w:val="nil"/>
              <w:bottom w:val="single" w:sz="4" w:space="0" w:color="auto"/>
              <w:right w:val="single" w:sz="4" w:space="0" w:color="auto"/>
            </w:tcBorders>
            <w:hideMark/>
          </w:tcPr>
          <w:p w14:paraId="7C7C566D" w14:textId="77777777" w:rsidR="008E0205" w:rsidRDefault="008E0205">
            <w:pPr>
              <w:keepNext/>
              <w:keepLines/>
              <w:jc w:val="center"/>
              <w:rPr>
                <w:b/>
                <w:bCs/>
                <w:color w:val="000000"/>
                <w:sz w:val="20"/>
                <w:szCs w:val="20"/>
                <w:lang w:val="es-ES" w:eastAsia="en-GB"/>
              </w:rPr>
            </w:pPr>
            <w:r>
              <w:rPr>
                <w:b/>
                <w:bCs/>
                <w:color w:val="000000"/>
                <w:sz w:val="20"/>
                <w:szCs w:val="20"/>
                <w:lang w:val="es-PE" w:eastAsia="en-GB"/>
              </w:rPr>
              <w:t>Aprobados en el primer tramo</w:t>
            </w:r>
          </w:p>
        </w:tc>
        <w:tc>
          <w:tcPr>
            <w:tcW w:w="1476" w:type="dxa"/>
            <w:tcBorders>
              <w:top w:val="single" w:sz="4" w:space="0" w:color="auto"/>
              <w:left w:val="nil"/>
              <w:bottom w:val="single" w:sz="4" w:space="0" w:color="auto"/>
              <w:right w:val="single" w:sz="4" w:space="0" w:color="auto"/>
            </w:tcBorders>
            <w:hideMark/>
          </w:tcPr>
          <w:p w14:paraId="490C7E85" w14:textId="77777777" w:rsidR="008E0205" w:rsidRDefault="008E0205">
            <w:pPr>
              <w:keepNext/>
              <w:keepLines/>
              <w:jc w:val="center"/>
              <w:rPr>
                <w:b/>
                <w:bCs/>
                <w:sz w:val="20"/>
                <w:szCs w:val="20"/>
                <w:lang w:val="es-ES" w:eastAsia="en-GB"/>
              </w:rPr>
            </w:pPr>
            <w:r>
              <w:rPr>
                <w:b/>
                <w:bCs/>
                <w:sz w:val="20"/>
                <w:szCs w:val="20"/>
                <w:lang w:val="es-PE" w:eastAsia="en-GB"/>
              </w:rPr>
              <w:t>Cuantía que se deberá devolver al Fondo</w:t>
            </w:r>
          </w:p>
        </w:tc>
      </w:tr>
      <w:tr w:rsidR="008E0205" w14:paraId="05BAF495" w14:textId="77777777" w:rsidTr="008E0205">
        <w:tc>
          <w:tcPr>
            <w:tcW w:w="1980" w:type="dxa"/>
            <w:tcBorders>
              <w:top w:val="nil"/>
              <w:left w:val="single" w:sz="4" w:space="0" w:color="auto"/>
              <w:bottom w:val="single" w:sz="4" w:space="0" w:color="auto"/>
              <w:right w:val="single" w:sz="4" w:space="0" w:color="auto"/>
            </w:tcBorders>
            <w:hideMark/>
          </w:tcPr>
          <w:p w14:paraId="6AAB58C0" w14:textId="77777777" w:rsidR="008E0205" w:rsidRDefault="008E0205">
            <w:pPr>
              <w:jc w:val="left"/>
              <w:rPr>
                <w:color w:val="000000"/>
                <w:sz w:val="20"/>
                <w:szCs w:val="20"/>
                <w:lang w:val="es-ES" w:eastAsia="en-GB"/>
              </w:rPr>
            </w:pPr>
            <w:r>
              <w:rPr>
                <w:color w:val="000000"/>
                <w:sz w:val="20"/>
                <w:szCs w:val="20"/>
                <w:lang w:val="es-PE" w:eastAsia="en-GB"/>
              </w:rPr>
              <w:t>Proyecto de conversión en las empresas fabricantes</w:t>
            </w:r>
          </w:p>
        </w:tc>
        <w:tc>
          <w:tcPr>
            <w:tcW w:w="1475" w:type="dxa"/>
            <w:tcBorders>
              <w:top w:val="nil"/>
              <w:left w:val="nil"/>
              <w:bottom w:val="single" w:sz="4" w:space="0" w:color="auto"/>
              <w:right w:val="single" w:sz="4" w:space="0" w:color="auto"/>
            </w:tcBorders>
            <w:noWrap/>
            <w:hideMark/>
          </w:tcPr>
          <w:p w14:paraId="4A78B70F" w14:textId="77777777" w:rsidR="008E0205" w:rsidRDefault="008E0205">
            <w:pPr>
              <w:jc w:val="right"/>
              <w:rPr>
                <w:color w:val="000000"/>
                <w:sz w:val="20"/>
                <w:szCs w:val="20"/>
                <w:lang w:eastAsia="en-GB"/>
              </w:rPr>
            </w:pPr>
            <w:r>
              <w:rPr>
                <w:color w:val="000000"/>
                <w:sz w:val="20"/>
                <w:szCs w:val="20"/>
                <w:lang w:val="es-PE" w:eastAsia="en-GB"/>
              </w:rPr>
              <w:t>1 793 307</w:t>
            </w:r>
          </w:p>
        </w:tc>
        <w:tc>
          <w:tcPr>
            <w:tcW w:w="1475" w:type="dxa"/>
            <w:tcBorders>
              <w:top w:val="nil"/>
              <w:left w:val="nil"/>
              <w:bottom w:val="single" w:sz="4" w:space="0" w:color="auto"/>
              <w:right w:val="single" w:sz="4" w:space="0" w:color="auto"/>
            </w:tcBorders>
            <w:noWrap/>
            <w:hideMark/>
          </w:tcPr>
          <w:p w14:paraId="14139737" w14:textId="77777777" w:rsidR="008E0205" w:rsidRDefault="008E0205">
            <w:pPr>
              <w:jc w:val="right"/>
              <w:rPr>
                <w:color w:val="000000"/>
                <w:sz w:val="20"/>
                <w:szCs w:val="20"/>
                <w:lang w:eastAsia="en-GB"/>
              </w:rPr>
            </w:pPr>
            <w:r>
              <w:rPr>
                <w:color w:val="000000"/>
                <w:sz w:val="20"/>
                <w:szCs w:val="20"/>
                <w:lang w:val="es-PE" w:eastAsia="en-GB"/>
              </w:rPr>
              <w:t>1 793 307</w:t>
            </w:r>
          </w:p>
        </w:tc>
        <w:tc>
          <w:tcPr>
            <w:tcW w:w="1476" w:type="dxa"/>
            <w:tcBorders>
              <w:top w:val="nil"/>
              <w:left w:val="nil"/>
              <w:bottom w:val="single" w:sz="4" w:space="0" w:color="auto"/>
              <w:right w:val="single" w:sz="4" w:space="0" w:color="auto"/>
            </w:tcBorders>
            <w:noWrap/>
            <w:hideMark/>
          </w:tcPr>
          <w:p w14:paraId="4E9CC783" w14:textId="77777777" w:rsidR="008E0205" w:rsidRDefault="008E0205">
            <w:pPr>
              <w:jc w:val="right"/>
              <w:rPr>
                <w:color w:val="000000"/>
                <w:sz w:val="20"/>
                <w:szCs w:val="20"/>
                <w:lang w:eastAsia="en-GB"/>
              </w:rPr>
            </w:pPr>
            <w:r>
              <w:rPr>
                <w:color w:val="000000"/>
                <w:sz w:val="20"/>
                <w:szCs w:val="20"/>
                <w:lang w:val="es-PE" w:eastAsia="en-GB"/>
              </w:rPr>
              <w:t>0</w:t>
            </w:r>
          </w:p>
        </w:tc>
        <w:tc>
          <w:tcPr>
            <w:tcW w:w="1475" w:type="dxa"/>
            <w:tcBorders>
              <w:top w:val="nil"/>
              <w:left w:val="nil"/>
              <w:bottom w:val="single" w:sz="4" w:space="0" w:color="auto"/>
              <w:right w:val="single" w:sz="4" w:space="0" w:color="auto"/>
            </w:tcBorders>
            <w:noWrap/>
            <w:hideMark/>
          </w:tcPr>
          <w:p w14:paraId="6F9EBEB5" w14:textId="77777777" w:rsidR="008E0205" w:rsidRDefault="008E0205">
            <w:pPr>
              <w:jc w:val="right"/>
              <w:rPr>
                <w:color w:val="000000"/>
                <w:sz w:val="20"/>
                <w:szCs w:val="20"/>
                <w:lang w:eastAsia="en-GB"/>
              </w:rPr>
            </w:pPr>
            <w:r>
              <w:rPr>
                <w:color w:val="000000"/>
                <w:sz w:val="20"/>
                <w:szCs w:val="20"/>
                <w:lang w:val="es-PE" w:eastAsia="en-GB"/>
              </w:rPr>
              <w:t>642 783</w:t>
            </w:r>
          </w:p>
        </w:tc>
        <w:tc>
          <w:tcPr>
            <w:tcW w:w="1476" w:type="dxa"/>
            <w:tcBorders>
              <w:top w:val="nil"/>
              <w:left w:val="nil"/>
              <w:bottom w:val="single" w:sz="4" w:space="0" w:color="auto"/>
              <w:right w:val="single" w:sz="4" w:space="0" w:color="auto"/>
            </w:tcBorders>
            <w:noWrap/>
            <w:hideMark/>
          </w:tcPr>
          <w:p w14:paraId="380728F4" w14:textId="77777777" w:rsidR="008E0205" w:rsidRDefault="008E0205">
            <w:pPr>
              <w:jc w:val="right"/>
              <w:rPr>
                <w:b/>
                <w:bCs/>
                <w:sz w:val="20"/>
                <w:szCs w:val="20"/>
                <w:lang w:eastAsia="en-GB"/>
              </w:rPr>
            </w:pPr>
            <w:r>
              <w:rPr>
                <w:b/>
                <w:bCs/>
                <w:sz w:val="20"/>
                <w:szCs w:val="20"/>
                <w:lang w:val="es-PE" w:eastAsia="en-GB"/>
              </w:rPr>
              <w:t>-642 783</w:t>
            </w:r>
          </w:p>
        </w:tc>
      </w:tr>
      <w:tr w:rsidR="008E0205" w14:paraId="2FF1C7B6" w14:textId="77777777" w:rsidTr="008E0205">
        <w:tc>
          <w:tcPr>
            <w:tcW w:w="1980" w:type="dxa"/>
            <w:tcBorders>
              <w:top w:val="nil"/>
              <w:left w:val="single" w:sz="4" w:space="0" w:color="auto"/>
              <w:bottom w:val="single" w:sz="4" w:space="0" w:color="auto"/>
              <w:right w:val="single" w:sz="4" w:space="0" w:color="auto"/>
            </w:tcBorders>
            <w:noWrap/>
            <w:hideMark/>
          </w:tcPr>
          <w:p w14:paraId="7045A6BB" w14:textId="77777777" w:rsidR="008E0205" w:rsidRDefault="008E0205">
            <w:pPr>
              <w:jc w:val="left"/>
              <w:rPr>
                <w:color w:val="000000"/>
                <w:sz w:val="20"/>
                <w:szCs w:val="20"/>
                <w:lang w:val="es-ES" w:eastAsia="en-GB"/>
              </w:rPr>
            </w:pPr>
            <w:r>
              <w:rPr>
                <w:color w:val="000000"/>
                <w:sz w:val="20"/>
                <w:szCs w:val="20"/>
                <w:lang w:val="es-PE" w:eastAsia="en-GB"/>
              </w:rPr>
              <w:t>Asistencia técnica para las empresas</w:t>
            </w:r>
          </w:p>
        </w:tc>
        <w:tc>
          <w:tcPr>
            <w:tcW w:w="1475" w:type="dxa"/>
            <w:tcBorders>
              <w:top w:val="nil"/>
              <w:left w:val="nil"/>
              <w:bottom w:val="single" w:sz="4" w:space="0" w:color="auto"/>
              <w:right w:val="single" w:sz="4" w:space="0" w:color="auto"/>
            </w:tcBorders>
            <w:noWrap/>
            <w:hideMark/>
          </w:tcPr>
          <w:p w14:paraId="3B1A5363" w14:textId="77777777" w:rsidR="008E0205" w:rsidRDefault="008E0205">
            <w:pPr>
              <w:jc w:val="right"/>
              <w:rPr>
                <w:color w:val="000000"/>
                <w:sz w:val="20"/>
                <w:szCs w:val="20"/>
                <w:lang w:eastAsia="en-GB"/>
              </w:rPr>
            </w:pPr>
            <w:r>
              <w:rPr>
                <w:color w:val="000000"/>
                <w:sz w:val="20"/>
                <w:szCs w:val="20"/>
                <w:lang w:val="es-PE" w:eastAsia="en-GB"/>
              </w:rPr>
              <w:t>211 000</w:t>
            </w:r>
          </w:p>
        </w:tc>
        <w:tc>
          <w:tcPr>
            <w:tcW w:w="1475" w:type="dxa"/>
            <w:tcBorders>
              <w:top w:val="nil"/>
              <w:left w:val="nil"/>
              <w:bottom w:val="single" w:sz="4" w:space="0" w:color="auto"/>
              <w:right w:val="single" w:sz="4" w:space="0" w:color="auto"/>
            </w:tcBorders>
            <w:noWrap/>
            <w:hideMark/>
          </w:tcPr>
          <w:p w14:paraId="7BFDD5C0" w14:textId="77777777" w:rsidR="008E0205" w:rsidRDefault="008E0205">
            <w:pPr>
              <w:jc w:val="right"/>
              <w:rPr>
                <w:color w:val="000000"/>
                <w:sz w:val="20"/>
                <w:szCs w:val="20"/>
                <w:lang w:eastAsia="en-GB"/>
              </w:rPr>
            </w:pPr>
            <w:r>
              <w:rPr>
                <w:color w:val="000000"/>
                <w:sz w:val="20"/>
                <w:szCs w:val="20"/>
                <w:lang w:val="es-PE" w:eastAsia="en-GB"/>
              </w:rPr>
              <w:t>0</w:t>
            </w:r>
          </w:p>
        </w:tc>
        <w:tc>
          <w:tcPr>
            <w:tcW w:w="1476" w:type="dxa"/>
            <w:tcBorders>
              <w:top w:val="nil"/>
              <w:left w:val="nil"/>
              <w:bottom w:val="single" w:sz="4" w:space="0" w:color="auto"/>
              <w:right w:val="single" w:sz="4" w:space="0" w:color="auto"/>
            </w:tcBorders>
            <w:noWrap/>
            <w:hideMark/>
          </w:tcPr>
          <w:p w14:paraId="53FE3051" w14:textId="77777777" w:rsidR="008E0205" w:rsidRDefault="008E0205">
            <w:pPr>
              <w:jc w:val="right"/>
              <w:rPr>
                <w:color w:val="000000"/>
                <w:sz w:val="20"/>
                <w:szCs w:val="20"/>
                <w:lang w:eastAsia="en-GB"/>
              </w:rPr>
            </w:pPr>
            <w:r>
              <w:rPr>
                <w:color w:val="000000"/>
                <w:sz w:val="20"/>
                <w:szCs w:val="20"/>
                <w:lang w:val="es-PE" w:eastAsia="en-GB"/>
              </w:rPr>
              <w:t>211 000</w:t>
            </w:r>
          </w:p>
        </w:tc>
        <w:tc>
          <w:tcPr>
            <w:tcW w:w="1475" w:type="dxa"/>
            <w:tcBorders>
              <w:top w:val="nil"/>
              <w:left w:val="nil"/>
              <w:bottom w:val="single" w:sz="4" w:space="0" w:color="auto"/>
              <w:right w:val="single" w:sz="4" w:space="0" w:color="auto"/>
            </w:tcBorders>
            <w:noWrap/>
            <w:hideMark/>
          </w:tcPr>
          <w:p w14:paraId="59908025" w14:textId="77777777" w:rsidR="008E0205" w:rsidRDefault="008E0205">
            <w:pPr>
              <w:jc w:val="right"/>
              <w:rPr>
                <w:color w:val="000000"/>
                <w:sz w:val="20"/>
                <w:szCs w:val="20"/>
                <w:lang w:eastAsia="en-GB"/>
              </w:rPr>
            </w:pPr>
            <w:r>
              <w:rPr>
                <w:color w:val="000000"/>
                <w:sz w:val="20"/>
                <w:szCs w:val="20"/>
                <w:lang w:val="es-PE" w:eastAsia="en-GB"/>
              </w:rPr>
              <w:t>99 146</w:t>
            </w:r>
          </w:p>
        </w:tc>
        <w:tc>
          <w:tcPr>
            <w:tcW w:w="1476" w:type="dxa"/>
            <w:tcBorders>
              <w:top w:val="nil"/>
              <w:left w:val="nil"/>
              <w:bottom w:val="single" w:sz="4" w:space="0" w:color="auto"/>
              <w:right w:val="single" w:sz="4" w:space="0" w:color="auto"/>
            </w:tcBorders>
            <w:noWrap/>
            <w:hideMark/>
          </w:tcPr>
          <w:p w14:paraId="1790FACA" w14:textId="77777777" w:rsidR="008E0205" w:rsidRDefault="008E0205">
            <w:pPr>
              <w:jc w:val="right"/>
              <w:rPr>
                <w:b/>
                <w:bCs/>
                <w:sz w:val="20"/>
                <w:szCs w:val="20"/>
                <w:lang w:eastAsia="en-GB"/>
              </w:rPr>
            </w:pPr>
            <w:r>
              <w:rPr>
                <w:b/>
                <w:bCs/>
                <w:sz w:val="20"/>
                <w:szCs w:val="20"/>
                <w:lang w:val="es-PE" w:eastAsia="en-GB"/>
              </w:rPr>
              <w:t>111 854</w:t>
            </w:r>
          </w:p>
        </w:tc>
      </w:tr>
      <w:tr w:rsidR="008E0205" w14:paraId="3FCD56AF" w14:textId="77777777" w:rsidTr="008E0205">
        <w:tc>
          <w:tcPr>
            <w:tcW w:w="1980" w:type="dxa"/>
            <w:tcBorders>
              <w:top w:val="nil"/>
              <w:left w:val="single" w:sz="4" w:space="0" w:color="auto"/>
              <w:bottom w:val="single" w:sz="4" w:space="0" w:color="auto"/>
              <w:right w:val="single" w:sz="4" w:space="0" w:color="auto"/>
            </w:tcBorders>
            <w:noWrap/>
            <w:hideMark/>
          </w:tcPr>
          <w:p w14:paraId="69877106" w14:textId="77777777" w:rsidR="008E0205" w:rsidRDefault="008E0205">
            <w:pPr>
              <w:jc w:val="left"/>
              <w:rPr>
                <w:color w:val="000000"/>
                <w:sz w:val="20"/>
                <w:szCs w:val="20"/>
                <w:lang w:val="es-ES" w:eastAsia="en-GB"/>
              </w:rPr>
            </w:pPr>
            <w:bookmarkStart w:id="2" w:name="RANGE!S5"/>
            <w:r>
              <w:rPr>
                <w:color w:val="000000"/>
                <w:sz w:val="20"/>
                <w:szCs w:val="20"/>
                <w:lang w:val="es-PE" w:eastAsia="en-GB"/>
              </w:rPr>
              <w:t>Actividades de eliminación en el sector de servicio y mantenimiento</w:t>
            </w:r>
            <w:bookmarkEnd w:id="2"/>
          </w:p>
        </w:tc>
        <w:tc>
          <w:tcPr>
            <w:tcW w:w="1475" w:type="dxa"/>
            <w:tcBorders>
              <w:top w:val="nil"/>
              <w:left w:val="nil"/>
              <w:bottom w:val="single" w:sz="4" w:space="0" w:color="auto"/>
              <w:right w:val="single" w:sz="4" w:space="0" w:color="auto"/>
            </w:tcBorders>
            <w:noWrap/>
            <w:hideMark/>
          </w:tcPr>
          <w:p w14:paraId="0C07E034" w14:textId="77777777" w:rsidR="008E0205" w:rsidRDefault="008E0205">
            <w:pPr>
              <w:jc w:val="right"/>
              <w:rPr>
                <w:color w:val="000000"/>
                <w:sz w:val="20"/>
                <w:szCs w:val="20"/>
                <w:lang w:eastAsia="en-GB"/>
              </w:rPr>
            </w:pPr>
            <w:r>
              <w:rPr>
                <w:color w:val="000000"/>
                <w:sz w:val="20"/>
                <w:szCs w:val="20"/>
                <w:lang w:val="es-PE" w:eastAsia="en-GB"/>
              </w:rPr>
              <w:t>525 750</w:t>
            </w:r>
          </w:p>
        </w:tc>
        <w:tc>
          <w:tcPr>
            <w:tcW w:w="1475" w:type="dxa"/>
            <w:tcBorders>
              <w:top w:val="nil"/>
              <w:left w:val="nil"/>
              <w:bottom w:val="single" w:sz="4" w:space="0" w:color="auto"/>
              <w:right w:val="single" w:sz="4" w:space="0" w:color="auto"/>
            </w:tcBorders>
            <w:noWrap/>
            <w:hideMark/>
          </w:tcPr>
          <w:p w14:paraId="2530E962" w14:textId="77777777" w:rsidR="008E0205" w:rsidRDefault="008E0205">
            <w:pPr>
              <w:jc w:val="right"/>
              <w:rPr>
                <w:color w:val="000000"/>
                <w:sz w:val="20"/>
                <w:szCs w:val="20"/>
                <w:lang w:eastAsia="en-GB"/>
              </w:rPr>
            </w:pPr>
            <w:r>
              <w:rPr>
                <w:color w:val="000000"/>
                <w:sz w:val="20"/>
                <w:szCs w:val="20"/>
                <w:lang w:val="es-PE" w:eastAsia="en-GB"/>
              </w:rPr>
              <w:t>0</w:t>
            </w:r>
          </w:p>
        </w:tc>
        <w:tc>
          <w:tcPr>
            <w:tcW w:w="1476" w:type="dxa"/>
            <w:tcBorders>
              <w:top w:val="nil"/>
              <w:left w:val="nil"/>
              <w:bottom w:val="single" w:sz="4" w:space="0" w:color="auto"/>
              <w:right w:val="single" w:sz="4" w:space="0" w:color="auto"/>
            </w:tcBorders>
            <w:noWrap/>
            <w:hideMark/>
          </w:tcPr>
          <w:p w14:paraId="60761ACF" w14:textId="77777777" w:rsidR="008E0205" w:rsidRDefault="008E0205">
            <w:pPr>
              <w:jc w:val="right"/>
              <w:rPr>
                <w:color w:val="000000"/>
                <w:sz w:val="20"/>
                <w:szCs w:val="20"/>
                <w:lang w:eastAsia="en-GB"/>
              </w:rPr>
            </w:pPr>
            <w:r>
              <w:rPr>
                <w:color w:val="000000"/>
                <w:sz w:val="20"/>
                <w:szCs w:val="20"/>
                <w:lang w:val="es-PE" w:eastAsia="en-GB"/>
              </w:rPr>
              <w:t>525 750</w:t>
            </w:r>
          </w:p>
        </w:tc>
        <w:tc>
          <w:tcPr>
            <w:tcW w:w="1475" w:type="dxa"/>
            <w:tcBorders>
              <w:top w:val="nil"/>
              <w:left w:val="nil"/>
              <w:bottom w:val="single" w:sz="4" w:space="0" w:color="auto"/>
              <w:right w:val="single" w:sz="4" w:space="0" w:color="auto"/>
            </w:tcBorders>
            <w:noWrap/>
            <w:hideMark/>
          </w:tcPr>
          <w:p w14:paraId="2DEF589C" w14:textId="77777777" w:rsidR="008E0205" w:rsidRDefault="008E0205">
            <w:pPr>
              <w:jc w:val="right"/>
              <w:rPr>
                <w:color w:val="000000"/>
                <w:sz w:val="20"/>
                <w:szCs w:val="20"/>
                <w:lang w:eastAsia="en-GB"/>
              </w:rPr>
            </w:pPr>
            <w:r>
              <w:rPr>
                <w:color w:val="000000"/>
                <w:sz w:val="20"/>
                <w:szCs w:val="20"/>
                <w:lang w:val="es-PE" w:eastAsia="en-GB"/>
              </w:rPr>
              <w:t>193 094</w:t>
            </w:r>
          </w:p>
        </w:tc>
        <w:tc>
          <w:tcPr>
            <w:tcW w:w="1476" w:type="dxa"/>
            <w:tcBorders>
              <w:top w:val="nil"/>
              <w:left w:val="nil"/>
              <w:bottom w:val="single" w:sz="4" w:space="0" w:color="auto"/>
              <w:right w:val="single" w:sz="4" w:space="0" w:color="auto"/>
            </w:tcBorders>
            <w:noWrap/>
            <w:hideMark/>
          </w:tcPr>
          <w:p w14:paraId="5227113E" w14:textId="77777777" w:rsidR="008E0205" w:rsidRDefault="008E0205">
            <w:pPr>
              <w:jc w:val="right"/>
              <w:rPr>
                <w:b/>
                <w:bCs/>
                <w:sz w:val="20"/>
                <w:szCs w:val="20"/>
                <w:lang w:eastAsia="en-GB"/>
              </w:rPr>
            </w:pPr>
            <w:r>
              <w:rPr>
                <w:b/>
                <w:bCs/>
                <w:sz w:val="20"/>
                <w:szCs w:val="20"/>
                <w:lang w:val="es-PE" w:eastAsia="en-GB"/>
              </w:rPr>
              <w:t>332 656</w:t>
            </w:r>
          </w:p>
        </w:tc>
      </w:tr>
      <w:tr w:rsidR="008E0205" w14:paraId="56BC8293" w14:textId="77777777" w:rsidTr="008E0205">
        <w:tc>
          <w:tcPr>
            <w:tcW w:w="1980" w:type="dxa"/>
            <w:tcBorders>
              <w:top w:val="nil"/>
              <w:left w:val="single" w:sz="4" w:space="0" w:color="auto"/>
              <w:bottom w:val="single" w:sz="4" w:space="0" w:color="auto"/>
              <w:right w:val="single" w:sz="4" w:space="0" w:color="auto"/>
            </w:tcBorders>
            <w:noWrap/>
            <w:hideMark/>
          </w:tcPr>
          <w:p w14:paraId="43834546" w14:textId="77777777" w:rsidR="008E0205" w:rsidRDefault="008E0205">
            <w:pPr>
              <w:jc w:val="left"/>
              <w:rPr>
                <w:color w:val="000000"/>
                <w:sz w:val="20"/>
                <w:szCs w:val="20"/>
                <w:lang w:val="es-ES" w:eastAsia="en-GB"/>
              </w:rPr>
            </w:pPr>
            <w:r>
              <w:rPr>
                <w:color w:val="000000"/>
                <w:sz w:val="20"/>
                <w:szCs w:val="20"/>
                <w:lang w:val="es-PE" w:eastAsia="en-GB"/>
              </w:rPr>
              <w:t xml:space="preserve">Dependencia de gestión de proyectos </w:t>
            </w:r>
          </w:p>
        </w:tc>
        <w:tc>
          <w:tcPr>
            <w:tcW w:w="1475" w:type="dxa"/>
            <w:tcBorders>
              <w:top w:val="nil"/>
              <w:left w:val="nil"/>
              <w:bottom w:val="single" w:sz="4" w:space="0" w:color="auto"/>
              <w:right w:val="single" w:sz="4" w:space="0" w:color="auto"/>
            </w:tcBorders>
            <w:noWrap/>
            <w:hideMark/>
          </w:tcPr>
          <w:p w14:paraId="1E057622" w14:textId="77777777" w:rsidR="008E0205" w:rsidRDefault="008E0205">
            <w:pPr>
              <w:jc w:val="right"/>
              <w:rPr>
                <w:color w:val="000000"/>
                <w:sz w:val="20"/>
                <w:szCs w:val="20"/>
                <w:lang w:eastAsia="en-GB"/>
              </w:rPr>
            </w:pPr>
            <w:r>
              <w:rPr>
                <w:color w:val="000000"/>
                <w:sz w:val="20"/>
                <w:szCs w:val="20"/>
                <w:lang w:val="es-PE" w:eastAsia="en-GB"/>
              </w:rPr>
              <w:t>220 000</w:t>
            </w:r>
          </w:p>
        </w:tc>
        <w:tc>
          <w:tcPr>
            <w:tcW w:w="1475" w:type="dxa"/>
            <w:tcBorders>
              <w:top w:val="nil"/>
              <w:left w:val="nil"/>
              <w:bottom w:val="single" w:sz="4" w:space="0" w:color="auto"/>
              <w:right w:val="single" w:sz="4" w:space="0" w:color="auto"/>
            </w:tcBorders>
            <w:noWrap/>
            <w:hideMark/>
          </w:tcPr>
          <w:p w14:paraId="5291B8D0" w14:textId="77777777" w:rsidR="008E0205" w:rsidRDefault="008E0205">
            <w:pPr>
              <w:jc w:val="right"/>
              <w:rPr>
                <w:color w:val="000000"/>
                <w:sz w:val="20"/>
                <w:szCs w:val="20"/>
                <w:lang w:eastAsia="en-GB"/>
              </w:rPr>
            </w:pPr>
            <w:r>
              <w:rPr>
                <w:color w:val="000000"/>
                <w:sz w:val="20"/>
                <w:szCs w:val="20"/>
                <w:lang w:val="es-PE" w:eastAsia="en-GB"/>
              </w:rPr>
              <w:t>145 000</w:t>
            </w:r>
          </w:p>
        </w:tc>
        <w:tc>
          <w:tcPr>
            <w:tcW w:w="1476" w:type="dxa"/>
            <w:tcBorders>
              <w:top w:val="nil"/>
              <w:left w:val="nil"/>
              <w:bottom w:val="single" w:sz="4" w:space="0" w:color="auto"/>
              <w:right w:val="single" w:sz="4" w:space="0" w:color="auto"/>
            </w:tcBorders>
            <w:noWrap/>
            <w:hideMark/>
          </w:tcPr>
          <w:p w14:paraId="3B6BE1D3" w14:textId="77777777" w:rsidR="008E0205" w:rsidRDefault="008E0205">
            <w:pPr>
              <w:jc w:val="right"/>
              <w:rPr>
                <w:color w:val="000000"/>
                <w:sz w:val="20"/>
                <w:szCs w:val="20"/>
                <w:lang w:eastAsia="en-GB"/>
              </w:rPr>
            </w:pPr>
            <w:r>
              <w:rPr>
                <w:color w:val="000000"/>
                <w:sz w:val="20"/>
                <w:szCs w:val="20"/>
                <w:lang w:val="es-PE" w:eastAsia="en-GB"/>
              </w:rPr>
              <w:t>75 000</w:t>
            </w:r>
          </w:p>
        </w:tc>
        <w:tc>
          <w:tcPr>
            <w:tcW w:w="1475" w:type="dxa"/>
            <w:tcBorders>
              <w:top w:val="nil"/>
              <w:left w:val="nil"/>
              <w:bottom w:val="single" w:sz="4" w:space="0" w:color="auto"/>
              <w:right w:val="single" w:sz="4" w:space="0" w:color="auto"/>
            </w:tcBorders>
            <w:noWrap/>
            <w:hideMark/>
          </w:tcPr>
          <w:p w14:paraId="34C32276" w14:textId="77777777" w:rsidR="008E0205" w:rsidRDefault="008E0205">
            <w:pPr>
              <w:jc w:val="right"/>
              <w:rPr>
                <w:color w:val="000000"/>
                <w:sz w:val="20"/>
                <w:szCs w:val="20"/>
                <w:lang w:eastAsia="en-GB"/>
              </w:rPr>
            </w:pPr>
            <w:r>
              <w:rPr>
                <w:color w:val="000000"/>
                <w:sz w:val="20"/>
                <w:szCs w:val="20"/>
                <w:lang w:val="es-PE" w:eastAsia="en-GB"/>
              </w:rPr>
              <w:t>75 000</w:t>
            </w:r>
          </w:p>
        </w:tc>
        <w:tc>
          <w:tcPr>
            <w:tcW w:w="1476" w:type="dxa"/>
            <w:tcBorders>
              <w:top w:val="nil"/>
              <w:left w:val="nil"/>
              <w:bottom w:val="single" w:sz="4" w:space="0" w:color="auto"/>
              <w:right w:val="single" w:sz="4" w:space="0" w:color="auto"/>
            </w:tcBorders>
            <w:noWrap/>
            <w:hideMark/>
          </w:tcPr>
          <w:p w14:paraId="3D0DD54B" w14:textId="77777777" w:rsidR="008E0205" w:rsidRDefault="008E0205">
            <w:pPr>
              <w:jc w:val="right"/>
              <w:rPr>
                <w:b/>
                <w:bCs/>
                <w:sz w:val="20"/>
                <w:szCs w:val="20"/>
                <w:lang w:eastAsia="en-GB"/>
              </w:rPr>
            </w:pPr>
            <w:r>
              <w:rPr>
                <w:bCs/>
                <w:sz w:val="20"/>
                <w:szCs w:val="20"/>
                <w:lang w:val="es-PE" w:eastAsia="en-GB"/>
              </w:rPr>
              <w:t>0</w:t>
            </w:r>
          </w:p>
        </w:tc>
      </w:tr>
      <w:tr w:rsidR="008E0205" w14:paraId="3E077973" w14:textId="77777777" w:rsidTr="008E0205">
        <w:tc>
          <w:tcPr>
            <w:tcW w:w="1980" w:type="dxa"/>
            <w:tcBorders>
              <w:top w:val="nil"/>
              <w:left w:val="single" w:sz="4" w:space="0" w:color="auto"/>
              <w:bottom w:val="single" w:sz="4" w:space="0" w:color="auto"/>
              <w:right w:val="single" w:sz="4" w:space="0" w:color="auto"/>
            </w:tcBorders>
            <w:noWrap/>
            <w:hideMark/>
          </w:tcPr>
          <w:p w14:paraId="18EA2390" w14:textId="77777777" w:rsidR="008E0205" w:rsidRDefault="008E0205">
            <w:pPr>
              <w:jc w:val="left"/>
              <w:rPr>
                <w:color w:val="000000"/>
                <w:sz w:val="20"/>
                <w:szCs w:val="20"/>
                <w:lang w:eastAsia="en-GB"/>
              </w:rPr>
            </w:pPr>
            <w:r>
              <w:rPr>
                <w:color w:val="000000"/>
                <w:sz w:val="20"/>
                <w:szCs w:val="20"/>
                <w:lang w:val="es-PE" w:eastAsia="en-GB"/>
              </w:rPr>
              <w:t xml:space="preserve">Costos totales del proyecto </w:t>
            </w:r>
          </w:p>
        </w:tc>
        <w:tc>
          <w:tcPr>
            <w:tcW w:w="1475" w:type="dxa"/>
            <w:tcBorders>
              <w:top w:val="nil"/>
              <w:left w:val="nil"/>
              <w:bottom w:val="single" w:sz="4" w:space="0" w:color="auto"/>
              <w:right w:val="single" w:sz="4" w:space="0" w:color="auto"/>
            </w:tcBorders>
            <w:noWrap/>
            <w:hideMark/>
          </w:tcPr>
          <w:p w14:paraId="6962FCD7" w14:textId="77777777" w:rsidR="008E0205" w:rsidRDefault="008E0205">
            <w:pPr>
              <w:jc w:val="right"/>
              <w:rPr>
                <w:b/>
                <w:bCs/>
                <w:color w:val="000000"/>
                <w:sz w:val="20"/>
                <w:szCs w:val="20"/>
                <w:lang w:eastAsia="en-GB"/>
              </w:rPr>
            </w:pPr>
            <w:r>
              <w:rPr>
                <w:b/>
                <w:bCs/>
                <w:color w:val="000000"/>
                <w:sz w:val="20"/>
                <w:szCs w:val="20"/>
                <w:lang w:val="es-PE" w:eastAsia="en-GB"/>
              </w:rPr>
              <w:t>2 750 057</w:t>
            </w:r>
          </w:p>
        </w:tc>
        <w:tc>
          <w:tcPr>
            <w:tcW w:w="1475" w:type="dxa"/>
            <w:tcBorders>
              <w:top w:val="nil"/>
              <w:left w:val="nil"/>
              <w:bottom w:val="single" w:sz="4" w:space="0" w:color="auto"/>
              <w:right w:val="single" w:sz="4" w:space="0" w:color="auto"/>
            </w:tcBorders>
            <w:noWrap/>
            <w:hideMark/>
          </w:tcPr>
          <w:p w14:paraId="158AA06C" w14:textId="77777777" w:rsidR="008E0205" w:rsidRDefault="008E0205">
            <w:pPr>
              <w:jc w:val="right"/>
              <w:rPr>
                <w:b/>
                <w:bCs/>
                <w:color w:val="000000"/>
                <w:sz w:val="20"/>
                <w:szCs w:val="20"/>
                <w:lang w:eastAsia="en-GB"/>
              </w:rPr>
            </w:pPr>
            <w:r>
              <w:rPr>
                <w:b/>
                <w:bCs/>
                <w:color w:val="000000"/>
                <w:sz w:val="20"/>
                <w:szCs w:val="20"/>
                <w:lang w:val="es-PE" w:eastAsia="en-GB"/>
              </w:rPr>
              <w:t>1 938 307</w:t>
            </w:r>
          </w:p>
        </w:tc>
        <w:tc>
          <w:tcPr>
            <w:tcW w:w="1476" w:type="dxa"/>
            <w:tcBorders>
              <w:top w:val="nil"/>
              <w:left w:val="nil"/>
              <w:bottom w:val="single" w:sz="4" w:space="0" w:color="auto"/>
              <w:right w:val="single" w:sz="4" w:space="0" w:color="auto"/>
            </w:tcBorders>
            <w:noWrap/>
            <w:hideMark/>
          </w:tcPr>
          <w:p w14:paraId="0238FA52" w14:textId="77777777" w:rsidR="008E0205" w:rsidRDefault="008E0205">
            <w:pPr>
              <w:jc w:val="right"/>
              <w:rPr>
                <w:b/>
                <w:bCs/>
                <w:color w:val="000000"/>
                <w:sz w:val="20"/>
                <w:szCs w:val="20"/>
                <w:lang w:eastAsia="en-GB"/>
              </w:rPr>
            </w:pPr>
            <w:r>
              <w:rPr>
                <w:b/>
                <w:bCs/>
                <w:color w:val="000000"/>
                <w:sz w:val="20"/>
                <w:szCs w:val="20"/>
                <w:lang w:val="es-PE" w:eastAsia="en-GB"/>
              </w:rPr>
              <w:t>811 750</w:t>
            </w:r>
          </w:p>
        </w:tc>
        <w:tc>
          <w:tcPr>
            <w:tcW w:w="1475" w:type="dxa"/>
            <w:tcBorders>
              <w:top w:val="nil"/>
              <w:left w:val="nil"/>
              <w:bottom w:val="single" w:sz="4" w:space="0" w:color="auto"/>
              <w:right w:val="single" w:sz="4" w:space="0" w:color="auto"/>
            </w:tcBorders>
            <w:noWrap/>
            <w:hideMark/>
          </w:tcPr>
          <w:p w14:paraId="5EE7E046" w14:textId="77777777" w:rsidR="008E0205" w:rsidRDefault="008E0205">
            <w:pPr>
              <w:jc w:val="right"/>
              <w:rPr>
                <w:b/>
                <w:bCs/>
                <w:color w:val="000000"/>
                <w:sz w:val="20"/>
                <w:szCs w:val="20"/>
                <w:lang w:eastAsia="en-GB"/>
              </w:rPr>
            </w:pPr>
            <w:r>
              <w:rPr>
                <w:b/>
                <w:bCs/>
                <w:color w:val="000000"/>
                <w:sz w:val="20"/>
                <w:szCs w:val="20"/>
                <w:lang w:val="es-PE" w:eastAsia="en-GB"/>
              </w:rPr>
              <w:t>1 010 023</w:t>
            </w:r>
          </w:p>
        </w:tc>
        <w:tc>
          <w:tcPr>
            <w:tcW w:w="1476" w:type="dxa"/>
            <w:tcBorders>
              <w:top w:val="nil"/>
              <w:left w:val="nil"/>
              <w:bottom w:val="single" w:sz="4" w:space="0" w:color="auto"/>
              <w:right w:val="single" w:sz="4" w:space="0" w:color="auto"/>
            </w:tcBorders>
            <w:noWrap/>
            <w:hideMark/>
          </w:tcPr>
          <w:p w14:paraId="0093B806" w14:textId="77777777" w:rsidR="008E0205" w:rsidRDefault="008E0205">
            <w:pPr>
              <w:jc w:val="right"/>
              <w:rPr>
                <w:b/>
                <w:bCs/>
                <w:sz w:val="20"/>
                <w:szCs w:val="20"/>
                <w:lang w:eastAsia="en-GB"/>
              </w:rPr>
            </w:pPr>
            <w:r>
              <w:rPr>
                <w:b/>
                <w:bCs/>
                <w:sz w:val="20"/>
                <w:szCs w:val="20"/>
                <w:lang w:val="es-PE" w:eastAsia="en-GB"/>
              </w:rPr>
              <w:t>-198 273</w:t>
            </w:r>
          </w:p>
        </w:tc>
      </w:tr>
      <w:tr w:rsidR="008E0205" w14:paraId="3C1B94E0" w14:textId="77777777" w:rsidTr="008E0205">
        <w:tc>
          <w:tcPr>
            <w:tcW w:w="1980" w:type="dxa"/>
            <w:tcBorders>
              <w:top w:val="nil"/>
              <w:left w:val="single" w:sz="4" w:space="0" w:color="auto"/>
              <w:bottom w:val="single" w:sz="4" w:space="0" w:color="auto"/>
              <w:right w:val="single" w:sz="4" w:space="0" w:color="auto"/>
            </w:tcBorders>
            <w:noWrap/>
            <w:hideMark/>
          </w:tcPr>
          <w:p w14:paraId="3FCAFE41" w14:textId="77777777" w:rsidR="008E0205" w:rsidRDefault="008E0205">
            <w:pPr>
              <w:jc w:val="left"/>
              <w:rPr>
                <w:color w:val="000000"/>
                <w:sz w:val="20"/>
                <w:szCs w:val="20"/>
                <w:lang w:val="es-ES" w:eastAsia="en-GB"/>
              </w:rPr>
            </w:pPr>
            <w:r>
              <w:rPr>
                <w:color w:val="000000"/>
                <w:sz w:val="20"/>
                <w:szCs w:val="20"/>
                <w:lang w:val="es-PE" w:eastAsia="en-GB"/>
              </w:rPr>
              <w:t xml:space="preserve">Gastos de apoyo del organismo </w:t>
            </w:r>
          </w:p>
        </w:tc>
        <w:tc>
          <w:tcPr>
            <w:tcW w:w="1475" w:type="dxa"/>
            <w:tcBorders>
              <w:top w:val="nil"/>
              <w:left w:val="nil"/>
              <w:bottom w:val="single" w:sz="4" w:space="0" w:color="auto"/>
              <w:right w:val="single" w:sz="4" w:space="0" w:color="auto"/>
            </w:tcBorders>
            <w:noWrap/>
            <w:hideMark/>
          </w:tcPr>
          <w:p w14:paraId="6988E1DF" w14:textId="77777777" w:rsidR="008E0205" w:rsidRDefault="008E0205">
            <w:pPr>
              <w:jc w:val="right"/>
              <w:rPr>
                <w:color w:val="000000"/>
                <w:sz w:val="20"/>
                <w:szCs w:val="20"/>
                <w:lang w:eastAsia="en-GB"/>
              </w:rPr>
            </w:pPr>
            <w:r>
              <w:rPr>
                <w:color w:val="000000"/>
                <w:sz w:val="20"/>
                <w:szCs w:val="20"/>
                <w:lang w:val="es-PE" w:eastAsia="en-GB"/>
              </w:rPr>
              <w:t>192 504</w:t>
            </w:r>
          </w:p>
        </w:tc>
        <w:tc>
          <w:tcPr>
            <w:tcW w:w="1475" w:type="dxa"/>
            <w:tcBorders>
              <w:top w:val="nil"/>
              <w:left w:val="nil"/>
              <w:bottom w:val="single" w:sz="4" w:space="0" w:color="auto"/>
              <w:right w:val="single" w:sz="4" w:space="0" w:color="auto"/>
            </w:tcBorders>
            <w:noWrap/>
            <w:hideMark/>
          </w:tcPr>
          <w:p w14:paraId="434E152F" w14:textId="77777777" w:rsidR="008E0205" w:rsidRDefault="008E0205">
            <w:pPr>
              <w:jc w:val="right"/>
              <w:rPr>
                <w:color w:val="000000"/>
                <w:sz w:val="20"/>
                <w:szCs w:val="20"/>
                <w:lang w:eastAsia="en-GB"/>
              </w:rPr>
            </w:pPr>
            <w:r>
              <w:rPr>
                <w:color w:val="000000"/>
                <w:sz w:val="20"/>
                <w:szCs w:val="20"/>
                <w:lang w:val="es-PE" w:eastAsia="en-GB"/>
              </w:rPr>
              <w:t>135 681</w:t>
            </w:r>
          </w:p>
        </w:tc>
        <w:tc>
          <w:tcPr>
            <w:tcW w:w="1476" w:type="dxa"/>
            <w:tcBorders>
              <w:top w:val="nil"/>
              <w:left w:val="nil"/>
              <w:bottom w:val="single" w:sz="4" w:space="0" w:color="auto"/>
              <w:right w:val="single" w:sz="4" w:space="0" w:color="auto"/>
            </w:tcBorders>
            <w:noWrap/>
            <w:hideMark/>
          </w:tcPr>
          <w:p w14:paraId="258F7881" w14:textId="77777777" w:rsidR="008E0205" w:rsidRDefault="008E0205">
            <w:pPr>
              <w:jc w:val="right"/>
              <w:rPr>
                <w:color w:val="000000"/>
                <w:sz w:val="20"/>
                <w:szCs w:val="20"/>
                <w:lang w:eastAsia="en-GB"/>
              </w:rPr>
            </w:pPr>
            <w:r>
              <w:rPr>
                <w:color w:val="000000"/>
                <w:sz w:val="20"/>
                <w:szCs w:val="20"/>
                <w:lang w:val="es-PE" w:eastAsia="en-GB"/>
              </w:rPr>
              <w:t>56 823</w:t>
            </w:r>
          </w:p>
        </w:tc>
        <w:tc>
          <w:tcPr>
            <w:tcW w:w="1475" w:type="dxa"/>
            <w:tcBorders>
              <w:top w:val="nil"/>
              <w:left w:val="nil"/>
              <w:bottom w:val="single" w:sz="4" w:space="0" w:color="auto"/>
              <w:right w:val="single" w:sz="4" w:space="0" w:color="auto"/>
            </w:tcBorders>
            <w:noWrap/>
            <w:hideMark/>
          </w:tcPr>
          <w:p w14:paraId="0C0EAAD5" w14:textId="77777777" w:rsidR="008E0205" w:rsidRDefault="008E0205">
            <w:pPr>
              <w:jc w:val="right"/>
              <w:rPr>
                <w:color w:val="000000"/>
                <w:sz w:val="20"/>
                <w:szCs w:val="20"/>
                <w:lang w:eastAsia="en-GB"/>
              </w:rPr>
            </w:pPr>
            <w:r>
              <w:rPr>
                <w:color w:val="000000"/>
                <w:sz w:val="20"/>
                <w:szCs w:val="20"/>
                <w:lang w:val="es-PE" w:eastAsia="en-GB"/>
              </w:rPr>
              <w:t>70 702</w:t>
            </w:r>
          </w:p>
        </w:tc>
        <w:tc>
          <w:tcPr>
            <w:tcW w:w="1476" w:type="dxa"/>
            <w:tcBorders>
              <w:top w:val="nil"/>
              <w:left w:val="nil"/>
              <w:bottom w:val="single" w:sz="4" w:space="0" w:color="auto"/>
              <w:right w:val="single" w:sz="4" w:space="0" w:color="auto"/>
            </w:tcBorders>
            <w:noWrap/>
            <w:hideMark/>
          </w:tcPr>
          <w:p w14:paraId="29BC692C" w14:textId="77777777" w:rsidR="008E0205" w:rsidRDefault="008E0205">
            <w:pPr>
              <w:jc w:val="right"/>
              <w:rPr>
                <w:b/>
                <w:bCs/>
                <w:sz w:val="20"/>
                <w:szCs w:val="20"/>
                <w:lang w:eastAsia="en-GB"/>
              </w:rPr>
            </w:pPr>
            <w:r>
              <w:rPr>
                <w:b/>
                <w:bCs/>
                <w:sz w:val="20"/>
                <w:szCs w:val="20"/>
                <w:lang w:val="es-PE" w:eastAsia="en-GB"/>
              </w:rPr>
              <w:t>-13 879</w:t>
            </w:r>
          </w:p>
        </w:tc>
      </w:tr>
      <w:tr w:rsidR="008E0205" w14:paraId="4EED839B" w14:textId="77777777" w:rsidTr="008E0205">
        <w:tc>
          <w:tcPr>
            <w:tcW w:w="1980" w:type="dxa"/>
            <w:tcBorders>
              <w:top w:val="nil"/>
              <w:left w:val="single" w:sz="4" w:space="0" w:color="auto"/>
              <w:bottom w:val="single" w:sz="4" w:space="0" w:color="auto"/>
              <w:right w:val="single" w:sz="4" w:space="0" w:color="auto"/>
            </w:tcBorders>
            <w:noWrap/>
            <w:hideMark/>
          </w:tcPr>
          <w:p w14:paraId="092B31B1" w14:textId="77777777" w:rsidR="008E0205" w:rsidRDefault="008E0205">
            <w:pPr>
              <w:jc w:val="left"/>
              <w:rPr>
                <w:b/>
                <w:bCs/>
                <w:color w:val="000000"/>
                <w:sz w:val="20"/>
                <w:szCs w:val="20"/>
                <w:lang w:eastAsia="en-GB"/>
              </w:rPr>
            </w:pPr>
            <w:r>
              <w:rPr>
                <w:b/>
                <w:bCs/>
                <w:color w:val="000000"/>
                <w:sz w:val="20"/>
                <w:szCs w:val="20"/>
                <w:lang w:val="es-PE" w:eastAsia="en-GB"/>
              </w:rPr>
              <w:t>Costos totales acordados</w:t>
            </w:r>
          </w:p>
        </w:tc>
        <w:tc>
          <w:tcPr>
            <w:tcW w:w="1475" w:type="dxa"/>
            <w:tcBorders>
              <w:top w:val="nil"/>
              <w:left w:val="nil"/>
              <w:bottom w:val="single" w:sz="4" w:space="0" w:color="auto"/>
              <w:right w:val="single" w:sz="4" w:space="0" w:color="auto"/>
            </w:tcBorders>
            <w:noWrap/>
            <w:hideMark/>
          </w:tcPr>
          <w:p w14:paraId="591DFE62" w14:textId="77777777" w:rsidR="008E0205" w:rsidRDefault="008E0205">
            <w:pPr>
              <w:jc w:val="right"/>
              <w:rPr>
                <w:b/>
                <w:bCs/>
                <w:color w:val="000000"/>
                <w:sz w:val="20"/>
                <w:szCs w:val="20"/>
                <w:lang w:eastAsia="en-GB"/>
              </w:rPr>
            </w:pPr>
            <w:r>
              <w:rPr>
                <w:b/>
                <w:bCs/>
                <w:color w:val="000000"/>
                <w:sz w:val="20"/>
                <w:szCs w:val="20"/>
                <w:lang w:val="es-PE" w:eastAsia="en-GB"/>
              </w:rPr>
              <w:t>2 942 561</w:t>
            </w:r>
          </w:p>
        </w:tc>
        <w:tc>
          <w:tcPr>
            <w:tcW w:w="1475" w:type="dxa"/>
            <w:tcBorders>
              <w:top w:val="nil"/>
              <w:left w:val="nil"/>
              <w:bottom w:val="single" w:sz="4" w:space="0" w:color="auto"/>
              <w:right w:val="single" w:sz="4" w:space="0" w:color="auto"/>
            </w:tcBorders>
            <w:noWrap/>
            <w:hideMark/>
          </w:tcPr>
          <w:p w14:paraId="6EB4E072" w14:textId="77777777" w:rsidR="008E0205" w:rsidRDefault="008E0205">
            <w:pPr>
              <w:jc w:val="right"/>
              <w:rPr>
                <w:b/>
                <w:bCs/>
                <w:color w:val="000000"/>
                <w:sz w:val="20"/>
                <w:szCs w:val="20"/>
                <w:lang w:eastAsia="en-GB"/>
              </w:rPr>
            </w:pPr>
            <w:r>
              <w:rPr>
                <w:b/>
                <w:bCs/>
                <w:color w:val="000000"/>
                <w:sz w:val="20"/>
                <w:szCs w:val="20"/>
                <w:lang w:val="es-PE" w:eastAsia="en-GB"/>
              </w:rPr>
              <w:t>2 073 988</w:t>
            </w:r>
          </w:p>
        </w:tc>
        <w:tc>
          <w:tcPr>
            <w:tcW w:w="1476" w:type="dxa"/>
            <w:tcBorders>
              <w:top w:val="nil"/>
              <w:left w:val="nil"/>
              <w:bottom w:val="single" w:sz="4" w:space="0" w:color="auto"/>
              <w:right w:val="single" w:sz="4" w:space="0" w:color="auto"/>
            </w:tcBorders>
            <w:noWrap/>
            <w:hideMark/>
          </w:tcPr>
          <w:p w14:paraId="2C13765E" w14:textId="77777777" w:rsidR="008E0205" w:rsidRDefault="008E0205">
            <w:pPr>
              <w:jc w:val="right"/>
              <w:rPr>
                <w:b/>
                <w:bCs/>
                <w:color w:val="000000"/>
                <w:sz w:val="20"/>
                <w:szCs w:val="20"/>
                <w:lang w:eastAsia="en-GB"/>
              </w:rPr>
            </w:pPr>
            <w:r>
              <w:rPr>
                <w:b/>
                <w:bCs/>
                <w:color w:val="000000"/>
                <w:sz w:val="20"/>
                <w:szCs w:val="20"/>
                <w:lang w:val="es-PE" w:eastAsia="en-GB"/>
              </w:rPr>
              <w:t>868 573</w:t>
            </w:r>
          </w:p>
        </w:tc>
        <w:tc>
          <w:tcPr>
            <w:tcW w:w="1475" w:type="dxa"/>
            <w:tcBorders>
              <w:top w:val="nil"/>
              <w:left w:val="nil"/>
              <w:bottom w:val="single" w:sz="4" w:space="0" w:color="auto"/>
              <w:right w:val="single" w:sz="4" w:space="0" w:color="auto"/>
            </w:tcBorders>
            <w:noWrap/>
            <w:hideMark/>
          </w:tcPr>
          <w:p w14:paraId="01B0BEDB" w14:textId="77777777" w:rsidR="008E0205" w:rsidRDefault="008E0205">
            <w:pPr>
              <w:jc w:val="right"/>
              <w:rPr>
                <w:b/>
                <w:bCs/>
                <w:color w:val="000000"/>
                <w:sz w:val="20"/>
                <w:szCs w:val="20"/>
                <w:lang w:eastAsia="en-GB"/>
              </w:rPr>
            </w:pPr>
            <w:r>
              <w:rPr>
                <w:b/>
                <w:bCs/>
                <w:color w:val="000000"/>
                <w:sz w:val="20"/>
                <w:szCs w:val="20"/>
                <w:lang w:val="es-PE" w:eastAsia="en-GB"/>
              </w:rPr>
              <w:t>1 080 725</w:t>
            </w:r>
          </w:p>
        </w:tc>
        <w:tc>
          <w:tcPr>
            <w:tcW w:w="1476" w:type="dxa"/>
            <w:tcBorders>
              <w:top w:val="nil"/>
              <w:left w:val="nil"/>
              <w:bottom w:val="single" w:sz="4" w:space="0" w:color="auto"/>
              <w:right w:val="single" w:sz="4" w:space="0" w:color="auto"/>
            </w:tcBorders>
            <w:noWrap/>
            <w:hideMark/>
          </w:tcPr>
          <w:p w14:paraId="74968EB4" w14:textId="77777777" w:rsidR="008E0205" w:rsidRDefault="008E0205">
            <w:pPr>
              <w:jc w:val="right"/>
              <w:rPr>
                <w:b/>
                <w:bCs/>
                <w:sz w:val="20"/>
                <w:szCs w:val="20"/>
                <w:lang w:eastAsia="en-GB"/>
              </w:rPr>
            </w:pPr>
            <w:r>
              <w:rPr>
                <w:b/>
                <w:bCs/>
                <w:sz w:val="20"/>
                <w:szCs w:val="20"/>
                <w:lang w:val="es-PE" w:eastAsia="en-GB"/>
              </w:rPr>
              <w:t>-212 152</w:t>
            </w:r>
          </w:p>
        </w:tc>
      </w:tr>
    </w:tbl>
    <w:p w14:paraId="08DEB797" w14:textId="77777777" w:rsidR="008E0205" w:rsidRDefault="008E0205" w:rsidP="008E0205">
      <w:pPr>
        <w:rPr>
          <w:lang w:val="en-US"/>
        </w:rPr>
      </w:pPr>
    </w:p>
    <w:p w14:paraId="6335CD02" w14:textId="77777777" w:rsidR="008E0205" w:rsidRDefault="008E0205" w:rsidP="008E0205">
      <w:pPr>
        <w:rPr>
          <w:u w:val="single"/>
          <w:lang w:val="es-ES"/>
        </w:rPr>
      </w:pPr>
      <w:r>
        <w:rPr>
          <w:u w:val="single"/>
          <w:lang w:val="es-PE"/>
        </w:rPr>
        <w:t>Plan de ejecución revisado de la etapa II del plan de gestión de la eliminación de los HCFC</w:t>
      </w:r>
    </w:p>
    <w:p w14:paraId="2206A590" w14:textId="77777777" w:rsidR="008E0205" w:rsidRDefault="008E0205" w:rsidP="008E0205">
      <w:pPr>
        <w:rPr>
          <w:u w:val="single"/>
          <w:lang w:val="es-ES"/>
        </w:rPr>
      </w:pPr>
    </w:p>
    <w:p w14:paraId="740A4500" w14:textId="5251BDA1" w:rsidR="008E0205" w:rsidRDefault="008E0205" w:rsidP="008E0205">
      <w:pPr>
        <w:numPr>
          <w:ilvl w:val="0"/>
          <w:numId w:val="1"/>
        </w:numPr>
        <w:tabs>
          <w:tab w:val="clear" w:pos="0"/>
          <w:tab w:val="num" w:pos="710"/>
        </w:tabs>
        <w:spacing w:after="240"/>
        <w:outlineLvl w:val="0"/>
        <w:rPr>
          <w:lang w:val="es-ES"/>
        </w:rPr>
      </w:pPr>
      <w:r>
        <w:rPr>
          <w:lang w:val="es-PE"/>
        </w:rPr>
        <w:t>La ONUDI proporcionó un plan revisado que deberá ejecutarse entre 2021 y 2022, como sigue:</w:t>
      </w:r>
    </w:p>
    <w:p w14:paraId="4905F9F9" w14:textId="77777777" w:rsidR="008E0205" w:rsidRDefault="008E0205" w:rsidP="008E0FC9">
      <w:pPr>
        <w:pStyle w:val="Heading2"/>
        <w:numPr>
          <w:ilvl w:val="1"/>
          <w:numId w:val="7"/>
        </w:numPr>
        <w:tabs>
          <w:tab w:val="clear" w:pos="0"/>
        </w:tabs>
        <w:rPr>
          <w:lang w:val="es-ES"/>
        </w:rPr>
      </w:pPr>
      <w:r>
        <w:rPr>
          <w:lang w:val="es-PE"/>
        </w:rPr>
        <w:t>Asistencia técnica para las autoridades de políticas, los funcionarios encargados de hacer cumplir la ley y las autoridades aduaneras</w:t>
      </w:r>
    </w:p>
    <w:p w14:paraId="0553B1BB" w14:textId="77777777" w:rsidR="008E0205" w:rsidRDefault="008E0205" w:rsidP="008E0FC9">
      <w:pPr>
        <w:pStyle w:val="Heading3"/>
        <w:numPr>
          <w:ilvl w:val="2"/>
          <w:numId w:val="7"/>
        </w:numPr>
        <w:tabs>
          <w:tab w:val="clear" w:pos="0"/>
        </w:tabs>
        <w:rPr>
          <w:lang w:val="es-ES"/>
        </w:rPr>
      </w:pPr>
      <w:r>
        <w:rPr>
          <w:lang w:val="es-PE"/>
        </w:rPr>
        <w:t xml:space="preserve">cuatro reuniones de las partes interesadas con 100 participantes, a fin de elaborar normas mínimas de rendimiento energético para los equipos de refrigeración y aire acondicionado, lo que facilitaría la transición a acondicionadores de aire energéticamente eficientes y alentará la utilización de refrigerantes con bajo PCA; desalentar la demanda de acondicionadores de aire que utilizan HCFC mediante la publicación de una circular en la que se notifique a los proveedores del mercado de acondicionadores de aire que no podrá registrarse ningún modelo de acondicionadores de aire que contenga HCFC-22 ni venderse en el mercado filipino, a partir de enero de 2023 (10 000 $EUA); </w:t>
      </w:r>
    </w:p>
    <w:p w14:paraId="76D61877" w14:textId="77777777" w:rsidR="008E0205" w:rsidRDefault="008E0205" w:rsidP="008E0FC9">
      <w:pPr>
        <w:pStyle w:val="Heading3"/>
        <w:numPr>
          <w:ilvl w:val="2"/>
          <w:numId w:val="7"/>
        </w:numPr>
        <w:tabs>
          <w:tab w:val="clear" w:pos="0"/>
        </w:tabs>
        <w:rPr>
          <w:lang w:val="es-ES"/>
        </w:rPr>
      </w:pPr>
      <w:r>
        <w:rPr>
          <w:lang w:val="es-PE"/>
        </w:rPr>
        <w:t xml:space="preserve">cinco talleres para 150 oficiales de aduanas y funcionarios encargados de hacer cumplir la ley sobre la supervisión de las importaciones de SAO, el control del comercio de HCFC y las importaciones ilícitas; la actualización del material de capacitación utilizado en la formación de oficiales de aduanas; la revisión del sistema de otorgamiento de licencias en línea en el que se tengan en cuenta las recomendaciones derivadas del informe de verificación, con miras a incluir un sistema de alerta temprana para detectar el comercio ilícito; dos talleres de capacitación sobre la aplicación eficaz del sistema de otorgamiento de licencias y cupos a 55 participantes del Gobierno y distribuidores y proveedores de refrigerantes (107 410 $EUA); </w:t>
      </w:r>
    </w:p>
    <w:p w14:paraId="0E757CA7" w14:textId="64565509" w:rsidR="008E0205" w:rsidRDefault="008E0205" w:rsidP="00305D02">
      <w:pPr>
        <w:pStyle w:val="Heading3"/>
        <w:numPr>
          <w:ilvl w:val="2"/>
          <w:numId w:val="7"/>
        </w:numPr>
        <w:tabs>
          <w:tab w:val="clear" w:pos="0"/>
        </w:tabs>
        <w:rPr>
          <w:lang w:val="es-ES"/>
        </w:rPr>
      </w:pPr>
      <w:r>
        <w:rPr>
          <w:lang w:val="es-PE"/>
        </w:rPr>
        <w:t xml:space="preserve">la evaluación del sistema de gestión de datos para incluir los requisitos para el registro de los proveedores de servicios de refrigeración y climatización y mejorar la gestión del sistema de otorgamiento de licencias en línea; dos reuniones con </w:t>
      </w:r>
      <w:r>
        <w:rPr>
          <w:lang w:val="es-PE"/>
        </w:rPr>
        <w:lastRenderedPageBreak/>
        <w:t>15</w:t>
      </w:r>
      <w:r w:rsidR="00305D02">
        <w:rPr>
          <w:lang w:val="es-PE"/>
        </w:rPr>
        <w:t> </w:t>
      </w:r>
      <w:r>
        <w:rPr>
          <w:lang w:val="es-PE"/>
        </w:rPr>
        <w:t>distribuidores y proveedores de HCFC y de equipos que utilizan HCFC, a fin de analizar los requisitos para el registro y la presentación de datos (22 000 $EUA), y</w:t>
      </w:r>
    </w:p>
    <w:p w14:paraId="4C3BCA0A" w14:textId="77777777" w:rsidR="008E0205" w:rsidRDefault="008E0205" w:rsidP="008E0FC9">
      <w:pPr>
        <w:pStyle w:val="Heading3"/>
        <w:numPr>
          <w:ilvl w:val="2"/>
          <w:numId w:val="7"/>
        </w:numPr>
        <w:tabs>
          <w:tab w:val="clear" w:pos="0"/>
        </w:tabs>
        <w:rPr>
          <w:lang w:val="es-ES"/>
        </w:rPr>
      </w:pPr>
      <w:r>
        <w:rPr>
          <w:lang w:val="es-PE"/>
        </w:rPr>
        <w:t>la verificación del consumo de HCFC y la ejecución del PGEH (3 500 $EUA).</w:t>
      </w:r>
    </w:p>
    <w:p w14:paraId="2CC2C464" w14:textId="77777777" w:rsidR="008E0205" w:rsidRDefault="008E0205" w:rsidP="008E0FC9">
      <w:pPr>
        <w:pStyle w:val="Heading2"/>
        <w:numPr>
          <w:ilvl w:val="1"/>
          <w:numId w:val="7"/>
        </w:numPr>
        <w:tabs>
          <w:tab w:val="clear" w:pos="0"/>
        </w:tabs>
        <w:rPr>
          <w:lang w:val="es-ES"/>
        </w:rPr>
      </w:pPr>
      <w:r>
        <w:rPr>
          <w:lang w:val="es-PE"/>
        </w:rPr>
        <w:t>Asistencia técnica para el sector de servicio y mantenimiento, a fin de promover buenas prácticas en refrigeración, y de mostrar y alentar el uso de alternativas con bajo PCA</w:t>
      </w:r>
    </w:p>
    <w:p w14:paraId="46F4F33D" w14:textId="77777777" w:rsidR="008E0205" w:rsidRDefault="008E0205" w:rsidP="008E0FC9">
      <w:pPr>
        <w:pStyle w:val="Heading3"/>
        <w:numPr>
          <w:ilvl w:val="2"/>
          <w:numId w:val="7"/>
        </w:numPr>
        <w:tabs>
          <w:tab w:val="clear" w:pos="0"/>
        </w:tabs>
        <w:rPr>
          <w:lang w:val="es-ES"/>
        </w:rPr>
      </w:pPr>
      <w:r>
        <w:rPr>
          <w:lang w:val="es-PE"/>
        </w:rPr>
        <w:t>la capacitación de 100 técnicos de refrigeración y climatización en buenas prácticas de refrigeración, a fin de reducir a un mínimo las fugas de refrigerantes de las consideraciones sobre los equipos y la seguridad de refrigerantes inflamables; apoyo técnico para el centro de reciclado principal; la recolección de HCFC y otros refrigerantes; la revisión de las opciones de eliminación de sustancias controladas no utilizadas y no deseadas, así como tres reuniones con las partes interesadas y tres reuniones de coordinación, y la contratación de dos consultores (138 000 $EUA);</w:t>
      </w:r>
    </w:p>
    <w:p w14:paraId="3E244CDE" w14:textId="77777777" w:rsidR="008E0205" w:rsidRDefault="008E0205" w:rsidP="008E0FC9">
      <w:pPr>
        <w:pStyle w:val="Heading3"/>
        <w:numPr>
          <w:ilvl w:val="2"/>
          <w:numId w:val="7"/>
        </w:numPr>
        <w:tabs>
          <w:tab w:val="clear" w:pos="0"/>
        </w:tabs>
        <w:rPr>
          <w:lang w:val="es-ES"/>
        </w:rPr>
      </w:pPr>
      <w:r>
        <w:rPr>
          <w:lang w:val="es-PE"/>
        </w:rPr>
        <w:t>proseguir con la actualización de la capacidad de formación de la Dirección de Enseñanza y Capacitación Técnica (TESDA)</w:t>
      </w:r>
      <w:r>
        <w:rPr>
          <w:b/>
          <w:bCs/>
          <w:lang w:val="es-PE"/>
        </w:rPr>
        <w:t xml:space="preserve"> </w:t>
      </w:r>
      <w:r>
        <w:rPr>
          <w:lang w:val="es-PE"/>
        </w:rPr>
        <w:t>y de las instituciones acreditadas por esa Dirección, a fin de fortalecer el programa de certificación y capacitación para técnicos mediante la elaboración de material nuevo y de un nuevo Código de Práctica sobre la manipulación de alternativas inflamables a los HCFC</w:t>
      </w:r>
      <w:r>
        <w:rPr>
          <w:lang w:val="es-PE"/>
        </w:rPr>
        <w:noBreakHyphen/>
        <w:t>22 (esto es, HFC-32, R-290). La finalidad de ello es garantizar que los técnicos estén preparados para la utilización de esas adiciones; desarrollar nuevo material de capacitación para alternativas al HCFC-141b para la descarga en el sector de servicio y mantenimiento; formar a por lo menos 25 instructores en el nuevo Código de Práctica de Servicio y Mantenimiento, y cinco talleres de capacitación para 125 técnicos de servicio y mantenimiento, con el fin de obtener una certificación en la manipulación de alternativas con bajo PCA al HCFC</w:t>
      </w:r>
      <w:r>
        <w:rPr>
          <w:lang w:val="es-PE"/>
        </w:rPr>
        <w:noBreakHyphen/>
        <w:t xml:space="preserve">22 (esto es, HFC-32 y R-290) y alternativas al HCFC-141b (84 000 $EUA), y </w:t>
      </w:r>
    </w:p>
    <w:p w14:paraId="11A5B519" w14:textId="77777777" w:rsidR="008E0205" w:rsidRDefault="008E0205" w:rsidP="008E0FC9">
      <w:pPr>
        <w:pStyle w:val="Heading3"/>
        <w:numPr>
          <w:ilvl w:val="2"/>
          <w:numId w:val="7"/>
        </w:numPr>
        <w:tabs>
          <w:tab w:val="clear" w:pos="0"/>
        </w:tabs>
        <w:rPr>
          <w:lang w:val="es-ES"/>
        </w:rPr>
      </w:pPr>
      <w:r>
        <w:rPr>
          <w:lang w:val="es-PE"/>
        </w:rPr>
        <w:t>un estudio sobre las posibles alternativas al HCFC-225ca y al HCFC-225cb para la limpieza de sistemas de refrigeración, y al HCFC-123, para la extinción de incendios; información y enseñanza de las partes interesadas sobre las alternativas y la eficacia en función de los costos, por medio de dos talleres, para un total de 40 participantes (30 000 $EUA); un estudio para identificar en qué casos se usa el HCFC-141b como disolvente y para recomendar alternativas para la descarga, así como dos talleres de capacitación para 60 participantes sobre las constataciones (50 000 $EUA);</w:t>
      </w:r>
    </w:p>
    <w:p w14:paraId="1D212865" w14:textId="77777777" w:rsidR="008E0205" w:rsidRDefault="008E0205" w:rsidP="008E0FC9">
      <w:pPr>
        <w:pStyle w:val="Heading2"/>
        <w:numPr>
          <w:ilvl w:val="1"/>
          <w:numId w:val="7"/>
        </w:numPr>
        <w:tabs>
          <w:tab w:val="clear" w:pos="0"/>
        </w:tabs>
        <w:rPr>
          <w:lang w:val="es-ES"/>
        </w:rPr>
      </w:pPr>
      <w:r>
        <w:rPr>
          <w:lang w:val="es-PE"/>
        </w:rPr>
        <w:t>Asistencia técnica para promover alternativas con bajo PCA para el sector de equipos de refrigeración y aire acondicionado (106 902 $EUA)</w:t>
      </w:r>
    </w:p>
    <w:p w14:paraId="1C1779E5" w14:textId="77777777" w:rsidR="008E0205" w:rsidRDefault="008E0205" w:rsidP="008E0FC9">
      <w:pPr>
        <w:pStyle w:val="Heading3"/>
        <w:numPr>
          <w:ilvl w:val="2"/>
          <w:numId w:val="7"/>
        </w:numPr>
        <w:tabs>
          <w:tab w:val="clear" w:pos="0"/>
        </w:tabs>
        <w:rPr>
          <w:lang w:val="es-ES"/>
        </w:rPr>
      </w:pPr>
      <w:r>
        <w:rPr>
          <w:lang w:val="es-PE"/>
        </w:rPr>
        <w:t xml:space="preserve">tres talleres para 100 fabricantes, importadores y usuarios finales de acondicionadores de aire, a fin de suministrar información y de mostrar y fomentar el uso de alternativas con bajo PCA en el sector de la refrigeración y climatización; </w:t>
      </w:r>
    </w:p>
    <w:p w14:paraId="4BABF971" w14:textId="77777777" w:rsidR="008E0205" w:rsidRDefault="008E0205" w:rsidP="008E0FC9">
      <w:pPr>
        <w:pStyle w:val="Heading3"/>
        <w:numPr>
          <w:ilvl w:val="2"/>
          <w:numId w:val="7"/>
        </w:numPr>
        <w:tabs>
          <w:tab w:val="clear" w:pos="0"/>
        </w:tabs>
        <w:rPr>
          <w:lang w:val="es-ES"/>
        </w:rPr>
      </w:pPr>
      <w:r>
        <w:rPr>
          <w:lang w:val="es-PE"/>
        </w:rPr>
        <w:t xml:space="preserve">la preparación de un estudio de mercado </w:t>
      </w:r>
      <w:r>
        <w:rPr>
          <w:color w:val="000000"/>
          <w:lang w:val="es-PE"/>
        </w:rPr>
        <w:t xml:space="preserve">sobre la situación actual en Filipinas en el sector de acondicionadores de aire, mediante el análisis de la disponibilidad, la viabilidad técnica y los posibles beneficios ambientales y económicos para la transición a alternativas con bajo PCA, en las categorías de fabricación e importación; </w:t>
      </w:r>
    </w:p>
    <w:p w14:paraId="1F8D472F" w14:textId="77777777" w:rsidR="008E0205" w:rsidRDefault="008E0205" w:rsidP="008E0FC9">
      <w:pPr>
        <w:pStyle w:val="Heading3"/>
        <w:numPr>
          <w:ilvl w:val="2"/>
          <w:numId w:val="7"/>
        </w:numPr>
        <w:tabs>
          <w:tab w:val="clear" w:pos="0"/>
        </w:tabs>
        <w:rPr>
          <w:lang w:val="es-ES"/>
        </w:rPr>
      </w:pPr>
      <w:r>
        <w:rPr>
          <w:lang w:val="es-ES"/>
        </w:rPr>
        <w:lastRenderedPageBreak/>
        <w:t xml:space="preserve">la </w:t>
      </w:r>
      <w:r>
        <w:rPr>
          <w:lang w:val="es-PE"/>
        </w:rPr>
        <w:t>elaboración de un programa piloto de capacitación en línea accesible al público en los sitios web de aprendizaje electrónico, específicamente sobre la manipulación segura de refrigerantes inflamables, tóxicos y de alta presión, dirigidos a empresas fabricantes, técnicos, usuarios finales, importadores y otras partes interesadas pertinentes, para apoyar la adopción de esas alternativas, con miras a que esto se incluya en el programa general de capacitación de técnicos de servicio y mantenimiento, y</w:t>
      </w:r>
    </w:p>
    <w:p w14:paraId="09F09578" w14:textId="77777777" w:rsidR="008E0205" w:rsidRDefault="008E0205" w:rsidP="008E0FC9">
      <w:pPr>
        <w:pStyle w:val="Heading2"/>
        <w:keepNext/>
        <w:widowControl/>
        <w:numPr>
          <w:ilvl w:val="1"/>
          <w:numId w:val="7"/>
        </w:numPr>
        <w:tabs>
          <w:tab w:val="clear" w:pos="0"/>
        </w:tabs>
        <w:rPr>
          <w:lang w:val="es-ES"/>
        </w:rPr>
      </w:pPr>
      <w:r>
        <w:rPr>
          <w:lang w:val="es-ES"/>
        </w:rPr>
        <w:t xml:space="preserve">una </w:t>
      </w:r>
      <w:r>
        <w:rPr>
          <w:lang w:val="es-PE"/>
        </w:rPr>
        <w:t>dependencia de gestión de proyectos (49 500 $EUA), para la ejecución y la supervisión general de las actividades, entre ellas, la contratación de un coordinador; la coordinación con las partes interesadas y con expertos en encuestas (29 500 $EUA); la difusión de la información sobre diversos temas relacionados con la ejecución de la etapa II (10 000 $EUA); un experto para la aplicación de la política de género del Fondo Multilateral, compatible con la Guía de la ONUDI para la incorporación de la perspectiva de género en los proyectos del Protocolo de Montreal, y el proseguimiento de la ejecución de los programas de sensibilización pública general (10 000 $EUA).</w:t>
      </w:r>
    </w:p>
    <w:p w14:paraId="6DA2C354" w14:textId="77777777" w:rsidR="008E0205" w:rsidRDefault="008E0205" w:rsidP="008E0205">
      <w:pPr>
        <w:keepNext/>
        <w:rPr>
          <w:b/>
          <w:lang w:val="es-ES"/>
        </w:rPr>
      </w:pPr>
      <w:r>
        <w:rPr>
          <w:b/>
          <w:bCs/>
          <w:lang w:val="es-PE"/>
        </w:rPr>
        <w:t>Observaciones de la Secretaría</w:t>
      </w:r>
    </w:p>
    <w:p w14:paraId="182C6A33" w14:textId="77777777" w:rsidR="008E0205" w:rsidRDefault="008E0205" w:rsidP="008E0205">
      <w:pPr>
        <w:keepNext/>
        <w:rPr>
          <w:b/>
          <w:lang w:val="es-ES"/>
        </w:rPr>
      </w:pPr>
    </w:p>
    <w:p w14:paraId="7AF2E397" w14:textId="77777777" w:rsidR="008E0205" w:rsidRDefault="008E0205" w:rsidP="008E0205">
      <w:pPr>
        <w:keepNext/>
        <w:rPr>
          <w:i/>
          <w:lang w:val="es-ES"/>
        </w:rPr>
      </w:pPr>
      <w:r>
        <w:rPr>
          <w:i/>
          <w:iCs/>
          <w:lang w:val="es-PE"/>
        </w:rPr>
        <w:t>Eliminación del plan del sector de acondicionadores de aire de la etapa II</w:t>
      </w:r>
    </w:p>
    <w:p w14:paraId="5312197B" w14:textId="77777777" w:rsidR="008E0205" w:rsidRDefault="008E0205" w:rsidP="008E0205">
      <w:pPr>
        <w:keepNext/>
        <w:rPr>
          <w:b/>
          <w:lang w:val="es-ES"/>
        </w:rPr>
      </w:pPr>
    </w:p>
    <w:p w14:paraId="786866D0" w14:textId="0BA21E47" w:rsidR="008E0205" w:rsidRPr="008E0FC9" w:rsidRDefault="008E0205" w:rsidP="008E0FC9">
      <w:pPr>
        <w:numPr>
          <w:ilvl w:val="0"/>
          <w:numId w:val="1"/>
        </w:numPr>
        <w:tabs>
          <w:tab w:val="clear" w:pos="0"/>
          <w:tab w:val="num" w:pos="710"/>
        </w:tabs>
        <w:spacing w:after="240"/>
        <w:outlineLvl w:val="0"/>
        <w:rPr>
          <w:lang w:val="es-PE"/>
        </w:rPr>
      </w:pPr>
      <w:r>
        <w:rPr>
          <w:lang w:val="es-PE"/>
        </w:rPr>
        <w:t xml:space="preserve">La ONUDI, en nombre de Filipinas, presentó originalmente la solicitud de desembolso del segundo tramo de la etapa II del PGEH. Tras revisar la solicitud, la Secretaría tomó nota de que persistían considerables desafíos vinculados al plan del sector de fabricación de acondicionadores de aire, en el que dos de las cuatro empresas beneficiarias habían solicitado formalmente que se las retirara del plan, ya que habían realizado su conversión a la tecnología de R-410A con recursos propios, y que, si bien las dos empresas restantes mantenían su interés en efectuar una conversión a HFC-32, también habían iniciado su conversión a R-410A. En vista de que la ONUDI y el Gobierno de Filipinas no habían desembolsado aún ningún fondo a esas empresas, tras una mayor consideración técnica acerca de la viabilidad de proseguir con esas conversiones, el Gobierno de Filipinas pidió que se anulara el plan del sector de fabricación de acondicionadores de aire. La ONUDI indicó que el Gobierno mantiene en pie la ejecución de la prohibición de la importación de acondicionadores de aire que utilizan HCFC-22, con una capacidad de refrigeración de menos de 36 000 BTU/hora, a partir de enero de 2022. </w:t>
      </w:r>
    </w:p>
    <w:p w14:paraId="583D1F50" w14:textId="6264554B" w:rsidR="008E0205" w:rsidRDefault="008E0205" w:rsidP="008E0FC9">
      <w:pPr>
        <w:numPr>
          <w:ilvl w:val="0"/>
          <w:numId w:val="1"/>
        </w:numPr>
        <w:tabs>
          <w:tab w:val="clear" w:pos="0"/>
          <w:tab w:val="num" w:pos="710"/>
        </w:tabs>
        <w:spacing w:after="240"/>
        <w:outlineLvl w:val="0"/>
        <w:rPr>
          <w:strike/>
          <w:lang w:val="es-ES"/>
        </w:rPr>
      </w:pPr>
      <w:r>
        <w:rPr>
          <w:lang w:val="es-PE"/>
        </w:rPr>
        <w:t xml:space="preserve">La ONUDI indicó asimismo que se devolverá a la 89ª reunión la cantidad de 212 152 $EUA, que comprende 53 273 $EUA y los costos de la dependencia de gestión de proyectos de 145 000 $EUA, vinculados al plan del sector de fabricación de acondicionadores de aire, más gastos de apoyo del organismo de 13 879 $EUA para la ONUDI. </w:t>
      </w:r>
    </w:p>
    <w:p w14:paraId="3BE733AD" w14:textId="77777777" w:rsidR="008E0205" w:rsidRDefault="008E0205" w:rsidP="008E0205">
      <w:pPr>
        <w:keepNext/>
        <w:rPr>
          <w:i/>
          <w:lang w:val="es-ES"/>
        </w:rPr>
      </w:pPr>
      <w:r>
        <w:rPr>
          <w:i/>
          <w:iCs/>
          <w:lang w:val="es-PE"/>
        </w:rPr>
        <w:t>Plan de acción revisado y distribución de la financiación de la etapa II del PGEH</w:t>
      </w:r>
    </w:p>
    <w:p w14:paraId="2FB6581A" w14:textId="77777777" w:rsidR="008E0205" w:rsidRDefault="008E0205" w:rsidP="008E0205">
      <w:pPr>
        <w:keepNext/>
        <w:rPr>
          <w:i/>
          <w:lang w:val="es-ES"/>
        </w:rPr>
      </w:pPr>
    </w:p>
    <w:p w14:paraId="015EB8A3" w14:textId="3318A81B" w:rsidR="008E0205" w:rsidRDefault="008E0205" w:rsidP="008E0FC9">
      <w:pPr>
        <w:numPr>
          <w:ilvl w:val="0"/>
          <w:numId w:val="1"/>
        </w:numPr>
        <w:tabs>
          <w:tab w:val="clear" w:pos="0"/>
          <w:tab w:val="num" w:pos="710"/>
        </w:tabs>
        <w:spacing w:after="240"/>
        <w:outlineLvl w:val="0"/>
        <w:rPr>
          <w:lang w:val="es-ES"/>
        </w:rPr>
      </w:pPr>
      <w:r>
        <w:rPr>
          <w:lang w:val="es-PE"/>
        </w:rPr>
        <w:t xml:space="preserve">La Secretaría tomó nota de que el plan de acción suministrado por la ONUDI era parte del seguimiento de las actividades que se habían aprobado en el marco del primer tramo, y que incluía las que se realizarán por el resto de la etapa II. Dichas actividades apoyarán la labor del país de mantener la reducción del consumo de HCFC a través de la aplicación de buenas prácticas de servicio y mantenimiento; la actualización de la capacitación impartida a través de los institutos acreditados por la TESDA; la promoción de alternativas a los HCFC y la formación dirigida a los técnicos en materia de manipulación segura de refrigerantes inflamables, entre ellos, el HFC-32; el fortalecimiento del sistema de otorgamiento de licencias y cupos por medio de una mejor gestión de los datos y la formación de oficiales de aduanas, y una nueva normativa que prohíba el registro de equipos que utilizan HCFC-22 a partir de 2021.  No hay más tramos de financiación vinculados a la etapa II del plan de gestión de la eliminación de los HCFC para Filipinas. En Filipinas, se seguirá prestando asistencia técnica al sector de acondicionadores de aire, a fin de alentar y promover el uso de alternativas con bajo PCA, teniendo en cuenta que, debido a la falta de </w:t>
      </w:r>
      <w:r>
        <w:rPr>
          <w:lang w:val="es-PE"/>
        </w:rPr>
        <w:lastRenderedPageBreak/>
        <w:t xml:space="preserve">información técnica, en el país el uso de equipos de R-410A es generalizado, en razón de la tecnología de inversores que permite reducir los costos de la energía para los usuarios finales; el suministro de información técnica a todas las partes interesadas sobre los beneficios de la tecnología de más bajo PCA, que también aplica la tecnología de inversores (esto es, HFC-32) y otras alternativas como el R-290, un análisis de mercado planificado y la prohibición de la importación de equipos que utilizan HCFC, que se prevé será efectivo a partir de enero de 2022, permitirán apoyar la adopción de alternativas en el mercado. </w:t>
      </w:r>
    </w:p>
    <w:p w14:paraId="29DDFADD" w14:textId="3AB87CA9" w:rsidR="008E0205" w:rsidRDefault="008E0205" w:rsidP="008E0FC9">
      <w:pPr>
        <w:numPr>
          <w:ilvl w:val="0"/>
          <w:numId w:val="1"/>
        </w:numPr>
        <w:tabs>
          <w:tab w:val="clear" w:pos="0"/>
          <w:tab w:val="num" w:pos="710"/>
        </w:tabs>
        <w:spacing w:after="240"/>
        <w:outlineLvl w:val="0"/>
        <w:rPr>
          <w:i/>
          <w:lang w:val="es-ES"/>
        </w:rPr>
      </w:pPr>
      <w:r>
        <w:rPr>
          <w:lang w:val="es-PE"/>
        </w:rPr>
        <w:t xml:space="preserve">En virtud de lo dispuesto en el Acuerdo con el Comité Ejecutivo, se prevé que la etapa II del PGEH finalice a más tardar el 31 de diciembre de 2022. La ONUDI señaló que la etapa III del PGEH se presentará a la 89ª reunión.  </w:t>
      </w:r>
    </w:p>
    <w:p w14:paraId="43EDCC39" w14:textId="77777777" w:rsidR="008E0205" w:rsidRDefault="008E0205" w:rsidP="008E0205">
      <w:pPr>
        <w:keepNext/>
        <w:keepLines/>
        <w:spacing w:after="240"/>
        <w:outlineLvl w:val="0"/>
        <w:rPr>
          <w:i/>
          <w:lang w:val="es-ES"/>
        </w:rPr>
      </w:pPr>
      <w:r>
        <w:rPr>
          <w:i/>
          <w:iCs/>
          <w:lang w:val="es-PE"/>
        </w:rPr>
        <w:t>Revisión del Acuerdo sobre el plan de gestión de la eliminación de los HCFC</w:t>
      </w:r>
    </w:p>
    <w:p w14:paraId="14C0872E" w14:textId="161F6223" w:rsidR="008E0205" w:rsidRDefault="008E0205" w:rsidP="008E0FC9">
      <w:pPr>
        <w:numPr>
          <w:ilvl w:val="0"/>
          <w:numId w:val="1"/>
        </w:numPr>
        <w:tabs>
          <w:tab w:val="clear" w:pos="0"/>
          <w:tab w:val="num" w:pos="710"/>
        </w:tabs>
        <w:spacing w:after="240"/>
        <w:outlineLvl w:val="0"/>
        <w:rPr>
          <w:lang w:val="es-ES"/>
        </w:rPr>
      </w:pPr>
      <w:r>
        <w:rPr>
          <w:lang w:val="es-PE"/>
        </w:rPr>
        <w:t xml:space="preserve">En vista de que se retirará el plan del sector de fabricación de acondicionadores de aire de la etapa II del PGEH, y el programa de financiación revisado, como se indica en el Cuadro 11, se ha actualizado el Apéndice 2-A del Acuerdo entre el Gobierno de Filipinas y el Comité Ejecutivo; asimismo, se ha actualizado el párrafo 17 para indicar que el Acuerdo actualizado revisado reemplaza el Acuerdo alcanzado en la 83ª reunión, tal como figura en el Anexo IV del presente documento. El Acuerdo actualizado completo se agregará al informe final de la 87ª reunión.  </w:t>
      </w:r>
    </w:p>
    <w:p w14:paraId="390EB10D" w14:textId="77777777" w:rsidR="008E0205" w:rsidRDefault="008E0205" w:rsidP="008E0205">
      <w:pPr>
        <w:pStyle w:val="Heading1"/>
        <w:numPr>
          <w:ilvl w:val="0"/>
          <w:numId w:val="0"/>
        </w:numPr>
        <w:tabs>
          <w:tab w:val="left" w:pos="720"/>
        </w:tabs>
        <w:spacing w:after="0"/>
        <w:rPr>
          <w:b/>
          <w:bCs/>
          <w:lang w:val="es-ES"/>
        </w:rPr>
      </w:pPr>
      <w:r>
        <w:rPr>
          <w:b/>
          <w:bCs/>
          <w:lang w:val="es-PE"/>
        </w:rPr>
        <w:t>Cuadro 11. Distribución en tramos de financiación revisada de la etapa II del plan de gestión de la eliminación de los HCFC para Filipinas.</w:t>
      </w:r>
    </w:p>
    <w:tbl>
      <w:tblPr>
        <w:tblStyle w:val="TableGrid"/>
        <w:tblW w:w="0" w:type="auto"/>
        <w:tblLook w:val="04A0" w:firstRow="1" w:lastRow="0" w:firstColumn="1" w:lastColumn="0" w:noHBand="0" w:noVBand="1"/>
      </w:tblPr>
      <w:tblGrid>
        <w:gridCol w:w="2674"/>
        <w:gridCol w:w="1112"/>
        <w:gridCol w:w="1113"/>
        <w:gridCol w:w="1113"/>
        <w:gridCol w:w="1112"/>
        <w:gridCol w:w="1113"/>
        <w:gridCol w:w="1113"/>
      </w:tblGrid>
      <w:tr w:rsidR="008E0205" w14:paraId="50C1F636" w14:textId="77777777" w:rsidTr="00D17F84">
        <w:trPr>
          <w:tblHeader/>
        </w:trPr>
        <w:tc>
          <w:tcPr>
            <w:tcW w:w="2674" w:type="dxa"/>
            <w:tcBorders>
              <w:top w:val="single" w:sz="4" w:space="0" w:color="auto"/>
              <w:left w:val="single" w:sz="4" w:space="0" w:color="auto"/>
              <w:bottom w:val="single" w:sz="4" w:space="0" w:color="auto"/>
              <w:right w:val="single" w:sz="4" w:space="0" w:color="auto"/>
            </w:tcBorders>
            <w:hideMark/>
          </w:tcPr>
          <w:p w14:paraId="03AB0230" w14:textId="77777777" w:rsidR="008E0205" w:rsidRDefault="008E0205">
            <w:pPr>
              <w:jc w:val="left"/>
              <w:rPr>
                <w:b/>
                <w:bCs/>
                <w:sz w:val="20"/>
                <w:szCs w:val="20"/>
              </w:rPr>
            </w:pPr>
            <w:r>
              <w:rPr>
                <w:b/>
                <w:bCs/>
                <w:sz w:val="20"/>
                <w:szCs w:val="20"/>
                <w:lang w:val="es-PE"/>
              </w:rPr>
              <w:t>Detalles</w:t>
            </w:r>
          </w:p>
        </w:tc>
        <w:tc>
          <w:tcPr>
            <w:tcW w:w="1112" w:type="dxa"/>
            <w:tcBorders>
              <w:top w:val="single" w:sz="4" w:space="0" w:color="auto"/>
              <w:left w:val="single" w:sz="4" w:space="0" w:color="auto"/>
              <w:bottom w:val="single" w:sz="4" w:space="0" w:color="auto"/>
              <w:right w:val="single" w:sz="4" w:space="0" w:color="auto"/>
            </w:tcBorders>
            <w:hideMark/>
          </w:tcPr>
          <w:p w14:paraId="527FA355" w14:textId="77777777" w:rsidR="008E0205" w:rsidRDefault="008E0205">
            <w:pPr>
              <w:jc w:val="center"/>
              <w:rPr>
                <w:b/>
                <w:bCs/>
                <w:sz w:val="20"/>
                <w:szCs w:val="20"/>
              </w:rPr>
            </w:pPr>
            <w:r>
              <w:rPr>
                <w:b/>
                <w:bCs/>
                <w:sz w:val="20"/>
                <w:szCs w:val="20"/>
                <w:lang w:val="es-PE"/>
              </w:rPr>
              <w:t>2017</w:t>
            </w:r>
          </w:p>
        </w:tc>
        <w:tc>
          <w:tcPr>
            <w:tcW w:w="1113" w:type="dxa"/>
            <w:tcBorders>
              <w:top w:val="single" w:sz="4" w:space="0" w:color="auto"/>
              <w:left w:val="single" w:sz="4" w:space="0" w:color="auto"/>
              <w:bottom w:val="single" w:sz="4" w:space="0" w:color="auto"/>
              <w:right w:val="single" w:sz="4" w:space="0" w:color="auto"/>
            </w:tcBorders>
            <w:hideMark/>
          </w:tcPr>
          <w:p w14:paraId="05A9E10E" w14:textId="77777777" w:rsidR="008E0205" w:rsidRDefault="008E0205">
            <w:pPr>
              <w:jc w:val="center"/>
              <w:rPr>
                <w:b/>
                <w:bCs/>
                <w:sz w:val="20"/>
                <w:szCs w:val="20"/>
              </w:rPr>
            </w:pPr>
            <w:r>
              <w:rPr>
                <w:b/>
                <w:bCs/>
                <w:sz w:val="20"/>
                <w:szCs w:val="20"/>
                <w:lang w:val="es-PE"/>
              </w:rPr>
              <w:t>2018</w:t>
            </w:r>
          </w:p>
        </w:tc>
        <w:tc>
          <w:tcPr>
            <w:tcW w:w="1113" w:type="dxa"/>
            <w:tcBorders>
              <w:top w:val="single" w:sz="4" w:space="0" w:color="auto"/>
              <w:left w:val="single" w:sz="4" w:space="0" w:color="auto"/>
              <w:bottom w:val="single" w:sz="4" w:space="0" w:color="auto"/>
              <w:right w:val="single" w:sz="4" w:space="0" w:color="auto"/>
            </w:tcBorders>
            <w:hideMark/>
          </w:tcPr>
          <w:p w14:paraId="612B7C26" w14:textId="77777777" w:rsidR="008E0205" w:rsidRDefault="008E0205">
            <w:pPr>
              <w:jc w:val="center"/>
              <w:rPr>
                <w:b/>
                <w:bCs/>
                <w:sz w:val="20"/>
                <w:szCs w:val="20"/>
              </w:rPr>
            </w:pPr>
            <w:r>
              <w:rPr>
                <w:b/>
                <w:bCs/>
                <w:sz w:val="20"/>
                <w:szCs w:val="20"/>
                <w:lang w:val="es-PE"/>
              </w:rPr>
              <w:t>2019</w:t>
            </w:r>
          </w:p>
        </w:tc>
        <w:tc>
          <w:tcPr>
            <w:tcW w:w="1112" w:type="dxa"/>
            <w:tcBorders>
              <w:top w:val="single" w:sz="4" w:space="0" w:color="auto"/>
              <w:left w:val="single" w:sz="4" w:space="0" w:color="auto"/>
              <w:bottom w:val="single" w:sz="4" w:space="0" w:color="auto"/>
              <w:right w:val="single" w:sz="4" w:space="0" w:color="auto"/>
            </w:tcBorders>
            <w:hideMark/>
          </w:tcPr>
          <w:p w14:paraId="5C46A222" w14:textId="77777777" w:rsidR="008E0205" w:rsidRDefault="008E0205">
            <w:pPr>
              <w:jc w:val="center"/>
              <w:rPr>
                <w:b/>
                <w:bCs/>
                <w:sz w:val="20"/>
                <w:szCs w:val="20"/>
              </w:rPr>
            </w:pPr>
            <w:r>
              <w:rPr>
                <w:b/>
                <w:bCs/>
                <w:sz w:val="20"/>
                <w:szCs w:val="20"/>
                <w:lang w:val="es-PE"/>
              </w:rPr>
              <w:t>2020</w:t>
            </w:r>
          </w:p>
        </w:tc>
        <w:tc>
          <w:tcPr>
            <w:tcW w:w="1113" w:type="dxa"/>
            <w:tcBorders>
              <w:top w:val="single" w:sz="4" w:space="0" w:color="auto"/>
              <w:left w:val="single" w:sz="4" w:space="0" w:color="auto"/>
              <w:bottom w:val="single" w:sz="4" w:space="0" w:color="auto"/>
              <w:right w:val="single" w:sz="4" w:space="0" w:color="auto"/>
            </w:tcBorders>
            <w:hideMark/>
          </w:tcPr>
          <w:p w14:paraId="1CC6D483" w14:textId="77777777" w:rsidR="008E0205" w:rsidRDefault="008E0205">
            <w:pPr>
              <w:jc w:val="center"/>
              <w:rPr>
                <w:b/>
                <w:bCs/>
                <w:sz w:val="20"/>
                <w:szCs w:val="20"/>
              </w:rPr>
            </w:pPr>
            <w:r>
              <w:rPr>
                <w:b/>
                <w:bCs/>
                <w:sz w:val="20"/>
                <w:szCs w:val="20"/>
                <w:lang w:val="es-PE"/>
              </w:rPr>
              <w:t>2021</w:t>
            </w:r>
          </w:p>
        </w:tc>
        <w:tc>
          <w:tcPr>
            <w:tcW w:w="1113" w:type="dxa"/>
            <w:tcBorders>
              <w:top w:val="single" w:sz="4" w:space="0" w:color="auto"/>
              <w:left w:val="single" w:sz="4" w:space="0" w:color="auto"/>
              <w:bottom w:val="single" w:sz="4" w:space="0" w:color="auto"/>
              <w:right w:val="single" w:sz="4" w:space="0" w:color="auto"/>
            </w:tcBorders>
            <w:hideMark/>
          </w:tcPr>
          <w:p w14:paraId="12D3571F" w14:textId="77777777" w:rsidR="008E0205" w:rsidRDefault="008E0205">
            <w:pPr>
              <w:jc w:val="right"/>
              <w:rPr>
                <w:b/>
                <w:bCs/>
                <w:sz w:val="20"/>
                <w:szCs w:val="20"/>
              </w:rPr>
            </w:pPr>
            <w:r>
              <w:rPr>
                <w:b/>
                <w:bCs/>
                <w:sz w:val="20"/>
                <w:szCs w:val="20"/>
                <w:lang w:val="es-PE"/>
              </w:rPr>
              <w:t>Total</w:t>
            </w:r>
          </w:p>
        </w:tc>
      </w:tr>
      <w:tr w:rsidR="008E0205" w14:paraId="31261BA9" w14:textId="77777777" w:rsidTr="00D17F84">
        <w:trPr>
          <w:tblHeader/>
        </w:trPr>
        <w:tc>
          <w:tcPr>
            <w:tcW w:w="9350" w:type="dxa"/>
            <w:gridSpan w:val="7"/>
            <w:tcBorders>
              <w:top w:val="single" w:sz="4" w:space="0" w:color="auto"/>
              <w:left w:val="single" w:sz="4" w:space="0" w:color="auto"/>
              <w:bottom w:val="single" w:sz="4" w:space="0" w:color="auto"/>
              <w:right w:val="single" w:sz="4" w:space="0" w:color="auto"/>
            </w:tcBorders>
            <w:hideMark/>
          </w:tcPr>
          <w:p w14:paraId="3C0F4711" w14:textId="77777777" w:rsidR="008E0205" w:rsidRDefault="008E0205">
            <w:pPr>
              <w:jc w:val="left"/>
              <w:rPr>
                <w:b/>
                <w:bCs/>
                <w:sz w:val="20"/>
                <w:szCs w:val="20"/>
              </w:rPr>
            </w:pPr>
            <w:r>
              <w:rPr>
                <w:b/>
                <w:bCs/>
                <w:sz w:val="20"/>
                <w:szCs w:val="20"/>
                <w:lang w:val="es-PE"/>
              </w:rPr>
              <w:t>Original</w:t>
            </w:r>
          </w:p>
        </w:tc>
      </w:tr>
      <w:tr w:rsidR="008E0205" w14:paraId="68C86FA0" w14:textId="77777777" w:rsidTr="008E0205">
        <w:tc>
          <w:tcPr>
            <w:tcW w:w="2674" w:type="dxa"/>
            <w:tcBorders>
              <w:top w:val="single" w:sz="4" w:space="0" w:color="auto"/>
              <w:left w:val="single" w:sz="4" w:space="0" w:color="auto"/>
              <w:bottom w:val="single" w:sz="4" w:space="0" w:color="auto"/>
              <w:right w:val="single" w:sz="4" w:space="0" w:color="auto"/>
            </w:tcBorders>
            <w:hideMark/>
          </w:tcPr>
          <w:p w14:paraId="1DFFFCFC" w14:textId="77777777" w:rsidR="008E0205" w:rsidRDefault="008E0205">
            <w:pPr>
              <w:jc w:val="left"/>
              <w:rPr>
                <w:sz w:val="20"/>
                <w:szCs w:val="20"/>
              </w:rPr>
            </w:pPr>
            <w:r>
              <w:rPr>
                <w:sz w:val="20"/>
                <w:szCs w:val="20"/>
                <w:lang w:val="es-PE"/>
              </w:rPr>
              <w:t xml:space="preserve">Financiación acordada  </w:t>
            </w:r>
          </w:p>
        </w:tc>
        <w:tc>
          <w:tcPr>
            <w:tcW w:w="1112" w:type="dxa"/>
            <w:tcBorders>
              <w:top w:val="single" w:sz="4" w:space="0" w:color="auto"/>
              <w:left w:val="single" w:sz="4" w:space="0" w:color="auto"/>
              <w:bottom w:val="single" w:sz="4" w:space="0" w:color="auto"/>
              <w:right w:val="single" w:sz="4" w:space="0" w:color="auto"/>
            </w:tcBorders>
            <w:hideMark/>
          </w:tcPr>
          <w:p w14:paraId="00991A2E" w14:textId="77777777" w:rsidR="008E0205" w:rsidRDefault="008E0205">
            <w:pPr>
              <w:jc w:val="right"/>
              <w:rPr>
                <w:sz w:val="20"/>
                <w:szCs w:val="20"/>
              </w:rPr>
            </w:pPr>
            <w:r>
              <w:rPr>
                <w:sz w:val="20"/>
                <w:szCs w:val="20"/>
                <w:lang w:val="es-PE"/>
              </w:rPr>
              <w:t>1 010 023</w:t>
            </w:r>
          </w:p>
        </w:tc>
        <w:tc>
          <w:tcPr>
            <w:tcW w:w="1113" w:type="dxa"/>
            <w:tcBorders>
              <w:top w:val="single" w:sz="4" w:space="0" w:color="auto"/>
              <w:left w:val="single" w:sz="4" w:space="0" w:color="auto"/>
              <w:bottom w:val="single" w:sz="4" w:space="0" w:color="auto"/>
              <w:right w:val="single" w:sz="4" w:space="0" w:color="auto"/>
            </w:tcBorders>
            <w:hideMark/>
          </w:tcPr>
          <w:p w14:paraId="0C8E06E5" w14:textId="77777777" w:rsidR="008E0205" w:rsidRDefault="008E0205">
            <w:pPr>
              <w:jc w:val="right"/>
              <w:rPr>
                <w:sz w:val="20"/>
                <w:szCs w:val="20"/>
              </w:rPr>
            </w:pPr>
            <w:r>
              <w:rPr>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hideMark/>
          </w:tcPr>
          <w:p w14:paraId="3FAB2ACD" w14:textId="77777777" w:rsidR="008E0205" w:rsidRDefault="008E0205">
            <w:pPr>
              <w:jc w:val="right"/>
              <w:rPr>
                <w:sz w:val="20"/>
                <w:szCs w:val="20"/>
              </w:rPr>
            </w:pPr>
            <w:r>
              <w:rPr>
                <w:sz w:val="20"/>
                <w:szCs w:val="20"/>
                <w:lang w:val="es-PE"/>
              </w:rPr>
              <w:t>1 450 029</w:t>
            </w:r>
          </w:p>
        </w:tc>
        <w:tc>
          <w:tcPr>
            <w:tcW w:w="1112" w:type="dxa"/>
            <w:tcBorders>
              <w:top w:val="single" w:sz="4" w:space="0" w:color="auto"/>
              <w:left w:val="single" w:sz="4" w:space="0" w:color="auto"/>
              <w:bottom w:val="single" w:sz="4" w:space="0" w:color="auto"/>
              <w:right w:val="single" w:sz="4" w:space="0" w:color="auto"/>
            </w:tcBorders>
            <w:hideMark/>
          </w:tcPr>
          <w:p w14:paraId="2495D4E0" w14:textId="77777777" w:rsidR="008E0205" w:rsidRDefault="008E0205">
            <w:pPr>
              <w:jc w:val="right"/>
              <w:rPr>
                <w:sz w:val="20"/>
                <w:szCs w:val="20"/>
              </w:rPr>
            </w:pPr>
            <w:r>
              <w:rPr>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hideMark/>
          </w:tcPr>
          <w:p w14:paraId="231461CE" w14:textId="77777777" w:rsidR="008E0205" w:rsidRDefault="008E0205">
            <w:pPr>
              <w:jc w:val="right"/>
              <w:rPr>
                <w:sz w:val="20"/>
                <w:szCs w:val="20"/>
              </w:rPr>
            </w:pPr>
            <w:r>
              <w:rPr>
                <w:sz w:val="20"/>
                <w:szCs w:val="20"/>
                <w:lang w:val="es-PE"/>
              </w:rPr>
              <w:t>290 005</w:t>
            </w:r>
          </w:p>
        </w:tc>
        <w:tc>
          <w:tcPr>
            <w:tcW w:w="1113" w:type="dxa"/>
            <w:tcBorders>
              <w:top w:val="single" w:sz="4" w:space="0" w:color="auto"/>
              <w:left w:val="single" w:sz="4" w:space="0" w:color="auto"/>
              <w:bottom w:val="single" w:sz="4" w:space="0" w:color="auto"/>
              <w:right w:val="single" w:sz="4" w:space="0" w:color="auto"/>
            </w:tcBorders>
            <w:hideMark/>
          </w:tcPr>
          <w:p w14:paraId="5FF8D9CD" w14:textId="77777777" w:rsidR="008E0205" w:rsidRDefault="008E0205">
            <w:pPr>
              <w:jc w:val="right"/>
              <w:rPr>
                <w:b/>
                <w:bCs/>
                <w:sz w:val="20"/>
                <w:szCs w:val="20"/>
              </w:rPr>
            </w:pPr>
            <w:r>
              <w:rPr>
                <w:b/>
                <w:bCs/>
                <w:sz w:val="20"/>
                <w:szCs w:val="20"/>
                <w:lang w:val="es-PE"/>
              </w:rPr>
              <w:t>2 750 057</w:t>
            </w:r>
          </w:p>
        </w:tc>
      </w:tr>
      <w:tr w:rsidR="008E0205" w14:paraId="1656E14C" w14:textId="77777777" w:rsidTr="008E0205">
        <w:tc>
          <w:tcPr>
            <w:tcW w:w="2674" w:type="dxa"/>
            <w:tcBorders>
              <w:top w:val="single" w:sz="4" w:space="0" w:color="auto"/>
              <w:left w:val="single" w:sz="4" w:space="0" w:color="auto"/>
              <w:bottom w:val="single" w:sz="4" w:space="0" w:color="auto"/>
              <w:right w:val="single" w:sz="4" w:space="0" w:color="auto"/>
            </w:tcBorders>
            <w:hideMark/>
          </w:tcPr>
          <w:p w14:paraId="6C6F4B60" w14:textId="77777777" w:rsidR="008E0205" w:rsidRDefault="008E0205">
            <w:pPr>
              <w:jc w:val="left"/>
              <w:rPr>
                <w:sz w:val="20"/>
                <w:szCs w:val="20"/>
              </w:rPr>
            </w:pPr>
            <w:r>
              <w:rPr>
                <w:sz w:val="20"/>
                <w:szCs w:val="20"/>
                <w:lang w:val="es-PE"/>
              </w:rPr>
              <w:t>Gastos de apoyo</w:t>
            </w:r>
          </w:p>
        </w:tc>
        <w:tc>
          <w:tcPr>
            <w:tcW w:w="1112" w:type="dxa"/>
            <w:tcBorders>
              <w:top w:val="single" w:sz="4" w:space="0" w:color="auto"/>
              <w:left w:val="single" w:sz="4" w:space="0" w:color="auto"/>
              <w:bottom w:val="single" w:sz="4" w:space="0" w:color="auto"/>
              <w:right w:val="single" w:sz="4" w:space="0" w:color="auto"/>
            </w:tcBorders>
            <w:hideMark/>
          </w:tcPr>
          <w:p w14:paraId="04ABA48E" w14:textId="77777777" w:rsidR="008E0205" w:rsidRDefault="008E0205">
            <w:pPr>
              <w:jc w:val="right"/>
              <w:rPr>
                <w:sz w:val="20"/>
                <w:szCs w:val="20"/>
              </w:rPr>
            </w:pPr>
            <w:r>
              <w:rPr>
                <w:sz w:val="20"/>
                <w:szCs w:val="20"/>
                <w:lang w:val="es-PE"/>
              </w:rPr>
              <w:t>70 702</w:t>
            </w:r>
          </w:p>
        </w:tc>
        <w:tc>
          <w:tcPr>
            <w:tcW w:w="1113" w:type="dxa"/>
            <w:tcBorders>
              <w:top w:val="single" w:sz="4" w:space="0" w:color="auto"/>
              <w:left w:val="single" w:sz="4" w:space="0" w:color="auto"/>
              <w:bottom w:val="single" w:sz="4" w:space="0" w:color="auto"/>
              <w:right w:val="single" w:sz="4" w:space="0" w:color="auto"/>
            </w:tcBorders>
            <w:hideMark/>
          </w:tcPr>
          <w:p w14:paraId="47D486AB" w14:textId="77777777" w:rsidR="008E0205" w:rsidRDefault="008E0205">
            <w:pPr>
              <w:jc w:val="right"/>
              <w:rPr>
                <w:sz w:val="20"/>
                <w:szCs w:val="20"/>
              </w:rPr>
            </w:pPr>
            <w:r>
              <w:rPr>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hideMark/>
          </w:tcPr>
          <w:p w14:paraId="3F3F38F8" w14:textId="77777777" w:rsidR="008E0205" w:rsidRDefault="008E0205">
            <w:pPr>
              <w:jc w:val="right"/>
              <w:rPr>
                <w:sz w:val="20"/>
                <w:szCs w:val="20"/>
              </w:rPr>
            </w:pPr>
            <w:r>
              <w:rPr>
                <w:sz w:val="20"/>
                <w:szCs w:val="20"/>
                <w:lang w:val="es-PE"/>
              </w:rPr>
              <w:t>101 502</w:t>
            </w:r>
          </w:p>
        </w:tc>
        <w:tc>
          <w:tcPr>
            <w:tcW w:w="1112" w:type="dxa"/>
            <w:tcBorders>
              <w:top w:val="single" w:sz="4" w:space="0" w:color="auto"/>
              <w:left w:val="single" w:sz="4" w:space="0" w:color="auto"/>
              <w:bottom w:val="single" w:sz="4" w:space="0" w:color="auto"/>
              <w:right w:val="single" w:sz="4" w:space="0" w:color="auto"/>
            </w:tcBorders>
            <w:hideMark/>
          </w:tcPr>
          <w:p w14:paraId="77795CAE" w14:textId="77777777" w:rsidR="008E0205" w:rsidRDefault="008E0205">
            <w:pPr>
              <w:jc w:val="right"/>
              <w:rPr>
                <w:sz w:val="20"/>
                <w:szCs w:val="20"/>
              </w:rPr>
            </w:pPr>
            <w:r>
              <w:rPr>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hideMark/>
          </w:tcPr>
          <w:p w14:paraId="05E57035" w14:textId="77777777" w:rsidR="008E0205" w:rsidRDefault="008E0205">
            <w:pPr>
              <w:jc w:val="right"/>
              <w:rPr>
                <w:sz w:val="20"/>
                <w:szCs w:val="20"/>
              </w:rPr>
            </w:pPr>
            <w:r>
              <w:rPr>
                <w:sz w:val="20"/>
                <w:szCs w:val="20"/>
                <w:lang w:val="es-PE"/>
              </w:rPr>
              <w:t>20 300</w:t>
            </w:r>
          </w:p>
        </w:tc>
        <w:tc>
          <w:tcPr>
            <w:tcW w:w="1113" w:type="dxa"/>
            <w:tcBorders>
              <w:top w:val="single" w:sz="4" w:space="0" w:color="auto"/>
              <w:left w:val="single" w:sz="4" w:space="0" w:color="auto"/>
              <w:bottom w:val="single" w:sz="4" w:space="0" w:color="auto"/>
              <w:right w:val="single" w:sz="4" w:space="0" w:color="auto"/>
            </w:tcBorders>
            <w:hideMark/>
          </w:tcPr>
          <w:p w14:paraId="4E0E516F" w14:textId="77777777" w:rsidR="008E0205" w:rsidRDefault="008E0205">
            <w:pPr>
              <w:jc w:val="right"/>
              <w:rPr>
                <w:b/>
                <w:bCs/>
                <w:sz w:val="20"/>
                <w:szCs w:val="20"/>
              </w:rPr>
            </w:pPr>
            <w:r>
              <w:rPr>
                <w:b/>
                <w:bCs/>
                <w:sz w:val="20"/>
                <w:szCs w:val="20"/>
                <w:lang w:val="es-PE"/>
              </w:rPr>
              <w:t>192 504</w:t>
            </w:r>
          </w:p>
        </w:tc>
      </w:tr>
      <w:tr w:rsidR="008E0205" w14:paraId="7D873778" w14:textId="77777777" w:rsidTr="008E0205">
        <w:tc>
          <w:tcPr>
            <w:tcW w:w="2674" w:type="dxa"/>
            <w:tcBorders>
              <w:top w:val="single" w:sz="4" w:space="0" w:color="auto"/>
              <w:left w:val="single" w:sz="4" w:space="0" w:color="auto"/>
              <w:bottom w:val="single" w:sz="4" w:space="0" w:color="auto"/>
              <w:right w:val="single" w:sz="4" w:space="0" w:color="auto"/>
            </w:tcBorders>
            <w:hideMark/>
          </w:tcPr>
          <w:p w14:paraId="1E0DEF83" w14:textId="77777777" w:rsidR="008E0205" w:rsidRDefault="008E0205">
            <w:pPr>
              <w:jc w:val="left"/>
              <w:rPr>
                <w:sz w:val="20"/>
                <w:szCs w:val="20"/>
              </w:rPr>
            </w:pPr>
            <w:r>
              <w:rPr>
                <w:sz w:val="20"/>
                <w:szCs w:val="20"/>
                <w:lang w:val="es-PE"/>
              </w:rPr>
              <w:t xml:space="preserve">Costos totales acordados </w:t>
            </w:r>
          </w:p>
        </w:tc>
        <w:tc>
          <w:tcPr>
            <w:tcW w:w="1112" w:type="dxa"/>
            <w:tcBorders>
              <w:top w:val="single" w:sz="4" w:space="0" w:color="auto"/>
              <w:left w:val="single" w:sz="4" w:space="0" w:color="auto"/>
              <w:bottom w:val="single" w:sz="4" w:space="0" w:color="auto"/>
              <w:right w:val="single" w:sz="4" w:space="0" w:color="auto"/>
            </w:tcBorders>
            <w:hideMark/>
          </w:tcPr>
          <w:p w14:paraId="17AA3255" w14:textId="77777777" w:rsidR="008E0205" w:rsidRDefault="008E0205">
            <w:pPr>
              <w:jc w:val="right"/>
              <w:rPr>
                <w:sz w:val="20"/>
                <w:szCs w:val="20"/>
              </w:rPr>
            </w:pPr>
            <w:r>
              <w:rPr>
                <w:sz w:val="20"/>
                <w:szCs w:val="20"/>
                <w:lang w:val="es-PE"/>
              </w:rPr>
              <w:t>1 080 725</w:t>
            </w:r>
          </w:p>
        </w:tc>
        <w:tc>
          <w:tcPr>
            <w:tcW w:w="1113" w:type="dxa"/>
            <w:tcBorders>
              <w:top w:val="single" w:sz="4" w:space="0" w:color="auto"/>
              <w:left w:val="single" w:sz="4" w:space="0" w:color="auto"/>
              <w:bottom w:val="single" w:sz="4" w:space="0" w:color="auto"/>
              <w:right w:val="single" w:sz="4" w:space="0" w:color="auto"/>
            </w:tcBorders>
            <w:hideMark/>
          </w:tcPr>
          <w:p w14:paraId="7759B420" w14:textId="77777777" w:rsidR="008E0205" w:rsidRDefault="008E0205">
            <w:pPr>
              <w:jc w:val="right"/>
              <w:rPr>
                <w:sz w:val="20"/>
                <w:szCs w:val="20"/>
              </w:rPr>
            </w:pPr>
            <w:r>
              <w:rPr>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hideMark/>
          </w:tcPr>
          <w:p w14:paraId="47603A3E" w14:textId="77777777" w:rsidR="008E0205" w:rsidRDefault="008E0205">
            <w:pPr>
              <w:jc w:val="right"/>
              <w:rPr>
                <w:sz w:val="20"/>
                <w:szCs w:val="20"/>
              </w:rPr>
            </w:pPr>
            <w:r>
              <w:rPr>
                <w:sz w:val="20"/>
                <w:szCs w:val="20"/>
                <w:lang w:val="es-PE"/>
              </w:rPr>
              <w:t>1 551 531</w:t>
            </w:r>
          </w:p>
        </w:tc>
        <w:tc>
          <w:tcPr>
            <w:tcW w:w="1112" w:type="dxa"/>
            <w:tcBorders>
              <w:top w:val="single" w:sz="4" w:space="0" w:color="auto"/>
              <w:left w:val="single" w:sz="4" w:space="0" w:color="auto"/>
              <w:bottom w:val="single" w:sz="4" w:space="0" w:color="auto"/>
              <w:right w:val="single" w:sz="4" w:space="0" w:color="auto"/>
            </w:tcBorders>
            <w:hideMark/>
          </w:tcPr>
          <w:p w14:paraId="51A737DC" w14:textId="77777777" w:rsidR="008E0205" w:rsidRDefault="008E0205">
            <w:pPr>
              <w:jc w:val="right"/>
              <w:rPr>
                <w:sz w:val="20"/>
                <w:szCs w:val="20"/>
              </w:rPr>
            </w:pPr>
            <w:r>
              <w:rPr>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hideMark/>
          </w:tcPr>
          <w:p w14:paraId="1716DCE0" w14:textId="77777777" w:rsidR="008E0205" w:rsidRDefault="008E0205">
            <w:pPr>
              <w:jc w:val="right"/>
              <w:rPr>
                <w:sz w:val="20"/>
                <w:szCs w:val="20"/>
              </w:rPr>
            </w:pPr>
            <w:r>
              <w:rPr>
                <w:sz w:val="20"/>
                <w:szCs w:val="20"/>
                <w:lang w:val="es-PE"/>
              </w:rPr>
              <w:t>310 305</w:t>
            </w:r>
          </w:p>
        </w:tc>
        <w:tc>
          <w:tcPr>
            <w:tcW w:w="1113" w:type="dxa"/>
            <w:tcBorders>
              <w:top w:val="single" w:sz="4" w:space="0" w:color="auto"/>
              <w:left w:val="single" w:sz="4" w:space="0" w:color="auto"/>
              <w:bottom w:val="single" w:sz="4" w:space="0" w:color="auto"/>
              <w:right w:val="single" w:sz="4" w:space="0" w:color="auto"/>
            </w:tcBorders>
            <w:hideMark/>
          </w:tcPr>
          <w:p w14:paraId="63242AB4" w14:textId="77777777" w:rsidR="008E0205" w:rsidRDefault="008E0205">
            <w:pPr>
              <w:jc w:val="right"/>
              <w:rPr>
                <w:b/>
                <w:bCs/>
                <w:sz w:val="20"/>
                <w:szCs w:val="20"/>
              </w:rPr>
            </w:pPr>
            <w:r>
              <w:rPr>
                <w:b/>
                <w:bCs/>
                <w:sz w:val="20"/>
                <w:szCs w:val="20"/>
                <w:lang w:val="es-PE"/>
              </w:rPr>
              <w:t>2 942 561</w:t>
            </w:r>
          </w:p>
        </w:tc>
      </w:tr>
      <w:tr w:rsidR="008E0205" w14:paraId="7948CF4E" w14:textId="77777777" w:rsidTr="008E0205">
        <w:tc>
          <w:tcPr>
            <w:tcW w:w="9350" w:type="dxa"/>
            <w:gridSpan w:val="7"/>
            <w:tcBorders>
              <w:top w:val="single" w:sz="4" w:space="0" w:color="auto"/>
              <w:left w:val="single" w:sz="4" w:space="0" w:color="auto"/>
              <w:bottom w:val="single" w:sz="4" w:space="0" w:color="auto"/>
              <w:right w:val="single" w:sz="4" w:space="0" w:color="auto"/>
            </w:tcBorders>
            <w:hideMark/>
          </w:tcPr>
          <w:p w14:paraId="4767EF01" w14:textId="77777777" w:rsidR="008E0205" w:rsidRDefault="008E0205">
            <w:pPr>
              <w:jc w:val="left"/>
              <w:rPr>
                <w:b/>
                <w:bCs/>
                <w:sz w:val="20"/>
                <w:szCs w:val="20"/>
              </w:rPr>
            </w:pPr>
            <w:r>
              <w:rPr>
                <w:b/>
                <w:bCs/>
                <w:sz w:val="20"/>
                <w:szCs w:val="20"/>
                <w:lang w:val="es-PE"/>
              </w:rPr>
              <w:t>Revisado</w:t>
            </w:r>
          </w:p>
        </w:tc>
      </w:tr>
      <w:tr w:rsidR="008E0205" w14:paraId="32692E43" w14:textId="77777777" w:rsidTr="008E0205">
        <w:tc>
          <w:tcPr>
            <w:tcW w:w="2674" w:type="dxa"/>
            <w:tcBorders>
              <w:top w:val="single" w:sz="4" w:space="0" w:color="auto"/>
              <w:left w:val="single" w:sz="4" w:space="0" w:color="auto"/>
              <w:bottom w:val="single" w:sz="4" w:space="0" w:color="auto"/>
              <w:right w:val="single" w:sz="4" w:space="0" w:color="auto"/>
            </w:tcBorders>
            <w:hideMark/>
          </w:tcPr>
          <w:p w14:paraId="7945CA49" w14:textId="77777777" w:rsidR="008E0205" w:rsidRDefault="008E0205">
            <w:pPr>
              <w:jc w:val="left"/>
              <w:rPr>
                <w:sz w:val="20"/>
                <w:szCs w:val="20"/>
              </w:rPr>
            </w:pPr>
            <w:r>
              <w:rPr>
                <w:sz w:val="20"/>
                <w:szCs w:val="20"/>
                <w:lang w:val="es-PE"/>
              </w:rPr>
              <w:t xml:space="preserve">Financiación acordada  </w:t>
            </w:r>
          </w:p>
        </w:tc>
        <w:tc>
          <w:tcPr>
            <w:tcW w:w="1112" w:type="dxa"/>
            <w:tcBorders>
              <w:top w:val="single" w:sz="4" w:space="0" w:color="auto"/>
              <w:left w:val="single" w:sz="4" w:space="0" w:color="auto"/>
              <w:bottom w:val="single" w:sz="4" w:space="0" w:color="auto"/>
              <w:right w:val="single" w:sz="4" w:space="0" w:color="auto"/>
            </w:tcBorders>
            <w:vAlign w:val="center"/>
            <w:hideMark/>
          </w:tcPr>
          <w:p w14:paraId="056E428B" w14:textId="77777777" w:rsidR="008E0205" w:rsidRDefault="008E0205">
            <w:pPr>
              <w:jc w:val="right"/>
              <w:rPr>
                <w:sz w:val="20"/>
                <w:szCs w:val="20"/>
              </w:rPr>
            </w:pPr>
            <w:r>
              <w:rPr>
                <w:color w:val="000000"/>
                <w:sz w:val="20"/>
                <w:szCs w:val="20"/>
                <w:lang w:val="es-PE"/>
              </w:rPr>
              <w:t>811 750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1FB70E3"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6269C9D" w14:textId="77777777" w:rsidR="008E0205" w:rsidRDefault="008E0205">
            <w:pPr>
              <w:jc w:val="right"/>
              <w:rPr>
                <w:sz w:val="20"/>
                <w:szCs w:val="20"/>
              </w:rPr>
            </w:pPr>
            <w:r>
              <w:rPr>
                <w:color w:val="000000"/>
                <w:sz w:val="20"/>
                <w:szCs w:val="20"/>
                <w:lang w:val="es-PE"/>
              </w:rPr>
              <w:t>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2531F75"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9EA9EF9"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8E19DA2" w14:textId="77777777" w:rsidR="008E0205" w:rsidRDefault="008E0205">
            <w:pPr>
              <w:jc w:val="right"/>
              <w:rPr>
                <w:b/>
                <w:bCs/>
                <w:sz w:val="20"/>
                <w:szCs w:val="20"/>
              </w:rPr>
            </w:pPr>
            <w:r>
              <w:rPr>
                <w:b/>
                <w:bCs/>
                <w:color w:val="000000"/>
                <w:sz w:val="20"/>
                <w:szCs w:val="20"/>
                <w:lang w:val="es-PE"/>
              </w:rPr>
              <w:t>811 750</w:t>
            </w:r>
          </w:p>
        </w:tc>
      </w:tr>
      <w:tr w:rsidR="008E0205" w14:paraId="19071669" w14:textId="77777777" w:rsidTr="008E0205">
        <w:tc>
          <w:tcPr>
            <w:tcW w:w="2674" w:type="dxa"/>
            <w:tcBorders>
              <w:top w:val="single" w:sz="4" w:space="0" w:color="auto"/>
              <w:left w:val="single" w:sz="4" w:space="0" w:color="auto"/>
              <w:bottom w:val="single" w:sz="4" w:space="0" w:color="auto"/>
              <w:right w:val="single" w:sz="4" w:space="0" w:color="auto"/>
            </w:tcBorders>
            <w:hideMark/>
          </w:tcPr>
          <w:p w14:paraId="08209516" w14:textId="77777777" w:rsidR="008E0205" w:rsidRDefault="008E0205">
            <w:pPr>
              <w:jc w:val="left"/>
              <w:rPr>
                <w:sz w:val="20"/>
                <w:szCs w:val="20"/>
              </w:rPr>
            </w:pPr>
            <w:r>
              <w:rPr>
                <w:sz w:val="20"/>
                <w:szCs w:val="20"/>
                <w:lang w:val="es-PE"/>
              </w:rPr>
              <w:t>Gastos de apoyo</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504312D" w14:textId="77777777" w:rsidR="008E0205" w:rsidRDefault="008E0205">
            <w:pPr>
              <w:jc w:val="right"/>
              <w:rPr>
                <w:sz w:val="20"/>
                <w:szCs w:val="20"/>
              </w:rPr>
            </w:pPr>
            <w:r>
              <w:rPr>
                <w:color w:val="000000"/>
                <w:sz w:val="20"/>
                <w:szCs w:val="20"/>
                <w:lang w:val="es-PE"/>
              </w:rPr>
              <w:t>56,823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CDF706C"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2E8E0B6" w14:textId="77777777" w:rsidR="008E0205" w:rsidRDefault="008E0205">
            <w:pPr>
              <w:jc w:val="right"/>
              <w:rPr>
                <w:sz w:val="20"/>
                <w:szCs w:val="20"/>
              </w:rPr>
            </w:pPr>
            <w:r>
              <w:rPr>
                <w:color w:val="000000"/>
                <w:sz w:val="20"/>
                <w:szCs w:val="20"/>
                <w:lang w:val="es-PE"/>
              </w:rPr>
              <w:t>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B017B29"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2DEB3F5"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4AA6C3D" w14:textId="77777777" w:rsidR="008E0205" w:rsidRDefault="008E0205">
            <w:pPr>
              <w:jc w:val="right"/>
              <w:rPr>
                <w:b/>
                <w:bCs/>
                <w:sz w:val="20"/>
                <w:szCs w:val="20"/>
              </w:rPr>
            </w:pPr>
            <w:r>
              <w:rPr>
                <w:b/>
                <w:bCs/>
                <w:color w:val="000000"/>
                <w:sz w:val="20"/>
                <w:szCs w:val="20"/>
                <w:lang w:val="es-PE"/>
              </w:rPr>
              <w:t>56 823</w:t>
            </w:r>
          </w:p>
        </w:tc>
      </w:tr>
      <w:tr w:rsidR="008E0205" w14:paraId="40CB93B2" w14:textId="77777777" w:rsidTr="008E0205">
        <w:tc>
          <w:tcPr>
            <w:tcW w:w="2674" w:type="dxa"/>
            <w:tcBorders>
              <w:top w:val="single" w:sz="4" w:space="0" w:color="auto"/>
              <w:left w:val="single" w:sz="4" w:space="0" w:color="auto"/>
              <w:bottom w:val="single" w:sz="4" w:space="0" w:color="auto"/>
              <w:right w:val="single" w:sz="4" w:space="0" w:color="auto"/>
            </w:tcBorders>
            <w:hideMark/>
          </w:tcPr>
          <w:p w14:paraId="3FF3811A" w14:textId="77777777" w:rsidR="008E0205" w:rsidRDefault="008E0205">
            <w:pPr>
              <w:jc w:val="left"/>
              <w:rPr>
                <w:sz w:val="20"/>
                <w:szCs w:val="20"/>
              </w:rPr>
            </w:pPr>
            <w:r>
              <w:rPr>
                <w:sz w:val="20"/>
                <w:szCs w:val="20"/>
                <w:lang w:val="es-PE"/>
              </w:rPr>
              <w:t xml:space="preserve">Costos totales acordados </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BAC9CCE" w14:textId="77777777" w:rsidR="008E0205" w:rsidRDefault="008E0205">
            <w:pPr>
              <w:jc w:val="right"/>
              <w:rPr>
                <w:sz w:val="20"/>
                <w:szCs w:val="20"/>
              </w:rPr>
            </w:pPr>
            <w:r>
              <w:rPr>
                <w:color w:val="000000"/>
                <w:sz w:val="20"/>
                <w:szCs w:val="20"/>
                <w:lang w:val="es-PE"/>
              </w:rPr>
              <w:t>868 573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8088D4A"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B210C7F" w14:textId="77777777" w:rsidR="008E0205" w:rsidRDefault="008E0205">
            <w:pPr>
              <w:jc w:val="right"/>
              <w:rPr>
                <w:sz w:val="20"/>
                <w:szCs w:val="20"/>
              </w:rPr>
            </w:pPr>
            <w:r>
              <w:rPr>
                <w:color w:val="000000"/>
                <w:sz w:val="20"/>
                <w:szCs w:val="20"/>
                <w:lang w:val="es-PE"/>
              </w:rPr>
              <w:t>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DE96250"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D6D92C5" w14:textId="77777777" w:rsidR="008E0205" w:rsidRDefault="008E0205">
            <w:pPr>
              <w:jc w:val="right"/>
              <w:rPr>
                <w:sz w:val="20"/>
                <w:szCs w:val="20"/>
              </w:rPr>
            </w:pPr>
            <w:r>
              <w:rPr>
                <w:color w:val="000000"/>
                <w:sz w:val="20"/>
                <w:szCs w:val="20"/>
                <w:lang w:val="es-PE"/>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FA46535" w14:textId="77777777" w:rsidR="008E0205" w:rsidRDefault="008E0205">
            <w:pPr>
              <w:jc w:val="right"/>
              <w:rPr>
                <w:b/>
                <w:bCs/>
                <w:sz w:val="20"/>
                <w:szCs w:val="20"/>
              </w:rPr>
            </w:pPr>
            <w:r>
              <w:rPr>
                <w:b/>
                <w:bCs/>
                <w:color w:val="000000"/>
                <w:sz w:val="20"/>
                <w:szCs w:val="20"/>
                <w:lang w:val="es-PE"/>
              </w:rPr>
              <w:t>868 573</w:t>
            </w:r>
          </w:p>
        </w:tc>
      </w:tr>
    </w:tbl>
    <w:p w14:paraId="5CEDEDA7" w14:textId="77777777" w:rsidR="008E0205" w:rsidRDefault="008E0205" w:rsidP="008E0205">
      <w:pPr>
        <w:keepNext/>
        <w:keepLines/>
        <w:tabs>
          <w:tab w:val="left" w:pos="720"/>
        </w:tabs>
        <w:spacing w:after="240"/>
        <w:outlineLvl w:val="0"/>
        <w:rPr>
          <w:b/>
          <w:lang w:val="en-CA"/>
        </w:rPr>
      </w:pPr>
    </w:p>
    <w:p w14:paraId="2EC2FF47" w14:textId="77777777" w:rsidR="008E0205" w:rsidRDefault="008E0205" w:rsidP="008E0205">
      <w:pPr>
        <w:keepNext/>
        <w:keepLines/>
        <w:tabs>
          <w:tab w:val="left" w:pos="720"/>
        </w:tabs>
        <w:spacing w:after="240"/>
        <w:outlineLvl w:val="0"/>
        <w:rPr>
          <w:b/>
          <w:lang w:val="en-CA"/>
        </w:rPr>
      </w:pPr>
      <w:r>
        <w:rPr>
          <w:b/>
          <w:bCs/>
          <w:lang w:val="es-PE"/>
        </w:rPr>
        <w:t>Recomendación</w:t>
      </w:r>
    </w:p>
    <w:p w14:paraId="09C817F2" w14:textId="7161DB89" w:rsidR="008E0205" w:rsidRDefault="008E0205" w:rsidP="008E0FC9">
      <w:pPr>
        <w:numPr>
          <w:ilvl w:val="0"/>
          <w:numId w:val="1"/>
        </w:numPr>
        <w:tabs>
          <w:tab w:val="clear" w:pos="0"/>
          <w:tab w:val="num" w:pos="710"/>
        </w:tabs>
        <w:spacing w:after="240"/>
        <w:outlineLvl w:val="0"/>
        <w:rPr>
          <w:lang w:val="es-ES"/>
        </w:rPr>
      </w:pPr>
      <w:r>
        <w:rPr>
          <w:lang w:val="es-PE"/>
        </w:rPr>
        <w:t xml:space="preserve">El Comité Ejecutivo podría considerar: </w:t>
      </w:r>
    </w:p>
    <w:p w14:paraId="5C4B4786" w14:textId="022689D8" w:rsidR="008E0205" w:rsidRDefault="008E0205" w:rsidP="008E0FC9">
      <w:pPr>
        <w:pStyle w:val="Heading2"/>
        <w:keepNext/>
        <w:widowControl/>
        <w:numPr>
          <w:ilvl w:val="1"/>
          <w:numId w:val="7"/>
        </w:numPr>
        <w:tabs>
          <w:tab w:val="clear" w:pos="0"/>
        </w:tabs>
        <w:rPr>
          <w:lang w:val="es-ES"/>
        </w:rPr>
      </w:pPr>
      <w:r w:rsidRPr="008E0FC9">
        <w:rPr>
          <w:lang w:val="es-ES"/>
        </w:rPr>
        <w:t xml:space="preserve">Tomar nota de la solicitud del Gobierno de Filipinas de retirar el plan del sector de fabricación de acondicionadores de aire de la etapa II del plan de gestión de la eliminación de los HCFC (PGEH) que figura en el documento UNEP/OzL.Pro/ExCom/80/48, teniendo en cuenta que todas las empresas que figuran en el plan del sector han procedido a la eliminación de su consumo de HCFC-22 (15,57 toneladas PAO); </w:t>
      </w:r>
    </w:p>
    <w:p w14:paraId="4F03CAC0" w14:textId="42CDD280" w:rsidR="008E0205" w:rsidRDefault="008E0205" w:rsidP="008E0FC9">
      <w:pPr>
        <w:pStyle w:val="Heading2"/>
        <w:keepNext/>
        <w:widowControl/>
        <w:numPr>
          <w:ilvl w:val="1"/>
          <w:numId w:val="7"/>
        </w:numPr>
        <w:tabs>
          <w:tab w:val="clear" w:pos="0"/>
        </w:tabs>
        <w:rPr>
          <w:lang w:val="es-ES"/>
        </w:rPr>
      </w:pPr>
      <w:r w:rsidRPr="008E0FC9">
        <w:rPr>
          <w:lang w:val="es-ES"/>
        </w:rPr>
        <w:t>Tomar</w:t>
      </w:r>
      <w:r>
        <w:rPr>
          <w:lang w:val="es-PE"/>
        </w:rPr>
        <w:t xml:space="preserve"> nota además de lo siguiente:</w:t>
      </w:r>
    </w:p>
    <w:p w14:paraId="5F86173E" w14:textId="77777777" w:rsidR="008E0205" w:rsidRDefault="008E0205" w:rsidP="008E0FC9">
      <w:pPr>
        <w:numPr>
          <w:ilvl w:val="2"/>
          <w:numId w:val="9"/>
        </w:numPr>
        <w:tabs>
          <w:tab w:val="clear" w:pos="0"/>
        </w:tabs>
        <w:spacing w:after="240"/>
        <w:outlineLvl w:val="2"/>
        <w:rPr>
          <w:lang w:val="es-ES"/>
        </w:rPr>
      </w:pPr>
      <w:r>
        <w:rPr>
          <w:lang w:val="es-PE"/>
        </w:rPr>
        <w:t>Que la cantidad de 2 073 988 $EUA, que comprende 1 793 307 $EUA para el plan del sector de fabricación de acondicionadores de aire, los costos de 145 000 $EUA de la dependencia de gestión de proyectos conexos, más gastos de apoyo del organismo de 135 681 $EUA para la ONUDI, aprobados en principio para la etapa II del PGEH, se eliminará del Acuerdo entre el Gobierno de Filipinas y el Comité Ejecutivo, y</w:t>
      </w:r>
    </w:p>
    <w:p w14:paraId="36368A27" w14:textId="77777777" w:rsidR="008E0205" w:rsidRDefault="008E0205" w:rsidP="008E0FC9">
      <w:pPr>
        <w:numPr>
          <w:ilvl w:val="2"/>
          <w:numId w:val="9"/>
        </w:numPr>
        <w:tabs>
          <w:tab w:val="clear" w:pos="0"/>
        </w:tabs>
        <w:spacing w:after="240"/>
        <w:outlineLvl w:val="2"/>
        <w:rPr>
          <w:lang w:val="es-ES"/>
        </w:rPr>
      </w:pPr>
      <w:r>
        <w:rPr>
          <w:lang w:val="es-PE"/>
        </w:rPr>
        <w:t xml:space="preserve">Que la Secretaría del Fondo ha actualizado el Acuerdo entre el Gobierno de Filipinas y el Comité Ejecutivo, que figura en el Anexo IV del documento </w:t>
      </w:r>
      <w:r>
        <w:rPr>
          <w:lang w:val="es-PE"/>
        </w:rPr>
        <w:lastRenderedPageBreak/>
        <w:t>UNEP/OzL.Pro/ExCom/87/9, en particular:  el Apéndice 2-A, para que quede reflejada la eliminación del plan del sector de fabricación de acondicionadores de aire y el párrafo 17, para señalar que el Acuerdo actualizado revisado reemplaza el alcanzado en la 83ª reunión;</w:t>
      </w:r>
    </w:p>
    <w:p w14:paraId="655ED1D5" w14:textId="24ECE3E7" w:rsidR="008E0205" w:rsidRDefault="008E0205" w:rsidP="008E0FC9">
      <w:pPr>
        <w:pStyle w:val="Heading2"/>
        <w:keepNext/>
        <w:widowControl/>
        <w:numPr>
          <w:ilvl w:val="1"/>
          <w:numId w:val="7"/>
        </w:numPr>
        <w:tabs>
          <w:tab w:val="clear" w:pos="0"/>
        </w:tabs>
        <w:rPr>
          <w:lang w:val="es-ES"/>
        </w:rPr>
      </w:pPr>
      <w:r>
        <w:rPr>
          <w:lang w:val="es-PE"/>
        </w:rPr>
        <w:t>Pedir a la ONUDI que devuelva al Fondo Multilateral la cantidad de 212 152 $EUA, que comprende 53 273 $EUA para el plan del sector de fabricación de acondicionadores de aire y los costos de la dependencia de gestión de proyectos conex</w:t>
      </w:r>
      <w:r w:rsidR="008E0FC9">
        <w:rPr>
          <w:lang w:val="es-PE"/>
        </w:rPr>
        <w:t>os, por un valor de 145 000 </w:t>
      </w:r>
      <w:r>
        <w:rPr>
          <w:lang w:val="es-PE"/>
        </w:rPr>
        <w:t xml:space="preserve">$EUA, más gastos de apoyo del organismo de 13 879 $EUA para la ONUDI, aprobados como parte del primer tramo de la etapa II del plan de gestión de la eliminación de los HCFC, en la 89ª reunión; </w:t>
      </w:r>
    </w:p>
    <w:p w14:paraId="01A4C627" w14:textId="74D8AE60" w:rsidR="008E0205" w:rsidRPr="008E0FC9" w:rsidRDefault="008E0205" w:rsidP="008E0FC9">
      <w:pPr>
        <w:pStyle w:val="Heading2"/>
        <w:keepNext/>
        <w:widowControl/>
        <w:numPr>
          <w:ilvl w:val="1"/>
          <w:numId w:val="7"/>
        </w:numPr>
        <w:tabs>
          <w:tab w:val="clear" w:pos="0"/>
        </w:tabs>
        <w:rPr>
          <w:lang w:val="es-PE"/>
        </w:rPr>
      </w:pPr>
      <w:r>
        <w:rPr>
          <w:lang w:val="es-PE"/>
        </w:rPr>
        <w:t>Aprobar el plan de ejecución del tramo para 2021-2022 de todas las actividades restantes de la etapa II;</w:t>
      </w:r>
    </w:p>
    <w:p w14:paraId="29527D9E" w14:textId="3CCC5B54" w:rsidR="008E0205" w:rsidRDefault="008E0205" w:rsidP="008E0FC9">
      <w:pPr>
        <w:pStyle w:val="Heading2"/>
        <w:keepNext/>
        <w:widowControl/>
        <w:numPr>
          <w:ilvl w:val="1"/>
          <w:numId w:val="7"/>
        </w:numPr>
        <w:tabs>
          <w:tab w:val="clear" w:pos="0"/>
        </w:tabs>
        <w:rPr>
          <w:lang w:val="es-ES"/>
        </w:rPr>
      </w:pPr>
      <w:r>
        <w:rPr>
          <w:lang w:val="es-PE"/>
        </w:rPr>
        <w:t xml:space="preserve">Pedir al Gobierno de Filipinas y a la ONUDI que presenten informes anuales sobre la marcha de las actividades relativos a la ejecución del programa de trabajo vinculado al último tramo hasta la terminación del proyecto; informes de verificación hasta la aprobación de la etapa III, y el informe de terminación de proyectos en la segunda reunión en 2023. </w:t>
      </w:r>
    </w:p>
    <w:p w14:paraId="5CA9D9C2" w14:textId="77777777" w:rsidR="008E0205" w:rsidRDefault="008E0205" w:rsidP="008E0205">
      <w:pPr>
        <w:keepNext/>
        <w:keepLines/>
        <w:spacing w:after="240"/>
        <w:rPr>
          <w:lang w:val="es-ES"/>
        </w:rPr>
      </w:pPr>
      <w:r>
        <w:rPr>
          <w:u w:val="single"/>
          <w:lang w:val="es-PE"/>
        </w:rPr>
        <w:t>Uruguay: Plan de gestión de la eliminación de los HCFC (etapa II - solicitud de prórroga de la fecha de terminación para el tercer (y último) tramo e informe sobre la marcha de las actividades relativo a la ejecución del sector de espumas)</w:t>
      </w:r>
      <w:r w:rsidRPr="008E0FC9">
        <w:rPr>
          <w:lang w:val="es-PE"/>
        </w:rPr>
        <w:t xml:space="preserve"> (PNUD)</w:t>
      </w:r>
    </w:p>
    <w:p w14:paraId="7B13D821" w14:textId="77777777" w:rsidR="008E0205" w:rsidRDefault="008E0205" w:rsidP="008E0205">
      <w:pPr>
        <w:keepNext/>
        <w:keepLines/>
        <w:spacing w:after="240"/>
        <w:ind w:left="1440" w:hanging="1440"/>
        <w:rPr>
          <w:b/>
          <w:lang w:val="es-ES"/>
        </w:rPr>
      </w:pPr>
      <w:r>
        <w:rPr>
          <w:b/>
          <w:bCs/>
          <w:lang w:val="es-PE"/>
        </w:rPr>
        <w:t>Antecedentes</w:t>
      </w:r>
    </w:p>
    <w:p w14:paraId="43575AAE" w14:textId="30E9B80C" w:rsidR="008E0205" w:rsidRPr="00045A5C" w:rsidRDefault="008E0205" w:rsidP="00045A5C">
      <w:pPr>
        <w:numPr>
          <w:ilvl w:val="0"/>
          <w:numId w:val="1"/>
        </w:numPr>
        <w:tabs>
          <w:tab w:val="clear" w:pos="0"/>
          <w:tab w:val="num" w:pos="710"/>
        </w:tabs>
        <w:spacing w:after="240"/>
        <w:outlineLvl w:val="0"/>
        <w:rPr>
          <w:lang w:val="es-PE"/>
        </w:rPr>
      </w:pPr>
      <w:r>
        <w:rPr>
          <w:lang w:val="es-PE"/>
        </w:rPr>
        <w:t>En nombre del Gobierno del Uruguay, el PNUD, en calidad de organismo de ejecución designado, presentó una solicitud de prórroga para la ejecución de la etapa II del plan de gestión de la eliminación de los HCFC (PGEH) y un informe sobre la marcha de las actividades relativo a la ejecución de la conversión de los fabricantes de espumas y la disponibilidad de HFO/sistemas de poliuretano a base de HFO y sus componentes conexos, según lo solicitado por el Comité Ejecutivo en el marco del proceso de aprobación en el período entre sesiones para la 85ª reunión</w:t>
      </w:r>
      <w:r w:rsidRPr="00045A5C">
        <w:rPr>
          <w:lang w:val="es-PE"/>
        </w:rPr>
        <w:footnoteReference w:customMarkFollows="1" w:id="45"/>
        <w:t>45</w:t>
      </w:r>
      <w:r>
        <w:rPr>
          <w:lang w:val="es-PE"/>
        </w:rPr>
        <w:t xml:space="preserve"> en mayo de 2020. </w:t>
      </w:r>
    </w:p>
    <w:p w14:paraId="093EA63F" w14:textId="63A7777E" w:rsidR="008E0205" w:rsidRPr="00045A5C" w:rsidRDefault="008E0205" w:rsidP="00045A5C">
      <w:pPr>
        <w:numPr>
          <w:ilvl w:val="0"/>
          <w:numId w:val="1"/>
        </w:numPr>
        <w:tabs>
          <w:tab w:val="clear" w:pos="0"/>
          <w:tab w:val="num" w:pos="710"/>
        </w:tabs>
        <w:spacing w:after="240"/>
        <w:outlineLvl w:val="0"/>
        <w:rPr>
          <w:lang w:val="es-PE"/>
        </w:rPr>
      </w:pPr>
      <w:r>
        <w:rPr>
          <w:lang w:val="es-PE"/>
        </w:rPr>
        <w:t>La etapa II del PGEH se aprobó en la 77ª reunión</w:t>
      </w:r>
      <w:r w:rsidRPr="00045A5C">
        <w:rPr>
          <w:lang w:val="es-PE"/>
        </w:rPr>
        <w:footnoteReference w:customMarkFollows="1" w:id="46"/>
        <w:t>46</w:t>
      </w:r>
      <w:r>
        <w:rPr>
          <w:lang w:val="es-PE"/>
        </w:rPr>
        <w:t xml:space="preserve">, con el fin de alcanzar la reducción del 35 por ciento de su nivel básico en 2020, por un costo total de 1 105 157 $EUA, más gastos de apoyo del organismo. La etapa II del PGEH incluía un componente para la eliminación total de HCFC-141b contenido en </w:t>
      </w:r>
      <w:proofErr w:type="spellStart"/>
      <w:r>
        <w:rPr>
          <w:lang w:val="es-PE"/>
        </w:rPr>
        <w:t>polioles</w:t>
      </w:r>
      <w:proofErr w:type="spellEnd"/>
      <w:r>
        <w:rPr>
          <w:lang w:val="es-PE"/>
        </w:rPr>
        <w:t xml:space="preserve"> premezclados importados (esto es, 5,33 toneladas PAO), utilizados en 21 pequeñas y medianas empresas fabricantes de aplicaciones de espuma de poliuretano. La tecnología seleccionada se basa en formulaciones de HFO. </w:t>
      </w:r>
    </w:p>
    <w:p w14:paraId="437C7AFB" w14:textId="5972F996" w:rsidR="008E0205" w:rsidRPr="00045A5C" w:rsidRDefault="008E0205" w:rsidP="00045A5C">
      <w:pPr>
        <w:numPr>
          <w:ilvl w:val="0"/>
          <w:numId w:val="1"/>
        </w:numPr>
        <w:tabs>
          <w:tab w:val="clear" w:pos="0"/>
          <w:tab w:val="num" w:pos="710"/>
        </w:tabs>
        <w:spacing w:after="240"/>
        <w:outlineLvl w:val="0"/>
        <w:rPr>
          <w:lang w:val="es-PE"/>
        </w:rPr>
      </w:pPr>
      <w:r>
        <w:rPr>
          <w:lang w:val="es-PE"/>
        </w:rPr>
        <w:t>En el marco del proceso de aprobación en el período entre sesiones para la 85ª reunión, se aprobó el tercer y último tramo de la etapa II, por la suma de 111 268 $EUA, y el correspondiente plan de ejecución del tramo para 2020-2021. De conformidad con el párrafo 14 del Acuerdo entre el Gobierno y el Comité Ejecutivo, la etapa II deberá completarse a más tardar el 31 de diciembre de 2021. En el marco del proceso de aprobación en el período entre sesiones para la 86ª reunión</w:t>
      </w:r>
      <w:r w:rsidRPr="00045A5C">
        <w:rPr>
          <w:lang w:val="es-PE"/>
        </w:rPr>
        <w:footnoteReference w:customMarkFollows="1" w:id="47"/>
        <w:t>47</w:t>
      </w:r>
      <w:r>
        <w:rPr>
          <w:lang w:val="es-PE"/>
        </w:rPr>
        <w:t xml:space="preserve">, en diciembre de 2020 se aprobó la etapa III del PGEH para la eliminación total de los HCFC. </w:t>
      </w:r>
    </w:p>
    <w:p w14:paraId="1986BC96" w14:textId="56A7AB8B" w:rsidR="008E0205" w:rsidRDefault="008E0205" w:rsidP="00045A5C">
      <w:pPr>
        <w:numPr>
          <w:ilvl w:val="0"/>
          <w:numId w:val="1"/>
        </w:numPr>
        <w:tabs>
          <w:tab w:val="clear" w:pos="0"/>
          <w:tab w:val="num" w:pos="710"/>
        </w:tabs>
        <w:spacing w:after="240"/>
        <w:outlineLvl w:val="0"/>
        <w:rPr>
          <w:i/>
          <w:lang w:val="es-ES"/>
        </w:rPr>
      </w:pPr>
      <w:r>
        <w:rPr>
          <w:lang w:val="es-PE"/>
        </w:rPr>
        <w:t xml:space="preserve">En el informe sobre la marcha de las actividades presentado a la 86ª reunión, el PNUD informó de que solo un fabricante de espumas (James) había realizado la conversión a </w:t>
      </w:r>
      <w:proofErr w:type="spellStart"/>
      <w:r>
        <w:rPr>
          <w:lang w:val="es-PE"/>
        </w:rPr>
        <w:t>ciclopentano</w:t>
      </w:r>
      <w:proofErr w:type="spellEnd"/>
      <w:r>
        <w:rPr>
          <w:lang w:val="es-PE"/>
        </w:rPr>
        <w:t xml:space="preserve"> con una eliminación </w:t>
      </w:r>
      <w:r>
        <w:rPr>
          <w:lang w:val="es-PE"/>
        </w:rPr>
        <w:lastRenderedPageBreak/>
        <w:t xml:space="preserve">conexa de 1,02 toneladas PAO (9,3 toneladas) de HCFC-141b; las demás pequeñas y medianas empresas no habían podido en un principio realizar la conversión debido a la escasa disponibilidad local de HFO para apoyar las conversiones. Se contrató a un experto técnico para que trabajara con cada una de las empresas, con el fin de establecer los requisitos específicos, y se entablaron conversaciones con los proveedores que podían proporcionar pequeñas cantidades de sistemas a base de HFO, en razón de un mercado local pequeño para ese tipo de alternativas. Se desarrolló un protocolo de pruebas para asegurarse de que las espumas insufladas con HFO cumplían con todos los requisitos técnicos de las pequeñas y medianas empresas, a fin de proporcionar información a los proveedores de sistemas locales y de fomentar la utilización de esos sistemas. Las pruebas y los ensayos de la tecnología de HFO estaban previstos para el primer trimestre de 2020; no obstante, hubo retrasos en la realización de esas actividades debido a la pandemia de COVID-19. Se había previsto que, salvo otras demoras debidas a la COVID-19, la conversión de fabricantes de espumas se completase a más tardar en junio de 2021, y que los sistemas a base de HFO estuviesen disponibles en el mercado local poco después.   </w:t>
      </w:r>
    </w:p>
    <w:p w14:paraId="60FD9251" w14:textId="77777777" w:rsidR="008E0205" w:rsidRDefault="008E0205" w:rsidP="008E0205">
      <w:pPr>
        <w:pStyle w:val="Heading1"/>
        <w:keepNext/>
        <w:keepLines/>
        <w:numPr>
          <w:ilvl w:val="0"/>
          <w:numId w:val="0"/>
        </w:numPr>
        <w:tabs>
          <w:tab w:val="left" w:pos="720"/>
        </w:tabs>
        <w:rPr>
          <w:i/>
          <w:lang w:val="es-ES"/>
        </w:rPr>
      </w:pPr>
      <w:r>
        <w:rPr>
          <w:i/>
          <w:iCs/>
          <w:lang w:val="es-PE"/>
        </w:rPr>
        <w:t>Consumo de HCFC</w:t>
      </w:r>
    </w:p>
    <w:p w14:paraId="7AE326BB" w14:textId="576946DB" w:rsidR="008E0205" w:rsidRDefault="008E0205" w:rsidP="00045A5C">
      <w:pPr>
        <w:numPr>
          <w:ilvl w:val="0"/>
          <w:numId w:val="1"/>
        </w:numPr>
        <w:tabs>
          <w:tab w:val="clear" w:pos="0"/>
          <w:tab w:val="num" w:pos="710"/>
        </w:tabs>
        <w:spacing w:after="240"/>
        <w:outlineLvl w:val="0"/>
        <w:rPr>
          <w:lang w:val="es-ES"/>
        </w:rPr>
      </w:pPr>
      <w:r>
        <w:rPr>
          <w:lang w:val="es-PE"/>
        </w:rPr>
        <w:t>El Gobierno del Uruguay notificó un consumo de 14,8 toneladas PAO de HCFC en 2019, un 40 por ciento por debajo del nivel básico de cumplimiento de los HCFC. Los datos con arreglo al artículo 7 y los datos del programa de país para 2020 aún no se han notificado.</w:t>
      </w:r>
    </w:p>
    <w:p w14:paraId="7751D70E" w14:textId="77777777" w:rsidR="008E0205" w:rsidRDefault="008E0205" w:rsidP="008E0205">
      <w:pPr>
        <w:pStyle w:val="Heading1"/>
        <w:numPr>
          <w:ilvl w:val="0"/>
          <w:numId w:val="0"/>
        </w:numPr>
        <w:tabs>
          <w:tab w:val="left" w:pos="720"/>
        </w:tabs>
        <w:rPr>
          <w:b/>
          <w:bCs/>
          <w:lang w:val="es-ES"/>
        </w:rPr>
      </w:pPr>
      <w:r>
        <w:rPr>
          <w:b/>
          <w:bCs/>
          <w:lang w:val="es-PE"/>
        </w:rPr>
        <w:t>Informe sobre la marcha de las actividades</w:t>
      </w:r>
    </w:p>
    <w:p w14:paraId="19B42F7F" w14:textId="77777777" w:rsidR="008E0205" w:rsidRDefault="008E0205" w:rsidP="008E0205">
      <w:pPr>
        <w:pStyle w:val="Heading1"/>
        <w:numPr>
          <w:ilvl w:val="0"/>
          <w:numId w:val="0"/>
        </w:numPr>
        <w:tabs>
          <w:tab w:val="left" w:pos="720"/>
        </w:tabs>
        <w:rPr>
          <w:i/>
          <w:lang w:val="es-ES"/>
        </w:rPr>
      </w:pPr>
      <w:r>
        <w:rPr>
          <w:i/>
          <w:iCs/>
          <w:lang w:val="es-PE"/>
        </w:rPr>
        <w:t>Sector de fabricación de espuma de poliuretano</w:t>
      </w:r>
    </w:p>
    <w:p w14:paraId="308ED4E8" w14:textId="355371B2" w:rsidR="008E0205" w:rsidRDefault="008E0205" w:rsidP="00045A5C">
      <w:pPr>
        <w:numPr>
          <w:ilvl w:val="0"/>
          <w:numId w:val="1"/>
        </w:numPr>
        <w:tabs>
          <w:tab w:val="clear" w:pos="0"/>
          <w:tab w:val="num" w:pos="710"/>
        </w:tabs>
        <w:spacing w:after="240"/>
        <w:outlineLvl w:val="0"/>
        <w:rPr>
          <w:lang w:val="es-ES"/>
        </w:rPr>
      </w:pPr>
      <w:r>
        <w:rPr>
          <w:lang w:val="es-PE"/>
        </w:rPr>
        <w:t>La situación del proyecto de conversión se resume en el Cuadro 12.</w:t>
      </w:r>
    </w:p>
    <w:p w14:paraId="728AA3D7" w14:textId="77777777" w:rsidR="008E0205" w:rsidRDefault="008E0205" w:rsidP="008E0205">
      <w:pPr>
        <w:keepNext/>
        <w:keepLines/>
        <w:rPr>
          <w:b/>
          <w:sz w:val="21"/>
          <w:szCs w:val="21"/>
          <w:lang w:val="es-ES"/>
        </w:rPr>
      </w:pPr>
      <w:r>
        <w:rPr>
          <w:b/>
          <w:bCs/>
          <w:sz w:val="21"/>
          <w:szCs w:val="21"/>
          <w:lang w:val="es-PE"/>
        </w:rPr>
        <w:t>Cuadro 12. Resumen de los progresos del proyecto de conversión del sector de espumas.</w:t>
      </w:r>
    </w:p>
    <w:tbl>
      <w:tblPr>
        <w:tblStyle w:val="TableGrid"/>
        <w:tblW w:w="9535" w:type="dxa"/>
        <w:tblLayout w:type="fixed"/>
        <w:tblCellMar>
          <w:left w:w="58" w:type="dxa"/>
          <w:right w:w="58" w:type="dxa"/>
        </w:tblCellMar>
        <w:tblLook w:val="04A0" w:firstRow="1" w:lastRow="0" w:firstColumn="1" w:lastColumn="0" w:noHBand="0" w:noVBand="1"/>
      </w:tblPr>
      <w:tblGrid>
        <w:gridCol w:w="1554"/>
        <w:gridCol w:w="992"/>
        <w:gridCol w:w="851"/>
        <w:gridCol w:w="852"/>
        <w:gridCol w:w="5286"/>
      </w:tblGrid>
      <w:tr w:rsidR="008E0205" w:rsidRPr="00045A5C" w14:paraId="4B5122C1" w14:textId="77777777" w:rsidTr="00305D02">
        <w:tc>
          <w:tcPr>
            <w:tcW w:w="815" w:type="pct"/>
            <w:vMerge w:val="restart"/>
            <w:tcBorders>
              <w:top w:val="single" w:sz="4" w:space="0" w:color="auto"/>
              <w:left w:val="single" w:sz="4" w:space="0" w:color="auto"/>
              <w:bottom w:val="single" w:sz="4" w:space="0" w:color="auto"/>
              <w:right w:val="single" w:sz="4" w:space="0" w:color="auto"/>
            </w:tcBorders>
            <w:vAlign w:val="center"/>
            <w:hideMark/>
          </w:tcPr>
          <w:p w14:paraId="4BBC6DF5" w14:textId="77777777" w:rsidR="008E0205" w:rsidRPr="00305D02" w:rsidRDefault="008E0205">
            <w:pPr>
              <w:keepNext/>
              <w:keepLines/>
              <w:widowControl w:val="0"/>
              <w:jc w:val="left"/>
              <w:rPr>
                <w:bCs/>
                <w:color w:val="000000"/>
                <w:sz w:val="19"/>
                <w:szCs w:val="19"/>
                <w:lang w:val="en-US"/>
              </w:rPr>
            </w:pPr>
            <w:r w:rsidRPr="00305D02">
              <w:rPr>
                <w:b/>
                <w:bCs/>
                <w:color w:val="000000"/>
                <w:sz w:val="19"/>
                <w:szCs w:val="19"/>
                <w:lang w:val="es-PE"/>
              </w:rPr>
              <w:t>Subsector</w:t>
            </w:r>
          </w:p>
        </w:tc>
        <w:tc>
          <w:tcPr>
            <w:tcW w:w="52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D33DC7" w14:textId="77777777" w:rsidR="008E0205" w:rsidRPr="00305D02" w:rsidRDefault="008E0205">
            <w:pPr>
              <w:keepNext/>
              <w:keepLines/>
              <w:widowControl w:val="0"/>
              <w:jc w:val="center"/>
              <w:rPr>
                <w:bCs/>
                <w:color w:val="000000"/>
                <w:sz w:val="19"/>
                <w:szCs w:val="19"/>
                <w:lang w:val="en-US"/>
              </w:rPr>
            </w:pPr>
            <w:r w:rsidRPr="00305D02">
              <w:rPr>
                <w:b/>
                <w:bCs/>
                <w:sz w:val="19"/>
                <w:szCs w:val="19"/>
                <w:lang w:val="es-PE"/>
              </w:rPr>
              <w:t>Nº de empresas</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14:paraId="40F5B2BD" w14:textId="77777777" w:rsidR="008E0205" w:rsidRPr="00305D02" w:rsidRDefault="008E0205">
            <w:pPr>
              <w:keepNext/>
              <w:keepLines/>
              <w:widowControl w:val="0"/>
              <w:jc w:val="center"/>
              <w:rPr>
                <w:color w:val="000000"/>
                <w:sz w:val="19"/>
                <w:szCs w:val="19"/>
                <w:lang w:val="en-US"/>
              </w:rPr>
            </w:pPr>
            <w:r w:rsidRPr="00305D02">
              <w:rPr>
                <w:b/>
                <w:bCs/>
                <w:color w:val="000000"/>
                <w:sz w:val="19"/>
                <w:szCs w:val="19"/>
                <w:lang w:val="es-PE"/>
              </w:rPr>
              <w:t>Consumo</w:t>
            </w:r>
          </w:p>
        </w:tc>
        <w:tc>
          <w:tcPr>
            <w:tcW w:w="2772" w:type="pct"/>
            <w:vMerge w:val="restart"/>
            <w:tcBorders>
              <w:top w:val="single" w:sz="4" w:space="0" w:color="auto"/>
              <w:left w:val="single" w:sz="4" w:space="0" w:color="auto"/>
              <w:bottom w:val="single" w:sz="4" w:space="0" w:color="auto"/>
              <w:right w:val="single" w:sz="4" w:space="0" w:color="auto"/>
            </w:tcBorders>
            <w:vAlign w:val="center"/>
            <w:hideMark/>
          </w:tcPr>
          <w:p w14:paraId="2CD6E663" w14:textId="77777777" w:rsidR="008E0205" w:rsidRPr="00305D02" w:rsidRDefault="008E0205">
            <w:pPr>
              <w:pStyle w:val="ListParagraph"/>
              <w:keepNext/>
              <w:keepLines/>
              <w:widowControl w:val="0"/>
              <w:ind w:left="158"/>
              <w:jc w:val="center"/>
              <w:rPr>
                <w:bCs/>
                <w:color w:val="000000"/>
                <w:sz w:val="19"/>
                <w:szCs w:val="19"/>
                <w:lang w:val="en-US"/>
              </w:rPr>
            </w:pPr>
            <w:r w:rsidRPr="00305D02">
              <w:rPr>
                <w:b/>
                <w:bCs/>
                <w:color w:val="000000"/>
                <w:sz w:val="19"/>
                <w:szCs w:val="19"/>
                <w:lang w:val="es-PE"/>
              </w:rPr>
              <w:t>Situación</w:t>
            </w:r>
          </w:p>
        </w:tc>
      </w:tr>
      <w:tr w:rsidR="008E0205" w:rsidRPr="00045A5C" w14:paraId="7B2D7609" w14:textId="77777777" w:rsidTr="00305D02">
        <w:tc>
          <w:tcPr>
            <w:tcW w:w="815" w:type="pct"/>
            <w:vMerge/>
            <w:tcBorders>
              <w:top w:val="single" w:sz="4" w:space="0" w:color="auto"/>
              <w:left w:val="single" w:sz="4" w:space="0" w:color="auto"/>
              <w:bottom w:val="single" w:sz="4" w:space="0" w:color="auto"/>
              <w:right w:val="single" w:sz="4" w:space="0" w:color="auto"/>
            </w:tcBorders>
            <w:vAlign w:val="center"/>
            <w:hideMark/>
          </w:tcPr>
          <w:p w14:paraId="02AF2833" w14:textId="77777777" w:rsidR="008E0205" w:rsidRPr="00305D02" w:rsidRDefault="008E0205">
            <w:pPr>
              <w:rPr>
                <w:bCs/>
                <w:color w:val="000000"/>
                <w:sz w:val="19"/>
                <w:szCs w:val="19"/>
                <w:lang w:val="en-US"/>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14A5D717" w14:textId="77777777" w:rsidR="008E0205" w:rsidRPr="00305D02" w:rsidRDefault="008E0205">
            <w:pPr>
              <w:rPr>
                <w:bCs/>
                <w:color w:val="000000"/>
                <w:sz w:val="19"/>
                <w:szCs w:val="19"/>
                <w:lang w:val="en-US"/>
              </w:rPr>
            </w:pPr>
          </w:p>
        </w:tc>
        <w:tc>
          <w:tcPr>
            <w:tcW w:w="4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39476E" w14:textId="77777777" w:rsidR="008E0205" w:rsidRPr="00305D02" w:rsidRDefault="008E0205">
            <w:pPr>
              <w:keepNext/>
              <w:keepLines/>
              <w:widowControl w:val="0"/>
              <w:jc w:val="center"/>
              <w:rPr>
                <w:color w:val="000000"/>
                <w:sz w:val="19"/>
                <w:szCs w:val="19"/>
                <w:lang w:val="en-US"/>
              </w:rPr>
            </w:pPr>
            <w:r w:rsidRPr="00305D02">
              <w:rPr>
                <w:b/>
                <w:bCs/>
                <w:sz w:val="19"/>
                <w:szCs w:val="19"/>
                <w:lang w:val="es-PE"/>
              </w:rPr>
              <w:t>Toneladas</w:t>
            </w:r>
          </w:p>
        </w:tc>
        <w:tc>
          <w:tcPr>
            <w:tcW w:w="4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7608AC" w14:textId="77777777" w:rsidR="008E0205" w:rsidRPr="00305D02" w:rsidRDefault="008E0205">
            <w:pPr>
              <w:keepNext/>
              <w:keepLines/>
              <w:widowControl w:val="0"/>
              <w:jc w:val="center"/>
              <w:rPr>
                <w:color w:val="000000"/>
                <w:sz w:val="19"/>
                <w:szCs w:val="19"/>
                <w:lang w:val="en-US"/>
              </w:rPr>
            </w:pPr>
            <w:r w:rsidRPr="00305D02">
              <w:rPr>
                <w:b/>
                <w:bCs/>
                <w:sz w:val="19"/>
                <w:szCs w:val="19"/>
                <w:lang w:val="es-PE"/>
              </w:rPr>
              <w:t>Toneladas PAO</w:t>
            </w:r>
          </w:p>
        </w:tc>
        <w:tc>
          <w:tcPr>
            <w:tcW w:w="2772" w:type="pct"/>
            <w:vMerge/>
            <w:tcBorders>
              <w:top w:val="single" w:sz="4" w:space="0" w:color="auto"/>
              <w:left w:val="single" w:sz="4" w:space="0" w:color="auto"/>
              <w:bottom w:val="single" w:sz="4" w:space="0" w:color="auto"/>
              <w:right w:val="single" w:sz="4" w:space="0" w:color="auto"/>
            </w:tcBorders>
            <w:vAlign w:val="center"/>
            <w:hideMark/>
          </w:tcPr>
          <w:p w14:paraId="7C3793C9" w14:textId="77777777" w:rsidR="008E0205" w:rsidRPr="00305D02" w:rsidRDefault="008E0205">
            <w:pPr>
              <w:rPr>
                <w:bCs/>
                <w:color w:val="000000"/>
                <w:sz w:val="19"/>
                <w:szCs w:val="19"/>
                <w:lang w:val="en-US"/>
              </w:rPr>
            </w:pPr>
          </w:p>
        </w:tc>
      </w:tr>
      <w:tr w:rsidR="008E0205" w:rsidRPr="00305D02" w14:paraId="1782AEE4" w14:textId="77777777" w:rsidTr="00305D02">
        <w:tc>
          <w:tcPr>
            <w:tcW w:w="815" w:type="pct"/>
            <w:tcBorders>
              <w:top w:val="single" w:sz="4" w:space="0" w:color="auto"/>
              <w:left w:val="single" w:sz="4" w:space="0" w:color="auto"/>
              <w:bottom w:val="single" w:sz="4" w:space="0" w:color="auto"/>
              <w:right w:val="single" w:sz="4" w:space="0" w:color="auto"/>
            </w:tcBorders>
            <w:hideMark/>
          </w:tcPr>
          <w:p w14:paraId="1A162664" w14:textId="77777777" w:rsidR="008E0205" w:rsidRPr="00305D02" w:rsidRDefault="008E0205">
            <w:pPr>
              <w:keepNext/>
              <w:keepLines/>
              <w:widowControl w:val="0"/>
              <w:jc w:val="left"/>
              <w:rPr>
                <w:sz w:val="19"/>
                <w:szCs w:val="19"/>
              </w:rPr>
            </w:pPr>
            <w:r w:rsidRPr="00305D02">
              <w:rPr>
                <w:bCs/>
                <w:color w:val="000000"/>
                <w:sz w:val="19"/>
                <w:szCs w:val="19"/>
                <w:lang w:val="es-PE"/>
              </w:rPr>
              <w:t>Calentadores de agua</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5ECB8C30" w14:textId="77777777" w:rsidR="008E0205" w:rsidRPr="00305D02" w:rsidRDefault="008E0205">
            <w:pPr>
              <w:keepNext/>
              <w:keepLines/>
              <w:widowControl w:val="0"/>
              <w:ind w:right="10"/>
              <w:jc w:val="right"/>
              <w:rPr>
                <w:bCs/>
                <w:color w:val="000000"/>
                <w:sz w:val="19"/>
                <w:szCs w:val="19"/>
                <w:lang w:val="en-US"/>
              </w:rPr>
            </w:pPr>
            <w:r w:rsidRPr="00305D02">
              <w:rPr>
                <w:bCs/>
                <w:color w:val="000000"/>
                <w:sz w:val="19"/>
                <w:szCs w:val="19"/>
                <w:lang w:val="es-PE"/>
              </w:rPr>
              <w:t>5</w:t>
            </w:r>
          </w:p>
        </w:tc>
        <w:tc>
          <w:tcPr>
            <w:tcW w:w="446" w:type="pct"/>
            <w:tcBorders>
              <w:top w:val="single" w:sz="4" w:space="0" w:color="auto"/>
              <w:left w:val="single" w:sz="4" w:space="0" w:color="auto"/>
              <w:bottom w:val="single" w:sz="4" w:space="0" w:color="auto"/>
              <w:right w:val="single" w:sz="4" w:space="0" w:color="auto"/>
            </w:tcBorders>
            <w:hideMark/>
          </w:tcPr>
          <w:p w14:paraId="41CE00AD" w14:textId="77777777" w:rsidR="008E0205" w:rsidRPr="00305D02" w:rsidRDefault="008E0205">
            <w:pPr>
              <w:keepNext/>
              <w:keepLines/>
              <w:widowControl w:val="0"/>
              <w:jc w:val="right"/>
              <w:rPr>
                <w:b/>
                <w:bCs/>
                <w:color w:val="000000"/>
                <w:sz w:val="19"/>
                <w:szCs w:val="19"/>
              </w:rPr>
            </w:pPr>
            <w:r w:rsidRPr="00305D02">
              <w:rPr>
                <w:color w:val="000000"/>
                <w:sz w:val="19"/>
                <w:szCs w:val="19"/>
                <w:lang w:val="es-PE"/>
              </w:rPr>
              <w:t>13,07</w:t>
            </w:r>
          </w:p>
        </w:tc>
        <w:tc>
          <w:tcPr>
            <w:tcW w:w="447" w:type="pct"/>
            <w:tcBorders>
              <w:top w:val="single" w:sz="4" w:space="0" w:color="auto"/>
              <w:left w:val="single" w:sz="4" w:space="0" w:color="auto"/>
              <w:bottom w:val="single" w:sz="4" w:space="0" w:color="auto"/>
              <w:right w:val="single" w:sz="4" w:space="0" w:color="auto"/>
            </w:tcBorders>
            <w:hideMark/>
          </w:tcPr>
          <w:p w14:paraId="16FCD4A0" w14:textId="77777777" w:rsidR="008E0205" w:rsidRPr="00305D02" w:rsidRDefault="008E0205">
            <w:pPr>
              <w:keepNext/>
              <w:keepLines/>
              <w:widowControl w:val="0"/>
              <w:jc w:val="right"/>
              <w:rPr>
                <w:b/>
                <w:bCs/>
                <w:color w:val="000000"/>
                <w:sz w:val="19"/>
                <w:szCs w:val="19"/>
              </w:rPr>
            </w:pPr>
            <w:r w:rsidRPr="00305D02">
              <w:rPr>
                <w:color w:val="000000"/>
                <w:sz w:val="19"/>
                <w:szCs w:val="19"/>
                <w:lang w:val="es-PE"/>
              </w:rPr>
              <w:t>1,44</w:t>
            </w:r>
          </w:p>
        </w:tc>
        <w:tc>
          <w:tcPr>
            <w:tcW w:w="2772" w:type="pct"/>
            <w:tcBorders>
              <w:top w:val="single" w:sz="4" w:space="0" w:color="auto"/>
              <w:left w:val="single" w:sz="4" w:space="0" w:color="auto"/>
              <w:bottom w:val="single" w:sz="4" w:space="0" w:color="auto"/>
              <w:right w:val="single" w:sz="4" w:space="0" w:color="auto"/>
            </w:tcBorders>
            <w:hideMark/>
          </w:tcPr>
          <w:p w14:paraId="7C75C78D" w14:textId="77777777" w:rsidR="008E0205" w:rsidRPr="00305D02" w:rsidRDefault="008E0205" w:rsidP="008E0FC9">
            <w:pPr>
              <w:pStyle w:val="ListParagraph"/>
              <w:keepNext/>
              <w:keepLines/>
              <w:widowControl w:val="0"/>
              <w:numPr>
                <w:ilvl w:val="0"/>
                <w:numId w:val="10"/>
              </w:numPr>
              <w:ind w:left="158" w:hanging="158"/>
              <w:jc w:val="left"/>
              <w:rPr>
                <w:sz w:val="19"/>
                <w:szCs w:val="19"/>
                <w:lang w:val="es-ES"/>
              </w:rPr>
            </w:pPr>
            <w:r w:rsidRPr="00305D02">
              <w:rPr>
                <w:bCs/>
                <w:color w:val="000000"/>
                <w:sz w:val="19"/>
                <w:szCs w:val="19"/>
                <w:lang w:val="es-PE"/>
              </w:rPr>
              <w:t xml:space="preserve">Finalizada la conversión a </w:t>
            </w:r>
            <w:proofErr w:type="spellStart"/>
            <w:r w:rsidRPr="00305D02">
              <w:rPr>
                <w:bCs/>
                <w:sz w:val="19"/>
                <w:szCs w:val="19"/>
                <w:lang w:val="es-PE"/>
              </w:rPr>
              <w:t>ciclopentano</w:t>
            </w:r>
            <w:proofErr w:type="spellEnd"/>
            <w:r w:rsidRPr="00305D02">
              <w:rPr>
                <w:bCs/>
                <w:color w:val="000000"/>
                <w:sz w:val="19"/>
                <w:szCs w:val="19"/>
                <w:lang w:val="es-PE"/>
              </w:rPr>
              <w:t xml:space="preserve"> de una empresa (James)</w:t>
            </w:r>
            <w:r w:rsidRPr="00305D02">
              <w:rPr>
                <w:bCs/>
                <w:sz w:val="19"/>
                <w:szCs w:val="19"/>
                <w:lang w:val="es-PE"/>
              </w:rPr>
              <w:t xml:space="preserve">.  </w:t>
            </w:r>
          </w:p>
          <w:p w14:paraId="4D756CB9" w14:textId="77777777" w:rsidR="008E0205" w:rsidRPr="00305D02" w:rsidRDefault="008E0205" w:rsidP="008E0FC9">
            <w:pPr>
              <w:pStyle w:val="ListParagraph"/>
              <w:keepNext/>
              <w:keepLines/>
              <w:widowControl w:val="0"/>
              <w:numPr>
                <w:ilvl w:val="0"/>
                <w:numId w:val="10"/>
              </w:numPr>
              <w:ind w:left="158" w:hanging="158"/>
              <w:jc w:val="left"/>
              <w:rPr>
                <w:sz w:val="19"/>
                <w:szCs w:val="19"/>
                <w:lang w:val="es-ES"/>
              </w:rPr>
            </w:pPr>
            <w:r w:rsidRPr="00305D02">
              <w:rPr>
                <w:sz w:val="19"/>
                <w:szCs w:val="19"/>
                <w:lang w:val="es-PE"/>
              </w:rPr>
              <w:t>Se celebraron reuniones y se compartieron protocolos de pruebas con dos empresas (</w:t>
            </w:r>
            <w:proofErr w:type="spellStart"/>
            <w:r w:rsidRPr="00305D02">
              <w:rPr>
                <w:sz w:val="19"/>
                <w:szCs w:val="19"/>
                <w:lang w:val="es-PE"/>
              </w:rPr>
              <w:t>Rivomark</w:t>
            </w:r>
            <w:proofErr w:type="spellEnd"/>
            <w:r w:rsidRPr="00305D02">
              <w:rPr>
                <w:sz w:val="19"/>
                <w:szCs w:val="19"/>
                <w:lang w:val="es-PE"/>
              </w:rPr>
              <w:t xml:space="preserve"> S. A. y </w:t>
            </w:r>
            <w:proofErr w:type="spellStart"/>
            <w:r w:rsidRPr="00305D02">
              <w:rPr>
                <w:sz w:val="19"/>
                <w:szCs w:val="19"/>
                <w:lang w:val="es-PE"/>
              </w:rPr>
              <w:t>Warners</w:t>
            </w:r>
            <w:proofErr w:type="spellEnd"/>
            <w:r w:rsidRPr="00305D02">
              <w:rPr>
                <w:sz w:val="19"/>
                <w:szCs w:val="19"/>
                <w:lang w:val="es-PE"/>
              </w:rPr>
              <w:t xml:space="preserve">). Se ha iniciado una conversión y se prevé su finalización para fines de 2021; se espera iniciar la otra cuando se haya controlado la pandemia. </w:t>
            </w:r>
          </w:p>
          <w:p w14:paraId="2CD8E2D4" w14:textId="77777777" w:rsidR="008E0205" w:rsidRPr="00305D02" w:rsidRDefault="008E0205" w:rsidP="008E0FC9">
            <w:pPr>
              <w:pStyle w:val="ListParagraph"/>
              <w:keepNext/>
              <w:keepLines/>
              <w:widowControl w:val="0"/>
              <w:numPr>
                <w:ilvl w:val="0"/>
                <w:numId w:val="10"/>
              </w:numPr>
              <w:ind w:left="158" w:hanging="158"/>
              <w:jc w:val="left"/>
              <w:rPr>
                <w:bCs/>
                <w:color w:val="000000"/>
                <w:sz w:val="19"/>
                <w:szCs w:val="19"/>
                <w:lang w:val="es-ES"/>
              </w:rPr>
            </w:pPr>
            <w:r w:rsidRPr="00305D02">
              <w:rPr>
                <w:sz w:val="19"/>
                <w:szCs w:val="19"/>
                <w:lang w:val="es-PE"/>
              </w:rPr>
              <w:t xml:space="preserve">Se está a la espera de la conversión de dos empresas (IMA y </w:t>
            </w:r>
            <w:proofErr w:type="spellStart"/>
            <w:r w:rsidRPr="00305D02">
              <w:rPr>
                <w:sz w:val="19"/>
                <w:szCs w:val="19"/>
                <w:lang w:val="es-PE"/>
              </w:rPr>
              <w:t>Orion</w:t>
            </w:r>
            <w:proofErr w:type="spellEnd"/>
            <w:r w:rsidRPr="00305D02">
              <w:rPr>
                <w:sz w:val="19"/>
                <w:szCs w:val="19"/>
                <w:lang w:val="es-PE"/>
              </w:rPr>
              <w:t xml:space="preserve">), en función de la capacidad de producción post COVID-19. </w:t>
            </w:r>
          </w:p>
        </w:tc>
      </w:tr>
      <w:tr w:rsidR="008E0205" w:rsidRPr="00305D02" w14:paraId="49C83117" w14:textId="77777777" w:rsidTr="00305D02">
        <w:tc>
          <w:tcPr>
            <w:tcW w:w="815" w:type="pct"/>
            <w:tcBorders>
              <w:top w:val="single" w:sz="4" w:space="0" w:color="auto"/>
              <w:left w:val="single" w:sz="4" w:space="0" w:color="auto"/>
              <w:bottom w:val="single" w:sz="4" w:space="0" w:color="auto"/>
              <w:right w:val="single" w:sz="4" w:space="0" w:color="auto"/>
            </w:tcBorders>
            <w:hideMark/>
          </w:tcPr>
          <w:p w14:paraId="0B7C2C6F" w14:textId="77777777" w:rsidR="008E0205" w:rsidRPr="00305D02" w:rsidRDefault="008E0205">
            <w:pPr>
              <w:widowControl w:val="0"/>
              <w:jc w:val="left"/>
              <w:rPr>
                <w:sz w:val="19"/>
                <w:szCs w:val="19"/>
              </w:rPr>
            </w:pPr>
            <w:r w:rsidRPr="00305D02">
              <w:rPr>
                <w:bCs/>
                <w:color w:val="000000"/>
                <w:sz w:val="19"/>
                <w:szCs w:val="19"/>
                <w:lang w:val="es-PE"/>
              </w:rPr>
              <w:t>Paneles discontinuos</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35C15C5E" w14:textId="77777777" w:rsidR="008E0205" w:rsidRPr="00305D02" w:rsidRDefault="008E0205">
            <w:pPr>
              <w:widowControl w:val="0"/>
              <w:ind w:right="10"/>
              <w:jc w:val="right"/>
              <w:rPr>
                <w:bCs/>
                <w:color w:val="000000"/>
                <w:sz w:val="19"/>
                <w:szCs w:val="19"/>
                <w:lang w:val="en-US"/>
              </w:rPr>
            </w:pPr>
            <w:r w:rsidRPr="00305D02">
              <w:rPr>
                <w:bCs/>
                <w:color w:val="000000"/>
                <w:sz w:val="19"/>
                <w:szCs w:val="19"/>
                <w:lang w:val="es-PE"/>
              </w:rPr>
              <w:t>1</w:t>
            </w:r>
          </w:p>
        </w:tc>
        <w:tc>
          <w:tcPr>
            <w:tcW w:w="446" w:type="pct"/>
            <w:tcBorders>
              <w:top w:val="single" w:sz="4" w:space="0" w:color="auto"/>
              <w:left w:val="single" w:sz="4" w:space="0" w:color="auto"/>
              <w:bottom w:val="single" w:sz="4" w:space="0" w:color="auto"/>
              <w:right w:val="single" w:sz="4" w:space="0" w:color="auto"/>
            </w:tcBorders>
            <w:hideMark/>
          </w:tcPr>
          <w:p w14:paraId="560144E9" w14:textId="77777777" w:rsidR="008E0205" w:rsidRPr="00305D02" w:rsidRDefault="008E0205">
            <w:pPr>
              <w:widowControl w:val="0"/>
              <w:jc w:val="right"/>
              <w:rPr>
                <w:b/>
                <w:bCs/>
                <w:color w:val="000000"/>
                <w:sz w:val="19"/>
                <w:szCs w:val="19"/>
              </w:rPr>
            </w:pPr>
            <w:r w:rsidRPr="00305D02">
              <w:rPr>
                <w:color w:val="000000"/>
                <w:sz w:val="19"/>
                <w:szCs w:val="19"/>
                <w:lang w:val="es-PE"/>
              </w:rPr>
              <w:t>1,04</w:t>
            </w:r>
          </w:p>
        </w:tc>
        <w:tc>
          <w:tcPr>
            <w:tcW w:w="447" w:type="pct"/>
            <w:tcBorders>
              <w:top w:val="single" w:sz="4" w:space="0" w:color="auto"/>
              <w:left w:val="single" w:sz="4" w:space="0" w:color="auto"/>
              <w:bottom w:val="single" w:sz="4" w:space="0" w:color="auto"/>
              <w:right w:val="single" w:sz="4" w:space="0" w:color="auto"/>
            </w:tcBorders>
            <w:hideMark/>
          </w:tcPr>
          <w:p w14:paraId="09BD726B" w14:textId="77777777" w:rsidR="008E0205" w:rsidRPr="00305D02" w:rsidRDefault="008E0205">
            <w:pPr>
              <w:widowControl w:val="0"/>
              <w:jc w:val="right"/>
              <w:rPr>
                <w:b/>
                <w:bCs/>
                <w:color w:val="000000"/>
                <w:sz w:val="19"/>
                <w:szCs w:val="19"/>
              </w:rPr>
            </w:pPr>
            <w:r w:rsidRPr="00305D02">
              <w:rPr>
                <w:color w:val="000000"/>
                <w:sz w:val="19"/>
                <w:szCs w:val="19"/>
                <w:lang w:val="es-PE"/>
              </w:rPr>
              <w:t>0,11</w:t>
            </w:r>
          </w:p>
        </w:tc>
        <w:tc>
          <w:tcPr>
            <w:tcW w:w="2772" w:type="pct"/>
            <w:tcBorders>
              <w:top w:val="single" w:sz="4" w:space="0" w:color="auto"/>
              <w:left w:val="single" w:sz="4" w:space="0" w:color="auto"/>
              <w:bottom w:val="single" w:sz="4" w:space="0" w:color="auto"/>
              <w:right w:val="single" w:sz="4" w:space="0" w:color="auto"/>
            </w:tcBorders>
            <w:hideMark/>
          </w:tcPr>
          <w:p w14:paraId="43DB2932" w14:textId="77777777" w:rsidR="008E0205" w:rsidRPr="00305D02" w:rsidRDefault="008E0205" w:rsidP="008E0FC9">
            <w:pPr>
              <w:pStyle w:val="ListParagraph"/>
              <w:widowControl w:val="0"/>
              <w:numPr>
                <w:ilvl w:val="0"/>
                <w:numId w:val="10"/>
              </w:numPr>
              <w:ind w:left="158" w:hanging="158"/>
              <w:jc w:val="left"/>
              <w:rPr>
                <w:sz w:val="19"/>
                <w:szCs w:val="19"/>
                <w:lang w:val="es-ES"/>
              </w:rPr>
            </w:pPr>
            <w:r w:rsidRPr="00305D02">
              <w:rPr>
                <w:sz w:val="19"/>
                <w:szCs w:val="19"/>
                <w:lang w:val="es-PE"/>
              </w:rPr>
              <w:t>La conversión (</w:t>
            </w:r>
            <w:proofErr w:type="spellStart"/>
            <w:r w:rsidRPr="00305D02">
              <w:rPr>
                <w:sz w:val="19"/>
                <w:szCs w:val="19"/>
                <w:lang w:val="es-PE"/>
              </w:rPr>
              <w:t>Colder</w:t>
            </w:r>
            <w:proofErr w:type="spellEnd"/>
            <w:r w:rsidRPr="00305D02">
              <w:rPr>
                <w:sz w:val="19"/>
                <w:szCs w:val="19"/>
                <w:lang w:val="es-PE"/>
              </w:rPr>
              <w:t>) está a la espera de la capacidad de producción post COVID-19.</w:t>
            </w:r>
          </w:p>
        </w:tc>
      </w:tr>
      <w:tr w:rsidR="008E0205" w:rsidRPr="00305D02" w14:paraId="1D9374C9" w14:textId="77777777" w:rsidTr="00305D02">
        <w:tc>
          <w:tcPr>
            <w:tcW w:w="815" w:type="pct"/>
            <w:tcBorders>
              <w:top w:val="single" w:sz="4" w:space="0" w:color="auto"/>
              <w:left w:val="single" w:sz="4" w:space="0" w:color="auto"/>
              <w:bottom w:val="single" w:sz="4" w:space="0" w:color="auto"/>
              <w:right w:val="single" w:sz="4" w:space="0" w:color="auto"/>
            </w:tcBorders>
            <w:hideMark/>
          </w:tcPr>
          <w:p w14:paraId="2010159A" w14:textId="77777777" w:rsidR="008E0205" w:rsidRPr="00305D02" w:rsidRDefault="008E0205">
            <w:pPr>
              <w:widowControl w:val="0"/>
              <w:jc w:val="left"/>
              <w:rPr>
                <w:sz w:val="19"/>
                <w:szCs w:val="19"/>
              </w:rPr>
            </w:pPr>
            <w:r w:rsidRPr="00305D02">
              <w:rPr>
                <w:bCs/>
                <w:color w:val="000000"/>
                <w:sz w:val="19"/>
                <w:szCs w:val="19"/>
                <w:lang w:val="es-PE"/>
              </w:rPr>
              <w:t>Productos térmicos</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24196B0C" w14:textId="77777777" w:rsidR="008E0205" w:rsidRPr="00305D02" w:rsidRDefault="008E0205">
            <w:pPr>
              <w:widowControl w:val="0"/>
              <w:ind w:right="10"/>
              <w:jc w:val="right"/>
              <w:rPr>
                <w:bCs/>
                <w:color w:val="000000"/>
                <w:sz w:val="19"/>
                <w:szCs w:val="19"/>
                <w:lang w:val="en-US"/>
              </w:rPr>
            </w:pPr>
            <w:r w:rsidRPr="00305D02">
              <w:rPr>
                <w:bCs/>
                <w:color w:val="000000"/>
                <w:sz w:val="19"/>
                <w:szCs w:val="19"/>
                <w:lang w:val="es-PE"/>
              </w:rPr>
              <w:t>1</w:t>
            </w:r>
          </w:p>
        </w:tc>
        <w:tc>
          <w:tcPr>
            <w:tcW w:w="446" w:type="pct"/>
            <w:tcBorders>
              <w:top w:val="single" w:sz="4" w:space="0" w:color="auto"/>
              <w:left w:val="single" w:sz="4" w:space="0" w:color="auto"/>
              <w:bottom w:val="single" w:sz="4" w:space="0" w:color="auto"/>
              <w:right w:val="single" w:sz="4" w:space="0" w:color="auto"/>
            </w:tcBorders>
            <w:hideMark/>
          </w:tcPr>
          <w:p w14:paraId="7E2C6460" w14:textId="77777777" w:rsidR="008E0205" w:rsidRPr="00305D02" w:rsidRDefault="008E0205">
            <w:pPr>
              <w:widowControl w:val="0"/>
              <w:jc w:val="right"/>
              <w:rPr>
                <w:b/>
                <w:bCs/>
                <w:color w:val="000000"/>
                <w:sz w:val="19"/>
                <w:szCs w:val="19"/>
              </w:rPr>
            </w:pPr>
            <w:r w:rsidRPr="00305D02">
              <w:rPr>
                <w:color w:val="000000"/>
                <w:sz w:val="19"/>
                <w:szCs w:val="19"/>
                <w:lang w:val="es-PE"/>
              </w:rPr>
              <w:t>0,12</w:t>
            </w:r>
          </w:p>
        </w:tc>
        <w:tc>
          <w:tcPr>
            <w:tcW w:w="447" w:type="pct"/>
            <w:tcBorders>
              <w:top w:val="single" w:sz="4" w:space="0" w:color="auto"/>
              <w:left w:val="single" w:sz="4" w:space="0" w:color="auto"/>
              <w:bottom w:val="single" w:sz="4" w:space="0" w:color="auto"/>
              <w:right w:val="single" w:sz="4" w:space="0" w:color="auto"/>
            </w:tcBorders>
            <w:hideMark/>
          </w:tcPr>
          <w:p w14:paraId="0813BFD9" w14:textId="77777777" w:rsidR="008E0205" w:rsidRPr="00305D02" w:rsidRDefault="008E0205">
            <w:pPr>
              <w:widowControl w:val="0"/>
              <w:jc w:val="right"/>
              <w:rPr>
                <w:b/>
                <w:bCs/>
                <w:color w:val="000000"/>
                <w:sz w:val="19"/>
                <w:szCs w:val="19"/>
              </w:rPr>
            </w:pPr>
            <w:r w:rsidRPr="00305D02">
              <w:rPr>
                <w:color w:val="000000"/>
                <w:sz w:val="19"/>
                <w:szCs w:val="19"/>
                <w:lang w:val="es-PE"/>
              </w:rPr>
              <w:t>0,01</w:t>
            </w:r>
          </w:p>
        </w:tc>
        <w:tc>
          <w:tcPr>
            <w:tcW w:w="2772" w:type="pct"/>
            <w:tcBorders>
              <w:top w:val="single" w:sz="4" w:space="0" w:color="auto"/>
              <w:left w:val="single" w:sz="4" w:space="0" w:color="auto"/>
              <w:bottom w:val="single" w:sz="4" w:space="0" w:color="auto"/>
              <w:right w:val="single" w:sz="4" w:space="0" w:color="auto"/>
            </w:tcBorders>
            <w:hideMark/>
          </w:tcPr>
          <w:p w14:paraId="78B39CCE" w14:textId="77777777" w:rsidR="008E0205" w:rsidRPr="00305D02" w:rsidRDefault="008E0205" w:rsidP="008E0FC9">
            <w:pPr>
              <w:pStyle w:val="ListParagraph"/>
              <w:widowControl w:val="0"/>
              <w:numPr>
                <w:ilvl w:val="0"/>
                <w:numId w:val="10"/>
              </w:numPr>
              <w:ind w:left="158" w:hanging="158"/>
              <w:jc w:val="left"/>
              <w:rPr>
                <w:bCs/>
                <w:color w:val="000000"/>
                <w:sz w:val="19"/>
                <w:szCs w:val="19"/>
                <w:lang w:val="es-ES"/>
              </w:rPr>
            </w:pPr>
            <w:r w:rsidRPr="00305D02">
              <w:rPr>
                <w:sz w:val="19"/>
                <w:szCs w:val="19"/>
                <w:lang w:val="es-PE"/>
              </w:rPr>
              <w:t xml:space="preserve">Se celebraron reuniones con la empresa </w:t>
            </w:r>
            <w:proofErr w:type="spellStart"/>
            <w:r w:rsidRPr="00305D02">
              <w:rPr>
                <w:sz w:val="19"/>
                <w:szCs w:val="19"/>
                <w:lang w:val="es-PE"/>
              </w:rPr>
              <w:t>Ferroco</w:t>
            </w:r>
            <w:proofErr w:type="spellEnd"/>
            <w:r w:rsidRPr="00305D02">
              <w:rPr>
                <w:sz w:val="19"/>
                <w:szCs w:val="19"/>
                <w:lang w:val="es-PE"/>
              </w:rPr>
              <w:t xml:space="preserve"> y se compartieron protocolos de pruebas; se determinó que el nuevo sistema a base de agua era idóneo; la empresa está a la espera de que el proveedor importe una muestra de prueba, a fin de adaptar la proporción de la dosis.</w:t>
            </w:r>
          </w:p>
        </w:tc>
      </w:tr>
      <w:tr w:rsidR="008E0205" w:rsidRPr="00305D02" w14:paraId="5865BE0D" w14:textId="77777777" w:rsidTr="00305D02">
        <w:trPr>
          <w:trHeight w:val="188"/>
        </w:trPr>
        <w:tc>
          <w:tcPr>
            <w:tcW w:w="815" w:type="pct"/>
            <w:tcBorders>
              <w:top w:val="single" w:sz="4" w:space="0" w:color="auto"/>
              <w:left w:val="single" w:sz="4" w:space="0" w:color="auto"/>
              <w:bottom w:val="single" w:sz="4" w:space="0" w:color="auto"/>
              <w:right w:val="single" w:sz="4" w:space="0" w:color="auto"/>
            </w:tcBorders>
            <w:hideMark/>
          </w:tcPr>
          <w:p w14:paraId="3CF416DD" w14:textId="77777777" w:rsidR="008E0205" w:rsidRPr="00305D02" w:rsidRDefault="008E0205">
            <w:pPr>
              <w:widowControl w:val="0"/>
              <w:jc w:val="left"/>
              <w:rPr>
                <w:sz w:val="19"/>
                <w:szCs w:val="19"/>
              </w:rPr>
            </w:pPr>
            <w:r w:rsidRPr="00305D02">
              <w:rPr>
                <w:bCs/>
                <w:color w:val="000000"/>
                <w:sz w:val="19"/>
                <w:szCs w:val="19"/>
                <w:lang w:val="es-PE"/>
              </w:rPr>
              <w:t>Piel integral</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7B1DFFF0" w14:textId="77777777" w:rsidR="008E0205" w:rsidRPr="00305D02" w:rsidRDefault="008E0205">
            <w:pPr>
              <w:widowControl w:val="0"/>
              <w:ind w:right="10"/>
              <w:jc w:val="right"/>
              <w:rPr>
                <w:bCs/>
                <w:color w:val="000000"/>
                <w:sz w:val="19"/>
                <w:szCs w:val="19"/>
                <w:lang w:val="en-US"/>
              </w:rPr>
            </w:pPr>
            <w:r w:rsidRPr="00305D02">
              <w:rPr>
                <w:bCs/>
                <w:color w:val="000000"/>
                <w:sz w:val="19"/>
                <w:szCs w:val="19"/>
                <w:lang w:val="es-PE"/>
              </w:rPr>
              <w:t>1</w:t>
            </w:r>
          </w:p>
        </w:tc>
        <w:tc>
          <w:tcPr>
            <w:tcW w:w="446" w:type="pct"/>
            <w:tcBorders>
              <w:top w:val="single" w:sz="4" w:space="0" w:color="auto"/>
              <w:left w:val="single" w:sz="4" w:space="0" w:color="auto"/>
              <w:bottom w:val="single" w:sz="4" w:space="0" w:color="auto"/>
              <w:right w:val="single" w:sz="4" w:space="0" w:color="auto"/>
            </w:tcBorders>
            <w:hideMark/>
          </w:tcPr>
          <w:p w14:paraId="48F08A5B" w14:textId="77777777" w:rsidR="008E0205" w:rsidRPr="00305D02" w:rsidRDefault="008E0205">
            <w:pPr>
              <w:widowControl w:val="0"/>
              <w:jc w:val="right"/>
              <w:rPr>
                <w:b/>
                <w:bCs/>
                <w:color w:val="000000"/>
                <w:sz w:val="19"/>
                <w:szCs w:val="19"/>
              </w:rPr>
            </w:pPr>
            <w:r w:rsidRPr="00305D02">
              <w:rPr>
                <w:color w:val="000000"/>
                <w:sz w:val="19"/>
                <w:szCs w:val="19"/>
                <w:lang w:val="es-PE"/>
              </w:rPr>
              <w:t>0,28</w:t>
            </w:r>
          </w:p>
        </w:tc>
        <w:tc>
          <w:tcPr>
            <w:tcW w:w="447" w:type="pct"/>
            <w:tcBorders>
              <w:top w:val="single" w:sz="4" w:space="0" w:color="auto"/>
              <w:left w:val="single" w:sz="4" w:space="0" w:color="auto"/>
              <w:bottom w:val="single" w:sz="4" w:space="0" w:color="auto"/>
              <w:right w:val="single" w:sz="4" w:space="0" w:color="auto"/>
            </w:tcBorders>
            <w:hideMark/>
          </w:tcPr>
          <w:p w14:paraId="4EF89BC0" w14:textId="77777777" w:rsidR="008E0205" w:rsidRPr="00305D02" w:rsidRDefault="008E0205">
            <w:pPr>
              <w:widowControl w:val="0"/>
              <w:jc w:val="right"/>
              <w:rPr>
                <w:b/>
                <w:bCs/>
                <w:color w:val="000000"/>
                <w:sz w:val="19"/>
                <w:szCs w:val="19"/>
              </w:rPr>
            </w:pPr>
            <w:r w:rsidRPr="00305D02">
              <w:rPr>
                <w:color w:val="000000"/>
                <w:sz w:val="19"/>
                <w:szCs w:val="19"/>
                <w:lang w:val="es-PE"/>
              </w:rPr>
              <w:t>0,03</w:t>
            </w:r>
          </w:p>
        </w:tc>
        <w:tc>
          <w:tcPr>
            <w:tcW w:w="2772" w:type="pct"/>
            <w:tcBorders>
              <w:top w:val="single" w:sz="4" w:space="0" w:color="auto"/>
              <w:left w:val="single" w:sz="4" w:space="0" w:color="auto"/>
              <w:bottom w:val="single" w:sz="4" w:space="0" w:color="auto"/>
              <w:right w:val="single" w:sz="4" w:space="0" w:color="auto"/>
            </w:tcBorders>
            <w:hideMark/>
          </w:tcPr>
          <w:p w14:paraId="327BF4A9" w14:textId="77777777" w:rsidR="008E0205" w:rsidRPr="00305D02" w:rsidRDefault="008E0205" w:rsidP="008E0FC9">
            <w:pPr>
              <w:pStyle w:val="ListParagraph"/>
              <w:widowControl w:val="0"/>
              <w:numPr>
                <w:ilvl w:val="0"/>
                <w:numId w:val="10"/>
              </w:numPr>
              <w:ind w:left="158" w:hanging="158"/>
              <w:jc w:val="left"/>
              <w:rPr>
                <w:bCs/>
                <w:color w:val="000000"/>
                <w:sz w:val="19"/>
                <w:szCs w:val="19"/>
                <w:lang w:val="es-ES"/>
              </w:rPr>
            </w:pPr>
            <w:r w:rsidRPr="00305D02">
              <w:rPr>
                <w:sz w:val="19"/>
                <w:szCs w:val="19"/>
                <w:lang w:val="es-PE"/>
              </w:rPr>
              <w:t>La conversión (</w:t>
            </w:r>
            <w:proofErr w:type="spellStart"/>
            <w:r w:rsidRPr="00305D02">
              <w:rPr>
                <w:sz w:val="19"/>
                <w:szCs w:val="19"/>
                <w:lang w:val="es-PE"/>
              </w:rPr>
              <w:t>Fumaya</w:t>
            </w:r>
            <w:proofErr w:type="spellEnd"/>
            <w:r w:rsidRPr="00305D02">
              <w:rPr>
                <w:sz w:val="19"/>
                <w:szCs w:val="19"/>
                <w:lang w:val="es-PE"/>
              </w:rPr>
              <w:t>) está a la espera de la capacidad de producción post COVID-19.</w:t>
            </w:r>
          </w:p>
        </w:tc>
      </w:tr>
      <w:tr w:rsidR="008E0205" w:rsidRPr="00045A5C" w14:paraId="77310F90" w14:textId="77777777" w:rsidTr="00305D02">
        <w:tc>
          <w:tcPr>
            <w:tcW w:w="815" w:type="pct"/>
            <w:tcBorders>
              <w:top w:val="single" w:sz="4" w:space="0" w:color="auto"/>
              <w:left w:val="single" w:sz="4" w:space="0" w:color="auto"/>
              <w:bottom w:val="single" w:sz="4" w:space="0" w:color="auto"/>
              <w:right w:val="single" w:sz="4" w:space="0" w:color="auto"/>
            </w:tcBorders>
            <w:hideMark/>
          </w:tcPr>
          <w:p w14:paraId="5238DD93" w14:textId="77777777" w:rsidR="008E0205" w:rsidRPr="00305D02" w:rsidRDefault="008E0205">
            <w:pPr>
              <w:widowControl w:val="0"/>
              <w:jc w:val="left"/>
              <w:rPr>
                <w:sz w:val="19"/>
                <w:szCs w:val="19"/>
              </w:rPr>
            </w:pPr>
            <w:r w:rsidRPr="00305D02">
              <w:rPr>
                <w:bCs/>
                <w:color w:val="000000"/>
                <w:sz w:val="19"/>
                <w:szCs w:val="19"/>
                <w:lang w:val="es-PE"/>
              </w:rPr>
              <w:t>Espumas</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6A993CF9" w14:textId="77777777" w:rsidR="008E0205" w:rsidRPr="00305D02" w:rsidRDefault="008E0205">
            <w:pPr>
              <w:widowControl w:val="0"/>
              <w:ind w:right="10"/>
              <w:jc w:val="right"/>
              <w:rPr>
                <w:bCs/>
                <w:color w:val="000000"/>
                <w:sz w:val="19"/>
                <w:szCs w:val="19"/>
                <w:lang w:val="en-US"/>
              </w:rPr>
            </w:pPr>
            <w:r w:rsidRPr="00305D02">
              <w:rPr>
                <w:bCs/>
                <w:color w:val="000000"/>
                <w:sz w:val="19"/>
                <w:szCs w:val="19"/>
                <w:lang w:val="es-PE"/>
              </w:rPr>
              <w:t>12</w:t>
            </w:r>
          </w:p>
        </w:tc>
        <w:tc>
          <w:tcPr>
            <w:tcW w:w="446" w:type="pct"/>
            <w:tcBorders>
              <w:top w:val="single" w:sz="4" w:space="0" w:color="auto"/>
              <w:left w:val="single" w:sz="4" w:space="0" w:color="auto"/>
              <w:bottom w:val="single" w:sz="4" w:space="0" w:color="auto"/>
              <w:right w:val="single" w:sz="4" w:space="0" w:color="auto"/>
            </w:tcBorders>
            <w:hideMark/>
          </w:tcPr>
          <w:p w14:paraId="13C4FDDE" w14:textId="77777777" w:rsidR="008E0205" w:rsidRPr="00305D02" w:rsidRDefault="008E0205">
            <w:pPr>
              <w:widowControl w:val="0"/>
              <w:jc w:val="right"/>
              <w:rPr>
                <w:b/>
                <w:bCs/>
                <w:color w:val="000000"/>
                <w:sz w:val="19"/>
                <w:szCs w:val="19"/>
              </w:rPr>
            </w:pPr>
            <w:r w:rsidRPr="00305D02">
              <w:rPr>
                <w:color w:val="000000"/>
                <w:sz w:val="19"/>
                <w:szCs w:val="19"/>
                <w:lang w:val="es-PE"/>
              </w:rPr>
              <w:t>35,62</w:t>
            </w:r>
          </w:p>
        </w:tc>
        <w:tc>
          <w:tcPr>
            <w:tcW w:w="447" w:type="pct"/>
            <w:tcBorders>
              <w:top w:val="single" w:sz="4" w:space="0" w:color="auto"/>
              <w:left w:val="single" w:sz="4" w:space="0" w:color="auto"/>
              <w:bottom w:val="single" w:sz="4" w:space="0" w:color="auto"/>
              <w:right w:val="single" w:sz="4" w:space="0" w:color="auto"/>
            </w:tcBorders>
            <w:hideMark/>
          </w:tcPr>
          <w:p w14:paraId="074BE639" w14:textId="77777777" w:rsidR="008E0205" w:rsidRPr="00305D02" w:rsidRDefault="008E0205">
            <w:pPr>
              <w:widowControl w:val="0"/>
              <w:jc w:val="right"/>
              <w:rPr>
                <w:b/>
                <w:bCs/>
                <w:color w:val="000000"/>
                <w:sz w:val="19"/>
                <w:szCs w:val="19"/>
              </w:rPr>
            </w:pPr>
            <w:r w:rsidRPr="00305D02">
              <w:rPr>
                <w:color w:val="000000"/>
                <w:sz w:val="19"/>
                <w:szCs w:val="19"/>
                <w:lang w:val="es-PE"/>
              </w:rPr>
              <w:t>3,92</w:t>
            </w:r>
          </w:p>
        </w:tc>
        <w:tc>
          <w:tcPr>
            <w:tcW w:w="2772" w:type="pct"/>
            <w:tcBorders>
              <w:top w:val="single" w:sz="4" w:space="0" w:color="auto"/>
              <w:left w:val="single" w:sz="4" w:space="0" w:color="auto"/>
              <w:bottom w:val="single" w:sz="4" w:space="0" w:color="auto"/>
              <w:right w:val="single" w:sz="4" w:space="0" w:color="auto"/>
            </w:tcBorders>
            <w:hideMark/>
          </w:tcPr>
          <w:p w14:paraId="05CBD182" w14:textId="77777777" w:rsidR="008E0205" w:rsidRPr="00305D02" w:rsidRDefault="008E0205" w:rsidP="008E0FC9">
            <w:pPr>
              <w:pStyle w:val="ListParagraph"/>
              <w:widowControl w:val="0"/>
              <w:numPr>
                <w:ilvl w:val="0"/>
                <w:numId w:val="10"/>
              </w:numPr>
              <w:ind w:left="158" w:hanging="158"/>
              <w:jc w:val="left"/>
              <w:rPr>
                <w:bCs/>
                <w:color w:val="000000"/>
                <w:sz w:val="19"/>
                <w:szCs w:val="19"/>
                <w:lang w:val="en-US"/>
              </w:rPr>
            </w:pPr>
            <w:r w:rsidRPr="00305D02">
              <w:rPr>
                <w:sz w:val="19"/>
                <w:szCs w:val="19"/>
                <w:lang w:val="es-PE"/>
              </w:rPr>
              <w:t xml:space="preserve">Se han realizado progresos con algunas empresas en la importación de sistemas a base de HFO, pero los resultados de las pruebas de rendimiento no fueron </w:t>
            </w:r>
            <w:proofErr w:type="gramStart"/>
            <w:r w:rsidRPr="00305D02">
              <w:rPr>
                <w:sz w:val="19"/>
                <w:szCs w:val="19"/>
                <w:lang w:val="es-PE"/>
              </w:rPr>
              <w:t>satisfactorias</w:t>
            </w:r>
            <w:proofErr w:type="gramEnd"/>
            <w:r w:rsidRPr="00305D02">
              <w:rPr>
                <w:sz w:val="19"/>
                <w:szCs w:val="19"/>
                <w:lang w:val="es-PE"/>
              </w:rPr>
              <w:t xml:space="preserve">, ya que las espumas no cumplieron con los requisitos vigentes. Se han retrasado otras pruebas debido a la pandemia. </w:t>
            </w:r>
          </w:p>
        </w:tc>
      </w:tr>
      <w:tr w:rsidR="008E0205" w:rsidRPr="00305D02" w14:paraId="278363CE" w14:textId="77777777" w:rsidTr="00305D02">
        <w:tc>
          <w:tcPr>
            <w:tcW w:w="815" w:type="pct"/>
            <w:tcBorders>
              <w:top w:val="single" w:sz="4" w:space="0" w:color="auto"/>
              <w:left w:val="single" w:sz="4" w:space="0" w:color="auto"/>
              <w:bottom w:val="single" w:sz="4" w:space="0" w:color="auto"/>
              <w:right w:val="single" w:sz="4" w:space="0" w:color="auto"/>
            </w:tcBorders>
            <w:hideMark/>
          </w:tcPr>
          <w:p w14:paraId="302EEF04" w14:textId="77777777" w:rsidR="008E0205" w:rsidRPr="00305D02" w:rsidRDefault="008E0205">
            <w:pPr>
              <w:widowControl w:val="0"/>
              <w:jc w:val="left"/>
              <w:rPr>
                <w:bCs/>
                <w:color w:val="000000"/>
                <w:sz w:val="19"/>
                <w:szCs w:val="19"/>
                <w:lang w:val="en-US"/>
              </w:rPr>
            </w:pPr>
            <w:r w:rsidRPr="00305D02">
              <w:rPr>
                <w:bCs/>
                <w:color w:val="000000"/>
                <w:sz w:val="19"/>
                <w:szCs w:val="19"/>
                <w:lang w:val="es-PE"/>
              </w:rPr>
              <w:t>Flotación</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13942EEB" w14:textId="77777777" w:rsidR="008E0205" w:rsidRPr="00305D02" w:rsidRDefault="008E0205">
            <w:pPr>
              <w:widowControl w:val="0"/>
              <w:ind w:right="10"/>
              <w:jc w:val="right"/>
              <w:rPr>
                <w:bCs/>
                <w:color w:val="000000"/>
                <w:sz w:val="19"/>
                <w:szCs w:val="19"/>
                <w:lang w:val="en-US"/>
              </w:rPr>
            </w:pPr>
            <w:r w:rsidRPr="00305D02">
              <w:rPr>
                <w:bCs/>
                <w:color w:val="000000"/>
                <w:sz w:val="19"/>
                <w:szCs w:val="19"/>
                <w:lang w:val="es-PE"/>
              </w:rPr>
              <w:t>1</w:t>
            </w:r>
          </w:p>
        </w:tc>
        <w:tc>
          <w:tcPr>
            <w:tcW w:w="446" w:type="pct"/>
            <w:tcBorders>
              <w:top w:val="single" w:sz="4" w:space="0" w:color="auto"/>
              <w:left w:val="single" w:sz="4" w:space="0" w:color="auto"/>
              <w:bottom w:val="single" w:sz="4" w:space="0" w:color="auto"/>
              <w:right w:val="single" w:sz="4" w:space="0" w:color="auto"/>
            </w:tcBorders>
            <w:hideMark/>
          </w:tcPr>
          <w:p w14:paraId="36D8A545" w14:textId="77777777" w:rsidR="008E0205" w:rsidRPr="00305D02" w:rsidRDefault="008E0205">
            <w:pPr>
              <w:widowControl w:val="0"/>
              <w:jc w:val="right"/>
              <w:rPr>
                <w:b/>
                <w:bCs/>
                <w:color w:val="000000"/>
                <w:sz w:val="19"/>
                <w:szCs w:val="19"/>
              </w:rPr>
            </w:pPr>
            <w:r w:rsidRPr="00305D02">
              <w:rPr>
                <w:color w:val="000000"/>
                <w:sz w:val="19"/>
                <w:szCs w:val="19"/>
                <w:lang w:val="es-PE"/>
              </w:rPr>
              <w:t>0,10</w:t>
            </w:r>
          </w:p>
        </w:tc>
        <w:tc>
          <w:tcPr>
            <w:tcW w:w="447" w:type="pct"/>
            <w:tcBorders>
              <w:top w:val="single" w:sz="4" w:space="0" w:color="auto"/>
              <w:left w:val="single" w:sz="4" w:space="0" w:color="auto"/>
              <w:bottom w:val="single" w:sz="4" w:space="0" w:color="auto"/>
              <w:right w:val="single" w:sz="4" w:space="0" w:color="auto"/>
            </w:tcBorders>
            <w:hideMark/>
          </w:tcPr>
          <w:p w14:paraId="30490EE0" w14:textId="77777777" w:rsidR="008E0205" w:rsidRPr="00305D02" w:rsidRDefault="008E0205">
            <w:pPr>
              <w:widowControl w:val="0"/>
              <w:jc w:val="right"/>
              <w:rPr>
                <w:b/>
                <w:bCs/>
                <w:color w:val="000000"/>
                <w:sz w:val="19"/>
                <w:szCs w:val="19"/>
              </w:rPr>
            </w:pPr>
            <w:r w:rsidRPr="00305D02">
              <w:rPr>
                <w:color w:val="000000"/>
                <w:sz w:val="19"/>
                <w:szCs w:val="19"/>
                <w:lang w:val="es-PE"/>
              </w:rPr>
              <w:t>0,01</w:t>
            </w:r>
          </w:p>
        </w:tc>
        <w:tc>
          <w:tcPr>
            <w:tcW w:w="2772" w:type="pct"/>
            <w:tcBorders>
              <w:top w:val="single" w:sz="4" w:space="0" w:color="auto"/>
              <w:left w:val="single" w:sz="4" w:space="0" w:color="auto"/>
              <w:bottom w:val="single" w:sz="4" w:space="0" w:color="auto"/>
              <w:right w:val="single" w:sz="4" w:space="0" w:color="auto"/>
            </w:tcBorders>
            <w:hideMark/>
          </w:tcPr>
          <w:p w14:paraId="7DCC73CC" w14:textId="77777777" w:rsidR="008E0205" w:rsidRPr="00305D02" w:rsidRDefault="008E0205" w:rsidP="008E0FC9">
            <w:pPr>
              <w:pStyle w:val="ListParagraph"/>
              <w:widowControl w:val="0"/>
              <w:numPr>
                <w:ilvl w:val="0"/>
                <w:numId w:val="10"/>
              </w:numPr>
              <w:ind w:left="158" w:hanging="158"/>
              <w:jc w:val="left"/>
              <w:rPr>
                <w:sz w:val="19"/>
                <w:szCs w:val="19"/>
                <w:lang w:val="es-ES"/>
              </w:rPr>
            </w:pPr>
            <w:r w:rsidRPr="00305D02">
              <w:rPr>
                <w:sz w:val="19"/>
                <w:szCs w:val="19"/>
                <w:lang w:val="es-PE"/>
              </w:rPr>
              <w:t>La conversión (</w:t>
            </w:r>
            <w:proofErr w:type="spellStart"/>
            <w:r w:rsidRPr="00305D02">
              <w:rPr>
                <w:sz w:val="19"/>
                <w:szCs w:val="19"/>
                <w:lang w:val="es-PE"/>
              </w:rPr>
              <w:t>Nolan</w:t>
            </w:r>
            <w:proofErr w:type="spellEnd"/>
            <w:r w:rsidRPr="00305D02">
              <w:rPr>
                <w:sz w:val="19"/>
                <w:szCs w:val="19"/>
                <w:lang w:val="es-PE"/>
              </w:rPr>
              <w:t>) está a la espera de la capacidad de producción post COVID-19.</w:t>
            </w:r>
          </w:p>
        </w:tc>
      </w:tr>
      <w:tr w:rsidR="008E0205" w:rsidRPr="00045A5C" w14:paraId="051FB9FF" w14:textId="77777777" w:rsidTr="00305D02">
        <w:tc>
          <w:tcPr>
            <w:tcW w:w="815" w:type="pct"/>
            <w:tcBorders>
              <w:top w:val="single" w:sz="4" w:space="0" w:color="auto"/>
              <w:left w:val="single" w:sz="4" w:space="0" w:color="auto"/>
              <w:bottom w:val="single" w:sz="4" w:space="0" w:color="auto"/>
              <w:right w:val="single" w:sz="4" w:space="0" w:color="auto"/>
            </w:tcBorders>
            <w:hideMark/>
          </w:tcPr>
          <w:p w14:paraId="769891B3" w14:textId="77777777" w:rsidR="008E0205" w:rsidRPr="00305D02" w:rsidRDefault="008E0205">
            <w:pPr>
              <w:widowControl w:val="0"/>
              <w:jc w:val="left"/>
              <w:rPr>
                <w:b/>
                <w:bCs/>
                <w:color w:val="000000"/>
                <w:sz w:val="19"/>
                <w:szCs w:val="19"/>
                <w:lang w:val="en-US"/>
              </w:rPr>
            </w:pPr>
            <w:r w:rsidRPr="00305D02">
              <w:rPr>
                <w:b/>
                <w:bCs/>
                <w:color w:val="000000"/>
                <w:sz w:val="19"/>
                <w:szCs w:val="19"/>
                <w:lang w:val="es-PE"/>
              </w:rPr>
              <w:t>Total</w:t>
            </w:r>
          </w:p>
        </w:tc>
        <w:tc>
          <w:tcPr>
            <w:tcW w:w="520" w:type="pct"/>
            <w:tcBorders>
              <w:top w:val="single" w:sz="4" w:space="0" w:color="auto"/>
              <w:left w:val="single" w:sz="4" w:space="0" w:color="auto"/>
              <w:bottom w:val="single" w:sz="4" w:space="0" w:color="auto"/>
              <w:right w:val="single" w:sz="4" w:space="0" w:color="auto"/>
            </w:tcBorders>
            <w:tcMar>
              <w:top w:w="0" w:type="dxa"/>
              <w:left w:w="58" w:type="dxa"/>
              <w:bottom w:w="0" w:type="dxa"/>
              <w:right w:w="144" w:type="dxa"/>
            </w:tcMar>
            <w:hideMark/>
          </w:tcPr>
          <w:p w14:paraId="561A8540" w14:textId="77777777" w:rsidR="008E0205" w:rsidRPr="00305D02" w:rsidRDefault="008E0205">
            <w:pPr>
              <w:widowControl w:val="0"/>
              <w:ind w:right="10"/>
              <w:jc w:val="right"/>
              <w:rPr>
                <w:b/>
                <w:sz w:val="19"/>
                <w:szCs w:val="19"/>
                <w:lang w:val="en-US"/>
              </w:rPr>
            </w:pPr>
            <w:r w:rsidRPr="00305D02">
              <w:rPr>
                <w:b/>
                <w:bCs/>
                <w:sz w:val="19"/>
                <w:szCs w:val="19"/>
                <w:lang w:val="es-PE"/>
              </w:rPr>
              <w:t>21</w:t>
            </w:r>
          </w:p>
        </w:tc>
        <w:tc>
          <w:tcPr>
            <w:tcW w:w="446" w:type="pct"/>
            <w:tcBorders>
              <w:top w:val="single" w:sz="4" w:space="0" w:color="auto"/>
              <w:left w:val="single" w:sz="4" w:space="0" w:color="auto"/>
              <w:bottom w:val="single" w:sz="4" w:space="0" w:color="auto"/>
              <w:right w:val="single" w:sz="4" w:space="0" w:color="auto"/>
            </w:tcBorders>
            <w:hideMark/>
          </w:tcPr>
          <w:p w14:paraId="5276C097" w14:textId="77777777" w:rsidR="008E0205" w:rsidRPr="00305D02" w:rsidRDefault="008E0205">
            <w:pPr>
              <w:widowControl w:val="0"/>
              <w:jc w:val="right"/>
              <w:rPr>
                <w:b/>
                <w:bCs/>
                <w:color w:val="000000"/>
                <w:sz w:val="19"/>
                <w:szCs w:val="19"/>
              </w:rPr>
            </w:pPr>
            <w:r w:rsidRPr="00305D02">
              <w:rPr>
                <w:b/>
                <w:bCs/>
                <w:color w:val="000000"/>
                <w:sz w:val="19"/>
                <w:szCs w:val="19"/>
                <w:lang w:val="es-PE"/>
              </w:rPr>
              <w:t>50,23</w:t>
            </w:r>
          </w:p>
        </w:tc>
        <w:tc>
          <w:tcPr>
            <w:tcW w:w="447" w:type="pct"/>
            <w:tcBorders>
              <w:top w:val="single" w:sz="4" w:space="0" w:color="auto"/>
              <w:left w:val="single" w:sz="4" w:space="0" w:color="auto"/>
              <w:bottom w:val="single" w:sz="4" w:space="0" w:color="auto"/>
              <w:right w:val="single" w:sz="4" w:space="0" w:color="auto"/>
            </w:tcBorders>
            <w:hideMark/>
          </w:tcPr>
          <w:p w14:paraId="30C7409D" w14:textId="77777777" w:rsidR="008E0205" w:rsidRPr="00305D02" w:rsidRDefault="008E0205">
            <w:pPr>
              <w:widowControl w:val="0"/>
              <w:jc w:val="right"/>
              <w:rPr>
                <w:b/>
                <w:bCs/>
                <w:color w:val="000000"/>
                <w:sz w:val="19"/>
                <w:szCs w:val="19"/>
              </w:rPr>
            </w:pPr>
            <w:r w:rsidRPr="00305D02">
              <w:rPr>
                <w:b/>
                <w:bCs/>
                <w:color w:val="000000"/>
                <w:sz w:val="19"/>
                <w:szCs w:val="19"/>
                <w:lang w:val="es-PE"/>
              </w:rPr>
              <w:t>5,53</w:t>
            </w:r>
          </w:p>
        </w:tc>
        <w:tc>
          <w:tcPr>
            <w:tcW w:w="2772" w:type="pct"/>
            <w:tcBorders>
              <w:top w:val="single" w:sz="4" w:space="0" w:color="auto"/>
              <w:left w:val="single" w:sz="4" w:space="0" w:color="auto"/>
              <w:bottom w:val="single" w:sz="4" w:space="0" w:color="auto"/>
              <w:right w:val="single" w:sz="4" w:space="0" w:color="auto"/>
            </w:tcBorders>
          </w:tcPr>
          <w:p w14:paraId="6706A61E" w14:textId="77777777" w:rsidR="008E0205" w:rsidRPr="00305D02" w:rsidRDefault="008E0205">
            <w:pPr>
              <w:widowControl w:val="0"/>
              <w:rPr>
                <w:b/>
                <w:sz w:val="19"/>
                <w:szCs w:val="19"/>
                <w:lang w:val="en-US"/>
              </w:rPr>
            </w:pPr>
          </w:p>
        </w:tc>
      </w:tr>
    </w:tbl>
    <w:p w14:paraId="2D2F3119" w14:textId="77777777" w:rsidR="008E0205" w:rsidRDefault="008E0205" w:rsidP="008E0205">
      <w:pPr>
        <w:widowControl w:val="0"/>
      </w:pPr>
    </w:p>
    <w:p w14:paraId="067B4E2C" w14:textId="25FAE2A6" w:rsidR="008E0205" w:rsidRDefault="008E0205" w:rsidP="00045A5C">
      <w:pPr>
        <w:numPr>
          <w:ilvl w:val="0"/>
          <w:numId w:val="1"/>
        </w:numPr>
        <w:tabs>
          <w:tab w:val="clear" w:pos="0"/>
          <w:tab w:val="num" w:pos="710"/>
        </w:tabs>
        <w:spacing w:after="240"/>
        <w:outlineLvl w:val="0"/>
        <w:rPr>
          <w:lang w:val="es-ES"/>
        </w:rPr>
      </w:pPr>
      <w:r>
        <w:rPr>
          <w:lang w:val="es-PE"/>
        </w:rPr>
        <w:lastRenderedPageBreak/>
        <w:t xml:space="preserve">La dependencia nacional del ozono, con el apoyo del PNUD y un experto en espumas, está colaborando con distintos proveedores de sistemas en la región y con distribuidores locales para facilitar muestras del sistema de poliuretano a base de HFO y, al mismo tiempo, está estudiando opciones, tales como la recepción del sistema de PU a base de HFO sin catalizador y su mezcla in situ, o el ensayo de otras alternativas con bajo PCA (tales como los sistemas a base de agua). En la actualidad, los cinco importadores/distribuidores de agentes espumantes en el país están evaluando diferentes alternativas al HCFC-141b contenido en </w:t>
      </w:r>
      <w:proofErr w:type="spellStart"/>
      <w:r>
        <w:rPr>
          <w:lang w:val="es-PE"/>
        </w:rPr>
        <w:t>polioles</w:t>
      </w:r>
      <w:proofErr w:type="spellEnd"/>
      <w:r>
        <w:rPr>
          <w:lang w:val="es-PE"/>
        </w:rPr>
        <w:t xml:space="preserve"> premezclados importados, entre ellas, tecnologías de insuflado con agua y sistemas a base de HFO. La dependencia nacional del ozono está trabajando estrechamente con esos importadores para garantizar el suministro de esas alternativas, teniendo en cuenta que, a consecuencia de la pandemia, hay limitaciones logísticas para obtener materias primas, lo que ha dado lugar a una escasez de </w:t>
      </w:r>
      <w:proofErr w:type="spellStart"/>
      <w:r>
        <w:rPr>
          <w:lang w:val="es-PE"/>
        </w:rPr>
        <w:t>polioles</w:t>
      </w:r>
      <w:proofErr w:type="spellEnd"/>
      <w:r>
        <w:rPr>
          <w:lang w:val="es-PE"/>
        </w:rPr>
        <w:t xml:space="preserve"> y otros componentes, así como a un incremento drástico en los gastos de transporte.  </w:t>
      </w:r>
    </w:p>
    <w:p w14:paraId="4372A967" w14:textId="77777777" w:rsidR="008E0205" w:rsidRDefault="008E0205" w:rsidP="008E0205">
      <w:pPr>
        <w:rPr>
          <w:i/>
          <w:lang w:val="es-ES"/>
        </w:rPr>
      </w:pPr>
      <w:r>
        <w:rPr>
          <w:i/>
          <w:iCs/>
          <w:lang w:val="es-PE"/>
        </w:rPr>
        <w:t>Sector de servicio y mantenimiento de equipos de refrigeración</w:t>
      </w:r>
    </w:p>
    <w:p w14:paraId="20D9AFD5" w14:textId="77777777" w:rsidR="008E0205" w:rsidRDefault="008E0205" w:rsidP="008E0205">
      <w:pPr>
        <w:rPr>
          <w:lang w:val="es-ES"/>
        </w:rPr>
      </w:pPr>
    </w:p>
    <w:p w14:paraId="5A3B48EE" w14:textId="3F1158A5" w:rsidR="008E0205" w:rsidRDefault="008E0205" w:rsidP="00045A5C">
      <w:pPr>
        <w:numPr>
          <w:ilvl w:val="0"/>
          <w:numId w:val="1"/>
        </w:numPr>
        <w:tabs>
          <w:tab w:val="clear" w:pos="0"/>
          <w:tab w:val="num" w:pos="710"/>
        </w:tabs>
        <w:spacing w:after="240"/>
        <w:outlineLvl w:val="0"/>
        <w:rPr>
          <w:rFonts w:eastAsia="MS Mincho"/>
          <w:lang w:val="es-ES"/>
        </w:rPr>
      </w:pPr>
      <w:r>
        <w:rPr>
          <w:lang w:val="es-PE"/>
        </w:rPr>
        <w:t>Entre marzo de 2020 y abril de 2021, se realizaron las actividades siguientes:</w:t>
      </w:r>
    </w:p>
    <w:p w14:paraId="2F69C866" w14:textId="57478249" w:rsidR="008E0205" w:rsidRPr="00045A5C" w:rsidRDefault="00045A5C" w:rsidP="00045A5C">
      <w:pPr>
        <w:pStyle w:val="Heading2"/>
        <w:keepNext/>
        <w:widowControl/>
        <w:numPr>
          <w:ilvl w:val="1"/>
          <w:numId w:val="7"/>
        </w:numPr>
        <w:tabs>
          <w:tab w:val="clear" w:pos="0"/>
        </w:tabs>
        <w:rPr>
          <w:lang w:val="es-PE"/>
        </w:rPr>
      </w:pPr>
      <w:r>
        <w:rPr>
          <w:lang w:val="es-PE"/>
        </w:rPr>
        <w:t>R</w:t>
      </w:r>
      <w:r w:rsidR="008E0205">
        <w:rPr>
          <w:lang w:val="es-PE"/>
        </w:rPr>
        <w:t>euniones con funcionarios del Ministerio de Industria para formular recomendaciones técnicas, con el fin de fomentar el uso de alternativas a las SAO en los nuevos proyectos de inversión a través de incentivos financieros;</w:t>
      </w:r>
    </w:p>
    <w:p w14:paraId="0839C727" w14:textId="467FAF84" w:rsidR="008E0205" w:rsidRPr="00045A5C" w:rsidRDefault="00045A5C" w:rsidP="00045A5C">
      <w:pPr>
        <w:pStyle w:val="Heading2"/>
        <w:keepNext/>
        <w:widowControl/>
        <w:numPr>
          <w:ilvl w:val="1"/>
          <w:numId w:val="7"/>
        </w:numPr>
        <w:tabs>
          <w:tab w:val="clear" w:pos="0"/>
        </w:tabs>
        <w:rPr>
          <w:lang w:val="es-PE"/>
        </w:rPr>
      </w:pPr>
      <w:r>
        <w:rPr>
          <w:lang w:val="es-PE"/>
        </w:rPr>
        <w:t>R</w:t>
      </w:r>
      <w:r w:rsidR="008E0205">
        <w:rPr>
          <w:lang w:val="es-PE"/>
        </w:rPr>
        <w:t xml:space="preserve">euniones con los importadores de HCFC y de equipos que utilizan HCFC, a fin de evaluar las tendencias del mercado e intercambiar información sobre los controles de la importación, las fechas de la eliminación gradual y las actividades relacionadas con el PGEH; además, se ha finalizado una revisión de los códigos arancelarios y las clasificaciones de los equipos de refrigeración y aire acondicionado, con el fin de mejorar los controles de la importación; </w:t>
      </w:r>
    </w:p>
    <w:p w14:paraId="2B99CB55" w14:textId="0AD569BF" w:rsidR="008E0205" w:rsidRPr="00045A5C" w:rsidRDefault="00045A5C" w:rsidP="00045A5C">
      <w:pPr>
        <w:pStyle w:val="Heading2"/>
        <w:keepNext/>
        <w:widowControl/>
        <w:numPr>
          <w:ilvl w:val="1"/>
          <w:numId w:val="7"/>
        </w:numPr>
        <w:tabs>
          <w:tab w:val="clear" w:pos="0"/>
        </w:tabs>
        <w:rPr>
          <w:lang w:val="es-PE"/>
        </w:rPr>
      </w:pPr>
      <w:r>
        <w:rPr>
          <w:lang w:val="es-PE"/>
        </w:rPr>
        <w:t>U</w:t>
      </w:r>
      <w:r w:rsidR="008E0205">
        <w:rPr>
          <w:lang w:val="es-PE"/>
        </w:rPr>
        <w:t>n intercambio de la información entre las autoridades aduaneras en la Argentina, el Paraguay y el Uruguay, así como asesoramiento y orientación sobre las medidas de control de la importación de HCFC;</w:t>
      </w:r>
    </w:p>
    <w:p w14:paraId="461A3D24" w14:textId="1AD47EFC" w:rsidR="008E0205" w:rsidRPr="00045A5C" w:rsidRDefault="00045A5C" w:rsidP="00045A5C">
      <w:pPr>
        <w:pStyle w:val="Heading2"/>
        <w:keepNext/>
        <w:widowControl/>
        <w:numPr>
          <w:ilvl w:val="1"/>
          <w:numId w:val="7"/>
        </w:numPr>
        <w:tabs>
          <w:tab w:val="clear" w:pos="0"/>
        </w:tabs>
        <w:rPr>
          <w:lang w:val="es-PE"/>
        </w:rPr>
      </w:pPr>
      <w:r>
        <w:rPr>
          <w:lang w:val="es-PE"/>
        </w:rPr>
        <w:t>D</w:t>
      </w:r>
      <w:r w:rsidR="008E0205">
        <w:rPr>
          <w:lang w:val="es-PE"/>
        </w:rPr>
        <w:t>os seminarios web para 262 técnicos de refrigeración y climatización sobre buenas prácticas en refrigeración, el control de las fugas y las nuevas tendencias en el sector de refrigeración y climatización; se han entablado conversaciones con un consultor sobre la preparación de un manual sobre buenas prácticas en refrigeración, y un seminario web sobre el uso de equipos que utilizan amoníaco, con la participación de 279 técnicos de refrigeración y climatización;</w:t>
      </w:r>
    </w:p>
    <w:p w14:paraId="77A86FEE" w14:textId="7A581135" w:rsidR="008E0205" w:rsidRPr="00045A5C" w:rsidRDefault="00045A5C" w:rsidP="00045A5C">
      <w:pPr>
        <w:pStyle w:val="Heading2"/>
        <w:keepNext/>
        <w:widowControl/>
        <w:numPr>
          <w:ilvl w:val="1"/>
          <w:numId w:val="7"/>
        </w:numPr>
        <w:tabs>
          <w:tab w:val="clear" w:pos="0"/>
        </w:tabs>
        <w:rPr>
          <w:lang w:val="es-PE"/>
        </w:rPr>
      </w:pPr>
      <w:r>
        <w:rPr>
          <w:lang w:val="es-PE"/>
        </w:rPr>
        <w:t>R</w:t>
      </w:r>
      <w:r w:rsidR="008E0205">
        <w:rPr>
          <w:lang w:val="es-PE"/>
        </w:rPr>
        <w:t>euniones con representantes de los supermercados para determinar las principales fuentes y cantidades de consumo de HCFC, y</w:t>
      </w:r>
    </w:p>
    <w:p w14:paraId="13DB0635" w14:textId="48741064" w:rsidR="008E0205" w:rsidRDefault="00045A5C" w:rsidP="00045A5C">
      <w:pPr>
        <w:pStyle w:val="Heading2"/>
        <w:keepNext/>
        <w:widowControl/>
        <w:numPr>
          <w:ilvl w:val="1"/>
          <w:numId w:val="7"/>
        </w:numPr>
        <w:tabs>
          <w:tab w:val="clear" w:pos="0"/>
        </w:tabs>
        <w:rPr>
          <w:lang w:val="es-ES"/>
        </w:rPr>
      </w:pPr>
      <w:r>
        <w:rPr>
          <w:lang w:val="es-PE"/>
        </w:rPr>
        <w:t>L</w:t>
      </w:r>
      <w:r w:rsidR="008E0205">
        <w:rPr>
          <w:lang w:val="es-PE"/>
        </w:rPr>
        <w:t>a distribución de material de sensibilización pública sobre la capa de ozono y el Protocolo de Montreal para el público en general y los técnicos de refrigeración y climatización, así como una actualización de la correspondiente página web.</w:t>
      </w:r>
    </w:p>
    <w:p w14:paraId="5489E5C3" w14:textId="77777777" w:rsidR="008E0205" w:rsidRDefault="008E0205" w:rsidP="008E0205">
      <w:pPr>
        <w:pStyle w:val="Heading2"/>
        <w:keepNext/>
        <w:keepLines/>
        <w:numPr>
          <w:ilvl w:val="0"/>
          <w:numId w:val="0"/>
        </w:numPr>
        <w:rPr>
          <w:u w:val="single"/>
          <w:lang w:val="es-ES"/>
        </w:rPr>
      </w:pPr>
      <w:r>
        <w:rPr>
          <w:u w:val="single"/>
          <w:lang w:val="es-PE"/>
        </w:rPr>
        <w:t>Nivel de desembolso de los fondos</w:t>
      </w:r>
    </w:p>
    <w:p w14:paraId="494040C2" w14:textId="318F85C2" w:rsidR="008E0205" w:rsidRDefault="008E0205" w:rsidP="00045A5C">
      <w:pPr>
        <w:numPr>
          <w:ilvl w:val="0"/>
          <w:numId w:val="1"/>
        </w:numPr>
        <w:tabs>
          <w:tab w:val="clear" w:pos="0"/>
          <w:tab w:val="num" w:pos="710"/>
        </w:tabs>
        <w:spacing w:after="240"/>
        <w:outlineLvl w:val="0"/>
        <w:rPr>
          <w:b/>
          <w:lang w:val="es-ES"/>
        </w:rPr>
      </w:pPr>
      <w:r>
        <w:rPr>
          <w:lang w:val="es-PE"/>
        </w:rPr>
        <w:t>En mayo de 2021, de 1 105 157 $EUA</w:t>
      </w:r>
      <w:r w:rsidR="00045A5C">
        <w:rPr>
          <w:lang w:val="es-PE"/>
        </w:rPr>
        <w:t xml:space="preserve"> aprobado a la fecha, se habían desembolsado 653 199</w:t>
      </w:r>
      <w:r>
        <w:rPr>
          <w:lang w:val="es-PE"/>
        </w:rPr>
        <w:t xml:space="preserve">$EUA), como se indica en el Cuadro 13.  </w:t>
      </w:r>
    </w:p>
    <w:p w14:paraId="5B37831A" w14:textId="77777777" w:rsidR="00305D02" w:rsidRDefault="00305D02">
      <w:pPr>
        <w:jc w:val="left"/>
        <w:rPr>
          <w:b/>
          <w:bCs/>
          <w:lang w:val="es-PE"/>
        </w:rPr>
      </w:pPr>
      <w:r>
        <w:rPr>
          <w:b/>
          <w:bCs/>
          <w:lang w:val="es-PE"/>
        </w:rPr>
        <w:br w:type="page"/>
      </w:r>
    </w:p>
    <w:p w14:paraId="410120ED" w14:textId="0595B46E" w:rsidR="008E0205" w:rsidRDefault="008E0205" w:rsidP="008E0205">
      <w:pPr>
        <w:pStyle w:val="Heading1"/>
        <w:numPr>
          <w:ilvl w:val="0"/>
          <w:numId w:val="0"/>
        </w:numPr>
        <w:tabs>
          <w:tab w:val="left" w:pos="720"/>
        </w:tabs>
        <w:spacing w:after="0"/>
        <w:rPr>
          <w:b/>
          <w:lang w:val="es-ES"/>
        </w:rPr>
      </w:pPr>
      <w:r>
        <w:rPr>
          <w:b/>
          <w:bCs/>
          <w:lang w:val="es-PE"/>
        </w:rPr>
        <w:lastRenderedPageBreak/>
        <w:t>Cuadro 13. Informe financiero de la etapa II del plan de gestión de la eliminación de los HCFC para el Uruguay ($EUA).</w:t>
      </w:r>
    </w:p>
    <w:tbl>
      <w:tblPr>
        <w:tblW w:w="9360" w:type="dxa"/>
        <w:tblInd w:w="-5" w:type="dxa"/>
        <w:tblLayout w:type="fixed"/>
        <w:tblLook w:val="04A0" w:firstRow="1" w:lastRow="0" w:firstColumn="1" w:lastColumn="0" w:noHBand="0" w:noVBand="1"/>
      </w:tblPr>
      <w:tblGrid>
        <w:gridCol w:w="2340"/>
        <w:gridCol w:w="2340"/>
        <w:gridCol w:w="2340"/>
        <w:gridCol w:w="2340"/>
      </w:tblGrid>
      <w:tr w:rsidR="008E0205" w14:paraId="1B53BE37" w14:textId="77777777" w:rsidTr="008E0205">
        <w:tc>
          <w:tcPr>
            <w:tcW w:w="2340" w:type="dxa"/>
            <w:tcBorders>
              <w:top w:val="single" w:sz="4" w:space="0" w:color="auto"/>
              <w:left w:val="single" w:sz="4" w:space="0" w:color="auto"/>
              <w:bottom w:val="single" w:sz="4" w:space="0" w:color="auto"/>
              <w:right w:val="single" w:sz="4" w:space="0" w:color="auto"/>
            </w:tcBorders>
            <w:noWrap/>
            <w:vAlign w:val="bottom"/>
            <w:hideMark/>
          </w:tcPr>
          <w:p w14:paraId="635904C1" w14:textId="77777777" w:rsidR="008E0205" w:rsidRDefault="008E0205">
            <w:pPr>
              <w:jc w:val="left"/>
              <w:rPr>
                <w:b/>
                <w:color w:val="000000"/>
                <w:sz w:val="20"/>
                <w:szCs w:val="20"/>
                <w:lang w:val="en-CA" w:eastAsia="en-CA"/>
              </w:rPr>
            </w:pPr>
            <w:r>
              <w:rPr>
                <w:b/>
                <w:bCs/>
                <w:color w:val="000000"/>
                <w:sz w:val="20"/>
                <w:szCs w:val="20"/>
                <w:lang w:val="es-PE" w:eastAsia="en-CA"/>
              </w:rPr>
              <w:t>Tramo</w:t>
            </w:r>
          </w:p>
        </w:tc>
        <w:tc>
          <w:tcPr>
            <w:tcW w:w="2340" w:type="dxa"/>
            <w:tcBorders>
              <w:top w:val="single" w:sz="4" w:space="0" w:color="auto"/>
              <w:left w:val="nil"/>
              <w:bottom w:val="single" w:sz="4" w:space="0" w:color="auto"/>
              <w:right w:val="single" w:sz="4" w:space="0" w:color="auto"/>
            </w:tcBorders>
            <w:noWrap/>
            <w:vAlign w:val="center"/>
            <w:hideMark/>
          </w:tcPr>
          <w:p w14:paraId="69184617" w14:textId="77777777" w:rsidR="008E0205" w:rsidRDefault="008E0205">
            <w:pPr>
              <w:jc w:val="center"/>
              <w:rPr>
                <w:b/>
                <w:color w:val="000000"/>
                <w:sz w:val="20"/>
                <w:szCs w:val="20"/>
                <w:lang w:val="en-CA" w:eastAsia="en-CA"/>
              </w:rPr>
            </w:pPr>
            <w:r>
              <w:rPr>
                <w:b/>
                <w:bCs/>
                <w:color w:val="000000"/>
                <w:sz w:val="20"/>
                <w:szCs w:val="20"/>
                <w:lang w:val="es-PE" w:eastAsia="en-CA"/>
              </w:rPr>
              <w:t>Aprobado</w:t>
            </w:r>
          </w:p>
        </w:tc>
        <w:tc>
          <w:tcPr>
            <w:tcW w:w="2340" w:type="dxa"/>
            <w:tcBorders>
              <w:top w:val="single" w:sz="4" w:space="0" w:color="auto"/>
              <w:left w:val="nil"/>
              <w:bottom w:val="single" w:sz="4" w:space="0" w:color="auto"/>
              <w:right w:val="single" w:sz="4" w:space="0" w:color="auto"/>
            </w:tcBorders>
            <w:noWrap/>
            <w:vAlign w:val="center"/>
            <w:hideMark/>
          </w:tcPr>
          <w:p w14:paraId="6345C25C" w14:textId="77777777" w:rsidR="008E0205" w:rsidRDefault="008E0205">
            <w:pPr>
              <w:jc w:val="center"/>
              <w:rPr>
                <w:b/>
                <w:color w:val="000000"/>
                <w:sz w:val="20"/>
                <w:szCs w:val="20"/>
                <w:lang w:val="en-CA" w:eastAsia="en-CA"/>
              </w:rPr>
            </w:pPr>
            <w:r>
              <w:rPr>
                <w:b/>
                <w:bCs/>
                <w:color w:val="000000"/>
                <w:sz w:val="20"/>
                <w:szCs w:val="20"/>
                <w:lang w:val="es-PE" w:eastAsia="en-CA"/>
              </w:rPr>
              <w:t>Desembolsado</w:t>
            </w:r>
          </w:p>
        </w:tc>
        <w:tc>
          <w:tcPr>
            <w:tcW w:w="2340" w:type="dxa"/>
            <w:tcBorders>
              <w:top w:val="single" w:sz="4" w:space="0" w:color="auto"/>
              <w:left w:val="nil"/>
              <w:bottom w:val="single" w:sz="4" w:space="0" w:color="auto"/>
              <w:right w:val="single" w:sz="4" w:space="0" w:color="auto"/>
            </w:tcBorders>
            <w:noWrap/>
            <w:vAlign w:val="center"/>
            <w:hideMark/>
          </w:tcPr>
          <w:p w14:paraId="063E33BE" w14:textId="77777777" w:rsidR="008E0205" w:rsidRDefault="008E0205">
            <w:pPr>
              <w:jc w:val="center"/>
              <w:rPr>
                <w:b/>
                <w:color w:val="000000"/>
                <w:sz w:val="20"/>
                <w:szCs w:val="20"/>
                <w:lang w:val="en-CA" w:eastAsia="en-CA"/>
              </w:rPr>
            </w:pPr>
            <w:r>
              <w:rPr>
                <w:b/>
                <w:bCs/>
                <w:color w:val="000000"/>
                <w:sz w:val="20"/>
                <w:szCs w:val="20"/>
                <w:lang w:val="es-PE" w:eastAsia="en-CA"/>
              </w:rPr>
              <w:t>Tasa de desembolso (%)</w:t>
            </w:r>
          </w:p>
        </w:tc>
      </w:tr>
      <w:tr w:rsidR="008E0205" w14:paraId="13CA8221" w14:textId="77777777" w:rsidTr="008E0205">
        <w:tc>
          <w:tcPr>
            <w:tcW w:w="2340" w:type="dxa"/>
            <w:tcBorders>
              <w:top w:val="nil"/>
              <w:left w:val="single" w:sz="4" w:space="0" w:color="auto"/>
              <w:bottom w:val="single" w:sz="4" w:space="0" w:color="auto"/>
              <w:right w:val="single" w:sz="4" w:space="0" w:color="auto"/>
            </w:tcBorders>
            <w:noWrap/>
            <w:vAlign w:val="bottom"/>
            <w:hideMark/>
          </w:tcPr>
          <w:p w14:paraId="76B514AD" w14:textId="77777777" w:rsidR="008E0205" w:rsidRDefault="008E0205">
            <w:pPr>
              <w:jc w:val="left"/>
              <w:rPr>
                <w:color w:val="000000"/>
                <w:sz w:val="20"/>
                <w:szCs w:val="20"/>
                <w:lang w:val="en-CA" w:eastAsia="en-CA"/>
              </w:rPr>
            </w:pPr>
            <w:r>
              <w:rPr>
                <w:color w:val="000000"/>
                <w:sz w:val="20"/>
                <w:szCs w:val="20"/>
                <w:lang w:val="es-PE" w:eastAsia="en-CA"/>
              </w:rPr>
              <w:t>Primero</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1BE722BE" w14:textId="77777777" w:rsidR="008E0205" w:rsidRDefault="008E0205">
            <w:pPr>
              <w:jc w:val="right"/>
              <w:rPr>
                <w:color w:val="000000"/>
                <w:sz w:val="20"/>
                <w:szCs w:val="20"/>
                <w:lang w:val="en-CA" w:eastAsia="en-CA"/>
              </w:rPr>
            </w:pPr>
            <w:r>
              <w:rPr>
                <w:color w:val="000000"/>
                <w:sz w:val="20"/>
                <w:szCs w:val="20"/>
                <w:lang w:val="es-PE" w:eastAsia="en-CA"/>
              </w:rPr>
              <w:t>314 000</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0D2C8A19" w14:textId="77777777" w:rsidR="008E0205" w:rsidRDefault="008E0205">
            <w:pPr>
              <w:jc w:val="right"/>
              <w:rPr>
                <w:color w:val="000000"/>
                <w:sz w:val="20"/>
                <w:szCs w:val="20"/>
                <w:lang w:val="en-CA" w:eastAsia="en-CA"/>
              </w:rPr>
            </w:pPr>
            <w:r>
              <w:rPr>
                <w:color w:val="000000"/>
                <w:sz w:val="20"/>
                <w:szCs w:val="20"/>
                <w:lang w:val="es-PE" w:eastAsia="en-CA"/>
              </w:rPr>
              <w:t>314 000</w:t>
            </w:r>
          </w:p>
        </w:tc>
        <w:tc>
          <w:tcPr>
            <w:tcW w:w="2340" w:type="dxa"/>
            <w:tcBorders>
              <w:top w:val="nil"/>
              <w:left w:val="nil"/>
              <w:bottom w:val="single" w:sz="4" w:space="0" w:color="auto"/>
              <w:right w:val="single" w:sz="4" w:space="0" w:color="auto"/>
            </w:tcBorders>
            <w:noWrap/>
            <w:vAlign w:val="center"/>
            <w:hideMark/>
          </w:tcPr>
          <w:p w14:paraId="00BAA7F8" w14:textId="77777777" w:rsidR="008E0205" w:rsidRDefault="008E0205">
            <w:pPr>
              <w:jc w:val="center"/>
              <w:rPr>
                <w:color w:val="000000"/>
                <w:sz w:val="20"/>
                <w:szCs w:val="20"/>
                <w:lang w:val="en-CA" w:eastAsia="en-CA"/>
              </w:rPr>
            </w:pPr>
            <w:r>
              <w:rPr>
                <w:color w:val="000000"/>
                <w:sz w:val="20"/>
                <w:szCs w:val="20"/>
                <w:lang w:val="es-PE" w:eastAsia="en-CA"/>
              </w:rPr>
              <w:t>100</w:t>
            </w:r>
          </w:p>
        </w:tc>
      </w:tr>
      <w:tr w:rsidR="008E0205" w14:paraId="706E6E48" w14:textId="77777777" w:rsidTr="008E0205">
        <w:tc>
          <w:tcPr>
            <w:tcW w:w="2340" w:type="dxa"/>
            <w:tcBorders>
              <w:top w:val="nil"/>
              <w:left w:val="single" w:sz="4" w:space="0" w:color="auto"/>
              <w:bottom w:val="single" w:sz="4" w:space="0" w:color="auto"/>
              <w:right w:val="single" w:sz="4" w:space="0" w:color="auto"/>
            </w:tcBorders>
            <w:noWrap/>
            <w:vAlign w:val="bottom"/>
            <w:hideMark/>
          </w:tcPr>
          <w:p w14:paraId="5AEEE5D5" w14:textId="77777777" w:rsidR="008E0205" w:rsidRDefault="008E0205">
            <w:pPr>
              <w:jc w:val="left"/>
              <w:rPr>
                <w:color w:val="000000"/>
                <w:sz w:val="20"/>
                <w:szCs w:val="20"/>
                <w:lang w:val="en-CA" w:eastAsia="en-CA"/>
              </w:rPr>
            </w:pPr>
            <w:r>
              <w:rPr>
                <w:color w:val="000000"/>
                <w:sz w:val="20"/>
                <w:szCs w:val="20"/>
                <w:lang w:val="es-PE" w:eastAsia="en-CA"/>
              </w:rPr>
              <w:t>Segundo</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19F40A6A" w14:textId="77777777" w:rsidR="008E0205" w:rsidRDefault="008E0205">
            <w:pPr>
              <w:jc w:val="right"/>
              <w:rPr>
                <w:color w:val="000000"/>
                <w:sz w:val="20"/>
                <w:szCs w:val="20"/>
                <w:lang w:val="en-CA" w:eastAsia="en-CA"/>
              </w:rPr>
            </w:pPr>
            <w:r>
              <w:rPr>
                <w:color w:val="000000"/>
                <w:sz w:val="20"/>
                <w:szCs w:val="20"/>
                <w:lang w:val="es-PE" w:eastAsia="en-CA"/>
              </w:rPr>
              <w:t>679 889</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42404133" w14:textId="77777777" w:rsidR="008E0205" w:rsidRDefault="008E0205">
            <w:pPr>
              <w:jc w:val="right"/>
              <w:rPr>
                <w:color w:val="000000"/>
                <w:sz w:val="20"/>
                <w:szCs w:val="20"/>
                <w:lang w:val="en-CA" w:eastAsia="en-CA"/>
              </w:rPr>
            </w:pPr>
            <w:r>
              <w:rPr>
                <w:color w:val="000000"/>
                <w:sz w:val="20"/>
                <w:szCs w:val="20"/>
                <w:lang w:val="es-PE" w:eastAsia="en-CA"/>
              </w:rPr>
              <w:t>324 862</w:t>
            </w:r>
          </w:p>
        </w:tc>
        <w:tc>
          <w:tcPr>
            <w:tcW w:w="2340" w:type="dxa"/>
            <w:tcBorders>
              <w:top w:val="nil"/>
              <w:left w:val="nil"/>
              <w:bottom w:val="single" w:sz="4" w:space="0" w:color="auto"/>
              <w:right w:val="single" w:sz="4" w:space="0" w:color="auto"/>
            </w:tcBorders>
            <w:noWrap/>
            <w:vAlign w:val="center"/>
            <w:hideMark/>
          </w:tcPr>
          <w:p w14:paraId="36122050" w14:textId="77777777" w:rsidR="008E0205" w:rsidRDefault="008E0205">
            <w:pPr>
              <w:jc w:val="center"/>
              <w:rPr>
                <w:color w:val="000000"/>
                <w:sz w:val="20"/>
                <w:szCs w:val="20"/>
                <w:lang w:val="en-CA" w:eastAsia="en-CA"/>
              </w:rPr>
            </w:pPr>
            <w:r>
              <w:rPr>
                <w:color w:val="000000"/>
                <w:sz w:val="20"/>
                <w:szCs w:val="20"/>
                <w:lang w:val="es-PE" w:eastAsia="en-CA"/>
              </w:rPr>
              <w:t>48</w:t>
            </w:r>
          </w:p>
        </w:tc>
      </w:tr>
      <w:tr w:rsidR="008E0205" w14:paraId="084FEED3" w14:textId="77777777" w:rsidTr="008E0205">
        <w:tc>
          <w:tcPr>
            <w:tcW w:w="2340" w:type="dxa"/>
            <w:tcBorders>
              <w:top w:val="nil"/>
              <w:left w:val="single" w:sz="4" w:space="0" w:color="auto"/>
              <w:bottom w:val="single" w:sz="4" w:space="0" w:color="auto"/>
              <w:right w:val="single" w:sz="4" w:space="0" w:color="auto"/>
            </w:tcBorders>
            <w:noWrap/>
            <w:vAlign w:val="bottom"/>
            <w:hideMark/>
          </w:tcPr>
          <w:p w14:paraId="5789BC76" w14:textId="77777777" w:rsidR="008E0205" w:rsidRDefault="008E0205">
            <w:pPr>
              <w:jc w:val="left"/>
              <w:rPr>
                <w:color w:val="000000"/>
                <w:sz w:val="20"/>
                <w:szCs w:val="20"/>
                <w:lang w:val="en-CA" w:eastAsia="en-CA"/>
              </w:rPr>
            </w:pPr>
            <w:r>
              <w:rPr>
                <w:color w:val="000000"/>
                <w:sz w:val="20"/>
                <w:szCs w:val="20"/>
                <w:lang w:val="es-PE" w:eastAsia="en-CA"/>
              </w:rPr>
              <w:t>Tercero</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5A0FE1E4" w14:textId="77777777" w:rsidR="008E0205" w:rsidRDefault="008E0205">
            <w:pPr>
              <w:jc w:val="right"/>
              <w:rPr>
                <w:color w:val="000000"/>
                <w:sz w:val="20"/>
                <w:szCs w:val="20"/>
                <w:lang w:val="en-CA" w:eastAsia="en-CA"/>
              </w:rPr>
            </w:pPr>
            <w:r>
              <w:rPr>
                <w:color w:val="000000"/>
                <w:sz w:val="20"/>
                <w:szCs w:val="20"/>
                <w:lang w:val="es-PE" w:eastAsia="en-CA"/>
              </w:rPr>
              <w:t>111 268</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2E59DEAA" w14:textId="77777777" w:rsidR="008E0205" w:rsidRDefault="008E0205">
            <w:pPr>
              <w:jc w:val="right"/>
              <w:rPr>
                <w:color w:val="000000"/>
                <w:sz w:val="20"/>
                <w:szCs w:val="20"/>
                <w:lang w:val="en-CA" w:eastAsia="en-CA"/>
              </w:rPr>
            </w:pPr>
            <w:r>
              <w:rPr>
                <w:color w:val="000000"/>
                <w:sz w:val="20"/>
                <w:szCs w:val="20"/>
                <w:lang w:val="es-PE" w:eastAsia="en-CA"/>
              </w:rPr>
              <w:t>14 337</w:t>
            </w:r>
          </w:p>
        </w:tc>
        <w:tc>
          <w:tcPr>
            <w:tcW w:w="2340" w:type="dxa"/>
            <w:tcBorders>
              <w:top w:val="nil"/>
              <w:left w:val="nil"/>
              <w:bottom w:val="single" w:sz="4" w:space="0" w:color="auto"/>
              <w:right w:val="single" w:sz="4" w:space="0" w:color="auto"/>
            </w:tcBorders>
            <w:noWrap/>
            <w:vAlign w:val="center"/>
            <w:hideMark/>
          </w:tcPr>
          <w:p w14:paraId="48BFFCBE" w14:textId="77777777" w:rsidR="008E0205" w:rsidRDefault="008E0205">
            <w:pPr>
              <w:jc w:val="center"/>
              <w:rPr>
                <w:color w:val="000000"/>
                <w:sz w:val="20"/>
                <w:szCs w:val="20"/>
                <w:lang w:val="en-CA" w:eastAsia="en-CA"/>
              </w:rPr>
            </w:pPr>
            <w:r>
              <w:rPr>
                <w:color w:val="000000"/>
                <w:sz w:val="20"/>
                <w:szCs w:val="20"/>
                <w:lang w:val="es-PE" w:eastAsia="en-CA"/>
              </w:rPr>
              <w:t>13</w:t>
            </w:r>
          </w:p>
        </w:tc>
      </w:tr>
      <w:tr w:rsidR="008E0205" w14:paraId="67D01274" w14:textId="77777777" w:rsidTr="008E0205">
        <w:tc>
          <w:tcPr>
            <w:tcW w:w="2340" w:type="dxa"/>
            <w:tcBorders>
              <w:top w:val="nil"/>
              <w:left w:val="single" w:sz="4" w:space="0" w:color="auto"/>
              <w:bottom w:val="single" w:sz="4" w:space="0" w:color="auto"/>
              <w:right w:val="single" w:sz="4" w:space="0" w:color="auto"/>
            </w:tcBorders>
            <w:noWrap/>
            <w:vAlign w:val="bottom"/>
            <w:hideMark/>
          </w:tcPr>
          <w:p w14:paraId="7D89DA68" w14:textId="77777777" w:rsidR="008E0205" w:rsidRDefault="008E0205">
            <w:pPr>
              <w:jc w:val="left"/>
              <w:rPr>
                <w:color w:val="000000"/>
                <w:sz w:val="20"/>
                <w:szCs w:val="20"/>
                <w:lang w:val="en-CA" w:eastAsia="en-CA"/>
              </w:rPr>
            </w:pPr>
            <w:r>
              <w:rPr>
                <w:color w:val="000000"/>
                <w:sz w:val="20"/>
                <w:szCs w:val="20"/>
                <w:lang w:val="es-PE" w:eastAsia="en-CA"/>
              </w:rPr>
              <w:t>Total</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2C8CCC1B" w14:textId="77777777" w:rsidR="008E0205" w:rsidRDefault="008E0205">
            <w:pPr>
              <w:jc w:val="right"/>
              <w:rPr>
                <w:color w:val="000000"/>
                <w:sz w:val="20"/>
                <w:szCs w:val="20"/>
                <w:lang w:val="en-CA" w:eastAsia="en-CA"/>
              </w:rPr>
            </w:pPr>
            <w:r>
              <w:rPr>
                <w:sz w:val="20"/>
                <w:szCs w:val="20"/>
                <w:lang w:val="es-PE"/>
              </w:rPr>
              <w:t>1 105 157</w:t>
            </w:r>
          </w:p>
        </w:tc>
        <w:tc>
          <w:tcPr>
            <w:tcW w:w="2340" w:type="dxa"/>
            <w:tcBorders>
              <w:top w:val="nil"/>
              <w:left w:val="nil"/>
              <w:bottom w:val="single" w:sz="4" w:space="0" w:color="auto"/>
              <w:right w:val="single" w:sz="4" w:space="0" w:color="auto"/>
            </w:tcBorders>
            <w:noWrap/>
            <w:tcMar>
              <w:top w:w="0" w:type="dxa"/>
              <w:left w:w="115" w:type="dxa"/>
              <w:bottom w:w="0" w:type="dxa"/>
              <w:right w:w="576" w:type="dxa"/>
            </w:tcMar>
            <w:hideMark/>
          </w:tcPr>
          <w:p w14:paraId="307EF942" w14:textId="77777777" w:rsidR="008E0205" w:rsidRDefault="008E0205">
            <w:pPr>
              <w:jc w:val="right"/>
              <w:rPr>
                <w:color w:val="000000"/>
                <w:sz w:val="20"/>
                <w:szCs w:val="20"/>
                <w:lang w:val="en-CA" w:eastAsia="en-CA"/>
              </w:rPr>
            </w:pPr>
            <w:r>
              <w:rPr>
                <w:color w:val="000000"/>
                <w:sz w:val="20"/>
                <w:szCs w:val="20"/>
                <w:lang w:val="es-PE" w:eastAsia="en-CA"/>
              </w:rPr>
              <w:t>653 199</w:t>
            </w:r>
          </w:p>
        </w:tc>
        <w:tc>
          <w:tcPr>
            <w:tcW w:w="2340" w:type="dxa"/>
            <w:tcBorders>
              <w:top w:val="nil"/>
              <w:left w:val="nil"/>
              <w:bottom w:val="single" w:sz="4" w:space="0" w:color="auto"/>
              <w:right w:val="single" w:sz="4" w:space="0" w:color="auto"/>
            </w:tcBorders>
            <w:noWrap/>
            <w:vAlign w:val="center"/>
            <w:hideMark/>
          </w:tcPr>
          <w:p w14:paraId="122D1D77" w14:textId="77777777" w:rsidR="008E0205" w:rsidRDefault="008E0205">
            <w:pPr>
              <w:jc w:val="center"/>
              <w:rPr>
                <w:color w:val="000000"/>
                <w:sz w:val="20"/>
                <w:szCs w:val="20"/>
                <w:lang w:val="en-CA" w:eastAsia="en-CA"/>
              </w:rPr>
            </w:pPr>
            <w:r>
              <w:rPr>
                <w:color w:val="000000"/>
                <w:sz w:val="20"/>
                <w:szCs w:val="20"/>
                <w:lang w:val="es-PE" w:eastAsia="en-CA"/>
              </w:rPr>
              <w:t>59</w:t>
            </w:r>
          </w:p>
        </w:tc>
      </w:tr>
    </w:tbl>
    <w:p w14:paraId="3460DD22" w14:textId="77777777" w:rsidR="008E0205" w:rsidRDefault="008E0205" w:rsidP="008E0205">
      <w:pPr>
        <w:rPr>
          <w:lang w:val="en-CA"/>
        </w:rPr>
      </w:pPr>
    </w:p>
    <w:p w14:paraId="203D1E2A" w14:textId="0FE4C058" w:rsidR="008E0205" w:rsidRDefault="008E0205" w:rsidP="00045A5C">
      <w:pPr>
        <w:keepNext/>
        <w:keepLines/>
        <w:spacing w:after="240"/>
        <w:rPr>
          <w:u w:val="single"/>
          <w:lang w:val="en-CA"/>
        </w:rPr>
      </w:pPr>
      <w:r>
        <w:rPr>
          <w:u w:val="single"/>
          <w:lang w:val="es-PE"/>
        </w:rPr>
        <w:t>Terminación de la etapa II</w:t>
      </w:r>
    </w:p>
    <w:p w14:paraId="63BB0028" w14:textId="7D7E101C" w:rsidR="008E0205" w:rsidRDefault="008E0205" w:rsidP="00045A5C">
      <w:pPr>
        <w:numPr>
          <w:ilvl w:val="0"/>
          <w:numId w:val="1"/>
        </w:numPr>
        <w:tabs>
          <w:tab w:val="clear" w:pos="0"/>
          <w:tab w:val="num" w:pos="710"/>
        </w:tabs>
        <w:spacing w:after="240"/>
        <w:outlineLvl w:val="0"/>
        <w:rPr>
          <w:lang w:val="es-ES"/>
        </w:rPr>
      </w:pPr>
      <w:r>
        <w:rPr>
          <w:lang w:val="es-PE"/>
        </w:rPr>
        <w:t>El Gobierno del Uruguay, a través del PNUD, solicitó una prórroga de la fecha de terminación de la etapa II del PGEH al 22 de diciembre de 2022, debido a los retrasos provocados por la creación de un nuevo Ministerio de Ambiente, con la supervisión de la dependencia nacional del ozono, y a las medidas de salud pública, en respuesta a la pandemia de COVID-19. El apoyo técnico de expertos internacionales es un componente clave del proyecto de conversión, el cual no se ha podido prestar durante la pandemia.</w:t>
      </w:r>
    </w:p>
    <w:p w14:paraId="1801F9A4" w14:textId="3150BAC3" w:rsidR="008E0205" w:rsidRDefault="008E0205" w:rsidP="00045A5C">
      <w:pPr>
        <w:numPr>
          <w:ilvl w:val="0"/>
          <w:numId w:val="1"/>
        </w:numPr>
        <w:tabs>
          <w:tab w:val="clear" w:pos="0"/>
          <w:tab w:val="num" w:pos="710"/>
        </w:tabs>
        <w:spacing w:after="240"/>
        <w:outlineLvl w:val="0"/>
        <w:rPr>
          <w:rFonts w:eastAsia="MS Mincho"/>
          <w:lang w:val="es-ES"/>
        </w:rPr>
      </w:pPr>
      <w:r>
        <w:rPr>
          <w:lang w:val="es-PE"/>
        </w:rPr>
        <w:t xml:space="preserve">El PNUD proporcionó un plan de trabajo detallado para las actividades restantes, a fin de apoyar la solicitud de prórroga del período de ejecución, entre ellas: </w:t>
      </w:r>
    </w:p>
    <w:p w14:paraId="1ED2CCC4" w14:textId="6BCD80CE" w:rsidR="008E0205" w:rsidRPr="00045A5C" w:rsidRDefault="00045A5C" w:rsidP="00045A5C">
      <w:pPr>
        <w:pStyle w:val="Heading2"/>
        <w:keepNext/>
        <w:widowControl/>
        <w:numPr>
          <w:ilvl w:val="1"/>
          <w:numId w:val="7"/>
        </w:numPr>
        <w:tabs>
          <w:tab w:val="clear" w:pos="0"/>
        </w:tabs>
        <w:rPr>
          <w:lang w:val="es-PE"/>
        </w:rPr>
      </w:pPr>
      <w:r>
        <w:rPr>
          <w:lang w:val="es-ES"/>
        </w:rPr>
        <w:t>U</w:t>
      </w:r>
      <w:r w:rsidR="008E0205">
        <w:rPr>
          <w:lang w:val="es-PE"/>
        </w:rPr>
        <w:t>n taller de capacitación para 12 oficiales de aduanas sobre el control del comercio ilícito de SAO, a fin de fortalecer las capacidades de la Dirección Nacional de Aduanas;</w:t>
      </w:r>
    </w:p>
    <w:p w14:paraId="180639EC" w14:textId="6637F704" w:rsidR="008E0205" w:rsidRPr="00045A5C" w:rsidRDefault="00045A5C" w:rsidP="00045A5C">
      <w:pPr>
        <w:pStyle w:val="Heading2"/>
        <w:keepNext/>
        <w:widowControl/>
        <w:numPr>
          <w:ilvl w:val="1"/>
          <w:numId w:val="7"/>
        </w:numPr>
        <w:tabs>
          <w:tab w:val="clear" w:pos="0"/>
        </w:tabs>
        <w:rPr>
          <w:lang w:val="es-PE"/>
        </w:rPr>
      </w:pPr>
      <w:r>
        <w:rPr>
          <w:lang w:val="es-PE"/>
        </w:rPr>
        <w:t>U</w:t>
      </w:r>
      <w:r w:rsidR="008E0205">
        <w:rPr>
          <w:lang w:val="es-PE"/>
        </w:rPr>
        <w:t xml:space="preserve">n taller de capacitación sobre buenas prácticas de servicio y mantenimiento para 60 técnicos de refrigeración y climatización y el suministro de herramientas para reducir las pérdidas de refrigerantes; la distribución de una ficha técnica sobre buenas prácticas de servicio y mantenimiento para todas las partes interesadas; reuniones con los equipos técnicos de los supermercados y los grandes usuarios finales para la formación, a fin de apoyar la aplicación de buenas prácticas de servicio y mantenimiento; </w:t>
      </w:r>
    </w:p>
    <w:p w14:paraId="41E8C77C" w14:textId="71AEA200" w:rsidR="008E0205" w:rsidRPr="00045A5C" w:rsidRDefault="00045A5C" w:rsidP="00045A5C">
      <w:pPr>
        <w:pStyle w:val="Heading2"/>
        <w:keepNext/>
        <w:widowControl/>
        <w:numPr>
          <w:ilvl w:val="1"/>
          <w:numId w:val="7"/>
        </w:numPr>
        <w:tabs>
          <w:tab w:val="clear" w:pos="0"/>
        </w:tabs>
        <w:rPr>
          <w:lang w:val="es-PE"/>
        </w:rPr>
      </w:pPr>
      <w:r>
        <w:rPr>
          <w:lang w:val="es-PE"/>
        </w:rPr>
        <w:t>U</w:t>
      </w:r>
      <w:r w:rsidR="008E0205">
        <w:rPr>
          <w:lang w:val="es-PE"/>
        </w:rPr>
        <w:t>n taller especializado sobre el uso de CO</w:t>
      </w:r>
      <w:r w:rsidR="008E0205" w:rsidRPr="00045A5C">
        <w:rPr>
          <w:lang w:val="es-PE"/>
        </w:rPr>
        <w:t>2</w:t>
      </w:r>
      <w:r w:rsidR="008E0205">
        <w:rPr>
          <w:lang w:val="es-PE"/>
        </w:rPr>
        <w:t xml:space="preserve"> y amoníaco como refrigerante en las aplicaciones comerciales y/o industriales, y el uso de R-290 y HFC-32 en los equipos de acondicionamiento de aire residenciales; dos visitas sobre el terreno para identificar los posibles proyectos que puedan adoptar alternativas con bajo PCA y a determinados talleres de servicio para supervisar y promover alternativas y buenas prácticas en refrigeración entre los técnicos; </w:t>
      </w:r>
    </w:p>
    <w:p w14:paraId="1A39B518" w14:textId="48DF68A0" w:rsidR="008E0205" w:rsidRPr="00045A5C" w:rsidRDefault="00045A5C" w:rsidP="00045A5C">
      <w:pPr>
        <w:pStyle w:val="Heading2"/>
        <w:keepNext/>
        <w:widowControl/>
        <w:numPr>
          <w:ilvl w:val="1"/>
          <w:numId w:val="7"/>
        </w:numPr>
        <w:tabs>
          <w:tab w:val="clear" w:pos="0"/>
        </w:tabs>
        <w:rPr>
          <w:lang w:val="es-PE"/>
        </w:rPr>
      </w:pPr>
      <w:r>
        <w:rPr>
          <w:lang w:val="es-PE"/>
        </w:rPr>
        <w:t>L</w:t>
      </w:r>
      <w:r w:rsidR="008E0205">
        <w:rPr>
          <w:lang w:val="es-PE"/>
        </w:rPr>
        <w:t>a compra de unidades de acondicionamiento de aire a base de alternativas con bajo PCA para una demostración piloto sobre la aplicación de sistemas a base de CO</w:t>
      </w:r>
      <w:r w:rsidR="008E0205" w:rsidRPr="00045A5C">
        <w:rPr>
          <w:lang w:val="es-PE"/>
        </w:rPr>
        <w:t>2</w:t>
      </w:r>
      <w:r w:rsidR="008E0205">
        <w:rPr>
          <w:lang w:val="es-PE"/>
        </w:rPr>
        <w:t xml:space="preserve"> para cámaras frigoríficas en los supermercados y la industria alimentaria, y la terminación de la formulación de criterios y procedimientos para la adquisición pública sostenible de tecnologías que no utilizan SAO, con bajo PCA y de alta eficiencia energética;</w:t>
      </w:r>
    </w:p>
    <w:p w14:paraId="32E5136A" w14:textId="64C80262" w:rsidR="008E0205" w:rsidRPr="00045A5C" w:rsidRDefault="00045A5C" w:rsidP="00045A5C">
      <w:pPr>
        <w:pStyle w:val="Heading2"/>
        <w:keepNext/>
        <w:widowControl/>
        <w:numPr>
          <w:ilvl w:val="1"/>
          <w:numId w:val="7"/>
        </w:numPr>
        <w:tabs>
          <w:tab w:val="clear" w:pos="0"/>
        </w:tabs>
        <w:rPr>
          <w:lang w:val="es-PE"/>
        </w:rPr>
      </w:pPr>
      <w:r>
        <w:rPr>
          <w:lang w:val="es-PE"/>
        </w:rPr>
        <w:t>L</w:t>
      </w:r>
      <w:r w:rsidR="008E0205">
        <w:rPr>
          <w:lang w:val="es-PE"/>
        </w:rPr>
        <w:t xml:space="preserve">a elaboración, impresión y difusión de información para promover la eliminación de los HCFC, y </w:t>
      </w:r>
    </w:p>
    <w:p w14:paraId="19269E1B" w14:textId="474E656A" w:rsidR="008E0205" w:rsidRDefault="00045A5C" w:rsidP="00045A5C">
      <w:pPr>
        <w:pStyle w:val="Heading2"/>
        <w:keepNext/>
        <w:widowControl/>
        <w:numPr>
          <w:ilvl w:val="1"/>
          <w:numId w:val="7"/>
        </w:numPr>
        <w:tabs>
          <w:tab w:val="clear" w:pos="0"/>
        </w:tabs>
        <w:rPr>
          <w:lang w:val="es-ES"/>
        </w:rPr>
      </w:pPr>
      <w:r>
        <w:rPr>
          <w:lang w:val="es-PE"/>
        </w:rPr>
        <w:t>L</w:t>
      </w:r>
      <w:r w:rsidR="008E0205">
        <w:rPr>
          <w:lang w:val="es-PE"/>
        </w:rPr>
        <w:t>a continuación de las actividades de ejecución y supervisión de la dependencia nacional del ozono, entre ellas, una reunión con las partes interesadas, y la preparación de informes.</w:t>
      </w:r>
    </w:p>
    <w:p w14:paraId="798C280E" w14:textId="77777777" w:rsidR="008E0205" w:rsidRDefault="008E0205" w:rsidP="008E0205">
      <w:pPr>
        <w:rPr>
          <w:i/>
          <w:lang w:val="es-ES"/>
        </w:rPr>
      </w:pPr>
      <w:r>
        <w:rPr>
          <w:b/>
          <w:bCs/>
          <w:lang w:val="es-PE"/>
        </w:rPr>
        <w:t>Observaciones de la Secretaría</w:t>
      </w:r>
    </w:p>
    <w:p w14:paraId="10E98E69" w14:textId="77777777" w:rsidR="008E0205" w:rsidRDefault="008E0205" w:rsidP="008E0205">
      <w:pPr>
        <w:rPr>
          <w:i/>
          <w:lang w:val="es-ES"/>
        </w:rPr>
      </w:pPr>
    </w:p>
    <w:p w14:paraId="6B090638" w14:textId="595867AE" w:rsidR="008E0205" w:rsidRDefault="008E0205" w:rsidP="00045A5C">
      <w:pPr>
        <w:numPr>
          <w:ilvl w:val="0"/>
          <w:numId w:val="1"/>
        </w:numPr>
        <w:tabs>
          <w:tab w:val="clear" w:pos="0"/>
          <w:tab w:val="num" w:pos="710"/>
        </w:tabs>
        <w:spacing w:after="240"/>
        <w:outlineLvl w:val="0"/>
        <w:rPr>
          <w:lang w:val="es-ES"/>
        </w:rPr>
      </w:pPr>
      <w:r>
        <w:rPr>
          <w:lang w:val="es-PE"/>
        </w:rPr>
        <w:t xml:space="preserve">Se observó que, aunque se habían realizado progresos, las restricciones impuestas por la pandemia y la escasa disponibilidad de alternativas con bajo PCA habían ralentizado la finalización de la conversión de las pequeñas y medianas empresas; si bien el PNUD se había comprometido a terminar la conversión en junio de 2021, dichas restricciones han servido de justificación a la prórroga solicitada para la etapa II del </w:t>
      </w:r>
      <w:r>
        <w:rPr>
          <w:lang w:val="es-PE"/>
        </w:rPr>
        <w:lastRenderedPageBreak/>
        <w:t>PGEH hasta diciembre de 2022.  La Secretaría tomó nota además de que el PNUD y el Gobierno estaban colaborando estrechamente con los importadores y distribuidores para garantizar el acceso comercial a las pequeñas y medianas empresas de los sistemas de HFO. Una vez resuelta la disponibilidad de HFO en los mercados locales, se prestará asistencia técnica a las pequeñas y medianas empresas, a fin de introducir sistemas a base de HFO u otras alternativas con bajo PCA (tales como los sistemas a base de agua). Si bien reconoce sus esfuerzos, la Secretaría considera poco probable que se terminen las actividades para fines de diciembre de 2021; la prórroga de un año suplementario permitiría al Gobierno y al PNUD completar las actividades restantes de la etapa II.</w:t>
      </w:r>
    </w:p>
    <w:p w14:paraId="54407566" w14:textId="147EDCBE" w:rsidR="008E0205" w:rsidRDefault="008E0205" w:rsidP="00045A5C">
      <w:pPr>
        <w:numPr>
          <w:ilvl w:val="0"/>
          <w:numId w:val="1"/>
        </w:numPr>
        <w:tabs>
          <w:tab w:val="clear" w:pos="0"/>
          <w:tab w:val="num" w:pos="710"/>
        </w:tabs>
        <w:spacing w:after="240"/>
        <w:outlineLvl w:val="0"/>
        <w:rPr>
          <w:lang w:val="es-ES"/>
        </w:rPr>
      </w:pPr>
      <w:r>
        <w:rPr>
          <w:lang w:val="es-PE"/>
        </w:rPr>
        <w:t xml:space="preserve">El PNUD tomó nota de que la prohibición de la importación de HCFC-141b puro había estado en vigor desde el 1º de enero de 2021, como se había previsto originalmente; no obstante, debido a las conversiones retrasadas de las pequeñas y medianas empresas de espumas, la prohibición del HCFC-141b contenido en los </w:t>
      </w:r>
      <w:proofErr w:type="spellStart"/>
      <w:r>
        <w:rPr>
          <w:lang w:val="es-PE"/>
        </w:rPr>
        <w:t>polioles</w:t>
      </w:r>
      <w:proofErr w:type="spellEnd"/>
      <w:r>
        <w:rPr>
          <w:lang w:val="es-PE"/>
        </w:rPr>
        <w:t xml:space="preserve"> premezclados importados solo será efectivo a partir del 1º de enero de 2023. </w:t>
      </w:r>
    </w:p>
    <w:p w14:paraId="47E4A8FD" w14:textId="77777777" w:rsidR="008E0205" w:rsidRDefault="008E0205" w:rsidP="00D17F84">
      <w:pPr>
        <w:pStyle w:val="Heading1"/>
        <w:keepNext/>
        <w:keepLines/>
        <w:numPr>
          <w:ilvl w:val="0"/>
          <w:numId w:val="0"/>
        </w:numPr>
        <w:tabs>
          <w:tab w:val="left" w:pos="720"/>
        </w:tabs>
        <w:jc w:val="left"/>
        <w:rPr>
          <w:b/>
          <w:lang w:val="es-ES"/>
        </w:rPr>
      </w:pPr>
      <w:r>
        <w:rPr>
          <w:b/>
          <w:bCs/>
          <w:lang w:val="es-PE"/>
        </w:rPr>
        <w:t>Recomendación</w:t>
      </w:r>
    </w:p>
    <w:p w14:paraId="2A33D112" w14:textId="3548D527" w:rsidR="008E0205" w:rsidRDefault="008E0205" w:rsidP="00045A5C">
      <w:pPr>
        <w:numPr>
          <w:ilvl w:val="0"/>
          <w:numId w:val="1"/>
        </w:numPr>
        <w:tabs>
          <w:tab w:val="clear" w:pos="0"/>
          <w:tab w:val="num" w:pos="710"/>
        </w:tabs>
        <w:spacing w:after="240"/>
        <w:outlineLvl w:val="0"/>
        <w:rPr>
          <w:lang w:val="es-ES"/>
        </w:rPr>
      </w:pPr>
      <w:r>
        <w:rPr>
          <w:lang w:val="es-PE"/>
        </w:rPr>
        <w:t xml:space="preserve">El Comité Ejecutivo podría considerar: </w:t>
      </w:r>
    </w:p>
    <w:p w14:paraId="20E86D3E" w14:textId="48415029" w:rsidR="008E0205" w:rsidRPr="00045A5C" w:rsidRDefault="008E0205" w:rsidP="00045A5C">
      <w:pPr>
        <w:pStyle w:val="Heading2"/>
        <w:keepNext/>
        <w:widowControl/>
        <w:numPr>
          <w:ilvl w:val="1"/>
          <w:numId w:val="7"/>
        </w:numPr>
        <w:tabs>
          <w:tab w:val="clear" w:pos="0"/>
        </w:tabs>
        <w:rPr>
          <w:lang w:val="es-PE"/>
        </w:rPr>
      </w:pPr>
      <w:r>
        <w:rPr>
          <w:lang w:val="es-PE"/>
        </w:rPr>
        <w:t xml:space="preserve">Tomar nota del informe sobre la marcha de las actividades relativo a la ejecución del tercer (y último) tramo de la etapa II del plan de gestión de la eliminación de los HCFC (PGEH) para el Uruguay, así como del informe sobre la ejecución del </w:t>
      </w:r>
      <w:r w:rsidR="00D17F84">
        <w:rPr>
          <w:lang w:val="es-PE"/>
        </w:rPr>
        <w:t>proyecto</w:t>
      </w:r>
      <w:r>
        <w:rPr>
          <w:lang w:val="es-PE"/>
        </w:rPr>
        <w:t xml:space="preserve"> de conversión del sector de espumas;</w:t>
      </w:r>
    </w:p>
    <w:p w14:paraId="0FB3A4DD" w14:textId="16BBA13C" w:rsidR="008E0205" w:rsidRPr="00045A5C" w:rsidRDefault="008E0205" w:rsidP="00045A5C">
      <w:pPr>
        <w:pStyle w:val="Heading2"/>
        <w:keepNext/>
        <w:widowControl/>
        <w:numPr>
          <w:ilvl w:val="1"/>
          <w:numId w:val="7"/>
        </w:numPr>
        <w:tabs>
          <w:tab w:val="clear" w:pos="0"/>
        </w:tabs>
        <w:rPr>
          <w:lang w:val="es-PE"/>
        </w:rPr>
      </w:pPr>
      <w:r>
        <w:rPr>
          <w:lang w:val="es-PE"/>
        </w:rPr>
        <w:t xml:space="preserve">Aprobar, con carácter excepcional, la prórroga de la fecha de terminación de la etapa II del PGEH para el Uruguay al 31 de diciembre de 2022, en razón del retraso en la ejecución de las actividades de eliminación debido a la pandemia de COVID-19, y teniendo en cuenta que no se solicitará ningún otro plazo para la ejecución del proyecto; </w:t>
      </w:r>
    </w:p>
    <w:p w14:paraId="79C874BE" w14:textId="300C1C91" w:rsidR="008E0205" w:rsidRPr="00045A5C" w:rsidRDefault="008E0205" w:rsidP="00045A5C">
      <w:pPr>
        <w:pStyle w:val="Heading2"/>
        <w:keepNext/>
        <w:widowControl/>
        <w:numPr>
          <w:ilvl w:val="1"/>
          <w:numId w:val="7"/>
        </w:numPr>
        <w:tabs>
          <w:tab w:val="clear" w:pos="0"/>
        </w:tabs>
        <w:rPr>
          <w:lang w:val="es-PE"/>
        </w:rPr>
      </w:pPr>
      <w:r>
        <w:rPr>
          <w:lang w:val="es-PE"/>
        </w:rPr>
        <w:t xml:space="preserve">Tomar nota de que la prohibición de las importaciones de HCFC-141b contenido en los </w:t>
      </w:r>
      <w:proofErr w:type="spellStart"/>
      <w:r>
        <w:rPr>
          <w:lang w:val="es-PE"/>
        </w:rPr>
        <w:t>polioles</w:t>
      </w:r>
      <w:proofErr w:type="spellEnd"/>
      <w:r>
        <w:rPr>
          <w:lang w:val="es-PE"/>
        </w:rPr>
        <w:t xml:space="preserve"> premezclados importados entrará en vigor a partir del 1º de enero de 2023;</w:t>
      </w:r>
    </w:p>
    <w:p w14:paraId="1A33A1A6" w14:textId="6FA860FF" w:rsidR="008E0205" w:rsidRPr="00045A5C" w:rsidRDefault="008E0205" w:rsidP="00045A5C">
      <w:pPr>
        <w:pStyle w:val="Heading2"/>
        <w:keepNext/>
        <w:widowControl/>
        <w:numPr>
          <w:ilvl w:val="1"/>
          <w:numId w:val="7"/>
        </w:numPr>
        <w:tabs>
          <w:tab w:val="clear" w:pos="0"/>
        </w:tabs>
        <w:rPr>
          <w:lang w:val="es-PE"/>
        </w:rPr>
      </w:pPr>
      <w:r>
        <w:rPr>
          <w:lang w:val="es-PE"/>
        </w:rPr>
        <w:t>Pedir al PNUD que, en la 89ª reunión, siga informando sobre los progresos realizados respecto a la ejecución de la conversión de los fabricantes de espumas y a la disponibilidad de sistemas de HFO y de poliuretano a base de HFO, y sus componentes conexos, y</w:t>
      </w:r>
    </w:p>
    <w:p w14:paraId="49CD2443" w14:textId="4D662FD6" w:rsidR="008E0205" w:rsidRDefault="008E0205" w:rsidP="00045A5C">
      <w:pPr>
        <w:pStyle w:val="Heading2"/>
        <w:keepNext/>
        <w:widowControl/>
        <w:numPr>
          <w:ilvl w:val="1"/>
          <w:numId w:val="7"/>
        </w:numPr>
        <w:tabs>
          <w:tab w:val="clear" w:pos="0"/>
        </w:tabs>
        <w:rPr>
          <w:lang w:val="es-ES"/>
        </w:rPr>
      </w:pPr>
      <w:r>
        <w:rPr>
          <w:lang w:val="es-PE"/>
        </w:rPr>
        <w:t>Pedir al Gobierno del Uruguay y al PNUD que presenten un informe sobre la marcha de las actividades relativo a la ejecución del programa de trabajo vinculado al último tramo y el informe de terminación de proyectos en la primera reunión del Comité Ejecutivo en 2023.</w:t>
      </w:r>
    </w:p>
    <w:p w14:paraId="5DF4F8B4" w14:textId="77777777" w:rsidR="008E0205" w:rsidRDefault="008E0205" w:rsidP="008E0205">
      <w:pPr>
        <w:keepNext/>
        <w:spacing w:after="240"/>
        <w:rPr>
          <w:b/>
          <w:lang w:val="es-ES"/>
        </w:rPr>
      </w:pPr>
      <w:r>
        <w:rPr>
          <w:b/>
          <w:bCs/>
          <w:lang w:val="es-PE"/>
        </w:rPr>
        <w:t>Cambio de organismos de ejecución</w:t>
      </w:r>
    </w:p>
    <w:p w14:paraId="19F5ED7B" w14:textId="77777777" w:rsidR="008E0205" w:rsidRPr="00045A5C" w:rsidRDefault="008E0205" w:rsidP="008E0205">
      <w:pPr>
        <w:rPr>
          <w:lang w:val="es-ES"/>
        </w:rPr>
      </w:pPr>
      <w:r>
        <w:rPr>
          <w:u w:val="single"/>
          <w:lang w:val="es-PE"/>
        </w:rPr>
        <w:t>Ecuador: Cambio de organismo de ejecución para el fortalecimiento institucional y plan de gestión de la eliminación de los HCFC (etapas I y II)</w:t>
      </w:r>
      <w:r w:rsidRPr="00045A5C">
        <w:rPr>
          <w:lang w:val="es-PE"/>
        </w:rPr>
        <w:t xml:space="preserve"> (ONUDI y PNUMA)</w:t>
      </w:r>
    </w:p>
    <w:p w14:paraId="0AA4443B" w14:textId="77777777" w:rsidR="008E0205" w:rsidRDefault="008E0205" w:rsidP="008E0205">
      <w:pPr>
        <w:rPr>
          <w:u w:val="single"/>
          <w:lang w:val="es-ES"/>
        </w:rPr>
      </w:pPr>
    </w:p>
    <w:p w14:paraId="5ADA35EB" w14:textId="77777777" w:rsidR="008E0205" w:rsidRDefault="008E0205" w:rsidP="008E0205">
      <w:pPr>
        <w:rPr>
          <w:b/>
          <w:lang w:val="es-ES"/>
        </w:rPr>
      </w:pPr>
      <w:r>
        <w:rPr>
          <w:b/>
          <w:bCs/>
          <w:lang w:val="es-PE"/>
        </w:rPr>
        <w:t>Antecedentes</w:t>
      </w:r>
    </w:p>
    <w:p w14:paraId="005351D7" w14:textId="77777777" w:rsidR="008E0205" w:rsidRDefault="008E0205" w:rsidP="008E0205">
      <w:pPr>
        <w:rPr>
          <w:lang w:val="es-ES"/>
        </w:rPr>
      </w:pPr>
    </w:p>
    <w:p w14:paraId="177753F0" w14:textId="03C64624" w:rsidR="008E0205" w:rsidRDefault="008E0205" w:rsidP="00045A5C">
      <w:pPr>
        <w:numPr>
          <w:ilvl w:val="0"/>
          <w:numId w:val="1"/>
        </w:numPr>
        <w:tabs>
          <w:tab w:val="clear" w:pos="0"/>
          <w:tab w:val="num" w:pos="710"/>
        </w:tabs>
        <w:spacing w:after="240"/>
        <w:outlineLvl w:val="0"/>
        <w:rPr>
          <w:lang w:val="es-ES"/>
        </w:rPr>
      </w:pPr>
      <w:r>
        <w:rPr>
          <w:lang w:val="es-PE"/>
        </w:rPr>
        <w:t>Con posterioridad a la finalización de los documentos para el proceso de aprobación en el período entre sesiones establecida para la 86ª reunión, en noviembre de 2020 la Secretaría recibió una solicitud del Gobierno del Ecuador para transferir, del PNUMA a la fase VII del proyecto de fortalecimiento institucional de la ONUDI, el quinto tramo de la etapa I del PGEH, y todas las actividades de eliminación gradual comprendidas en la etapa II del PGEH, originalmente previstas para su ejecución por el PNUMA.</w:t>
      </w:r>
    </w:p>
    <w:p w14:paraId="57DBE5D2" w14:textId="77777777" w:rsidR="008E0205" w:rsidRDefault="008E0205" w:rsidP="008E0205">
      <w:pPr>
        <w:rPr>
          <w:b/>
          <w:lang w:val="es-ES"/>
        </w:rPr>
      </w:pPr>
      <w:r>
        <w:rPr>
          <w:b/>
          <w:bCs/>
          <w:lang w:val="es-PE"/>
        </w:rPr>
        <w:lastRenderedPageBreak/>
        <w:t>Observaciones de la Secretaría</w:t>
      </w:r>
    </w:p>
    <w:p w14:paraId="2A0C8403" w14:textId="77777777" w:rsidR="008E0205" w:rsidRDefault="008E0205" w:rsidP="008E0205">
      <w:pPr>
        <w:rPr>
          <w:b/>
          <w:lang w:val="es-ES"/>
        </w:rPr>
      </w:pPr>
    </w:p>
    <w:p w14:paraId="3D312129" w14:textId="69E11E86" w:rsidR="008E0205" w:rsidRDefault="008E0205" w:rsidP="00045A5C">
      <w:pPr>
        <w:numPr>
          <w:ilvl w:val="0"/>
          <w:numId w:val="1"/>
        </w:numPr>
        <w:tabs>
          <w:tab w:val="clear" w:pos="0"/>
          <w:tab w:val="num" w:pos="710"/>
        </w:tabs>
        <w:spacing w:after="240"/>
        <w:outlineLvl w:val="0"/>
        <w:rPr>
          <w:lang w:val="es-ES"/>
        </w:rPr>
      </w:pPr>
      <w:r>
        <w:rPr>
          <w:lang w:val="es-PE"/>
        </w:rPr>
        <w:t xml:space="preserve">Tomando nota de que la solicitud se había recibido demasiado tarde para su examen en el proceso de aprobación en el período entre sesiones para la 86ª reunión (esto es, después de que se finalizaran los documentos para la 86ª reunión y durante el proceso de aprobación en el período entre sesiones de esa reunión), la Secretaría informó al Gobierno del Ecuador de que se presentaría la cuestión a la 87ª reunión. Por consiguiente, la solicitud del Gobierno del Ecuador se presenta al Comité Ejecutivo para su examen. </w:t>
      </w:r>
    </w:p>
    <w:p w14:paraId="20D1F2F8" w14:textId="22E4AB83" w:rsidR="008E0205" w:rsidRDefault="008E0205" w:rsidP="00045A5C">
      <w:pPr>
        <w:numPr>
          <w:ilvl w:val="0"/>
          <w:numId w:val="1"/>
        </w:numPr>
        <w:tabs>
          <w:tab w:val="clear" w:pos="0"/>
          <w:tab w:val="num" w:pos="710"/>
        </w:tabs>
        <w:spacing w:after="240"/>
        <w:outlineLvl w:val="0"/>
        <w:rPr>
          <w:lang w:val="es-ES"/>
        </w:rPr>
      </w:pPr>
      <w:r>
        <w:rPr>
          <w:lang w:val="es-PE"/>
        </w:rPr>
        <w:t xml:space="preserve">La Secretaría toma nota de que la solicitud de cambio de organismo de ejecución, del PNUMA a la ONUDI, para el proyecto de fortalecimiento institucional, y el retiro del PNUMA en calidad de organismo cooperante en el PGEH (etapas I y II), se había presentado tras las consultas y el acuerdo entre las partes pertinentes.  El PNUMA confirmó que no se habían desembolsado los fondos aprobados para los proyectos correspondientes. Dichos fondos se devolverán al Fondo Multilateral para aprobación de la transferencia a la ONUDI. Además, los fondos aprobados en principio para futuros tramos de la etapa II del PGEH se transferirán del PNUMA a la ONUDI en el Acuerdo entre el Gobierno y el Comité Ejecutivo. La cuantía de los fondos aprobados que deberá devolver el PNUMA y los fondos aprobados en principio que se transferirán a la ONUDI se indican en el Cuadro 14. </w:t>
      </w:r>
    </w:p>
    <w:p w14:paraId="3162DC1A" w14:textId="77777777" w:rsidR="008E0205" w:rsidRDefault="008E0205" w:rsidP="008E0205">
      <w:pPr>
        <w:pStyle w:val="Heading1"/>
        <w:widowControl w:val="0"/>
        <w:numPr>
          <w:ilvl w:val="0"/>
          <w:numId w:val="0"/>
        </w:numPr>
        <w:tabs>
          <w:tab w:val="left" w:pos="720"/>
        </w:tabs>
        <w:spacing w:after="0"/>
        <w:rPr>
          <w:b/>
          <w:lang w:val="es-ES"/>
        </w:rPr>
      </w:pPr>
      <w:r>
        <w:rPr>
          <w:b/>
          <w:bCs/>
          <w:lang w:val="es-PE"/>
        </w:rPr>
        <w:t xml:space="preserve">Cuadro 14. Saldo de los fondos que el PNUMA deberá devolver de los proyectos en el Ecuador en la 87ª reunión. </w:t>
      </w:r>
    </w:p>
    <w:tbl>
      <w:tblPr>
        <w:tblStyle w:val="TableGrid"/>
        <w:tblW w:w="9630" w:type="dxa"/>
        <w:tblLayout w:type="fixed"/>
        <w:tblLook w:val="04A0" w:firstRow="1" w:lastRow="0" w:firstColumn="1" w:lastColumn="0" w:noHBand="0" w:noVBand="1"/>
      </w:tblPr>
      <w:tblGrid>
        <w:gridCol w:w="3536"/>
        <w:gridCol w:w="1264"/>
        <w:gridCol w:w="1145"/>
        <w:gridCol w:w="709"/>
        <w:gridCol w:w="1134"/>
        <w:gridCol w:w="1134"/>
        <w:gridCol w:w="708"/>
      </w:tblGrid>
      <w:tr w:rsidR="008E0205" w:rsidRPr="00305D02" w14:paraId="33AB7E00" w14:textId="77777777" w:rsidTr="008E0205">
        <w:trPr>
          <w:trHeight w:val="116"/>
        </w:trPr>
        <w:tc>
          <w:tcPr>
            <w:tcW w:w="3539" w:type="dxa"/>
            <w:tcBorders>
              <w:top w:val="single" w:sz="4" w:space="0" w:color="auto"/>
              <w:left w:val="single" w:sz="4" w:space="0" w:color="auto"/>
              <w:bottom w:val="single" w:sz="4" w:space="0" w:color="auto"/>
              <w:right w:val="single" w:sz="4" w:space="0" w:color="auto"/>
            </w:tcBorders>
          </w:tcPr>
          <w:p w14:paraId="38A29A47" w14:textId="77777777" w:rsidR="008E0205" w:rsidRDefault="008E0205">
            <w:pPr>
              <w:pStyle w:val="Heading1"/>
              <w:widowControl w:val="0"/>
              <w:numPr>
                <w:ilvl w:val="0"/>
                <w:numId w:val="0"/>
              </w:numPr>
              <w:tabs>
                <w:tab w:val="left" w:pos="720"/>
              </w:tabs>
              <w:spacing w:after="0"/>
              <w:outlineLvl w:val="0"/>
              <w:rPr>
                <w:b/>
                <w:sz w:val="20"/>
                <w:szCs w:val="20"/>
                <w:lang w:val="es-ES"/>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51055E8C" w14:textId="77777777" w:rsidR="008E0205" w:rsidRDefault="008E0205">
            <w:pPr>
              <w:pStyle w:val="Heading1"/>
              <w:widowControl w:val="0"/>
              <w:numPr>
                <w:ilvl w:val="0"/>
                <w:numId w:val="0"/>
              </w:numPr>
              <w:tabs>
                <w:tab w:val="left" w:pos="720"/>
              </w:tabs>
              <w:spacing w:after="0"/>
              <w:jc w:val="center"/>
              <w:outlineLvl w:val="0"/>
              <w:rPr>
                <w:b/>
                <w:sz w:val="20"/>
                <w:szCs w:val="20"/>
                <w:lang w:val="es-419"/>
              </w:rPr>
            </w:pPr>
            <w:r>
              <w:rPr>
                <w:b/>
                <w:bCs/>
                <w:sz w:val="20"/>
                <w:szCs w:val="20"/>
                <w:lang w:val="es-PE"/>
              </w:rPr>
              <w:t>Fondos que deberá devolver el PNUMA ($EUA)</w:t>
            </w:r>
          </w:p>
        </w:tc>
        <w:tc>
          <w:tcPr>
            <w:tcW w:w="2976" w:type="dxa"/>
            <w:gridSpan w:val="3"/>
            <w:tcBorders>
              <w:top w:val="single" w:sz="4" w:space="0" w:color="auto"/>
              <w:left w:val="single" w:sz="4" w:space="0" w:color="auto"/>
              <w:bottom w:val="single" w:sz="4" w:space="0" w:color="auto"/>
              <w:right w:val="single" w:sz="4" w:space="0" w:color="auto"/>
            </w:tcBorders>
            <w:hideMark/>
          </w:tcPr>
          <w:p w14:paraId="56090902" w14:textId="77777777" w:rsidR="008E0205" w:rsidRDefault="008E0205">
            <w:pPr>
              <w:pStyle w:val="Heading1"/>
              <w:widowControl w:val="0"/>
              <w:numPr>
                <w:ilvl w:val="0"/>
                <w:numId w:val="0"/>
              </w:numPr>
              <w:tabs>
                <w:tab w:val="left" w:pos="720"/>
              </w:tabs>
              <w:spacing w:after="0"/>
              <w:jc w:val="center"/>
              <w:outlineLvl w:val="0"/>
              <w:rPr>
                <w:b/>
                <w:sz w:val="20"/>
                <w:szCs w:val="20"/>
                <w:lang w:val="es-ES"/>
              </w:rPr>
            </w:pPr>
            <w:r>
              <w:rPr>
                <w:b/>
                <w:bCs/>
                <w:sz w:val="20"/>
                <w:szCs w:val="20"/>
                <w:lang w:val="es-PE"/>
              </w:rPr>
              <w:t>Fondos que deberá aprobar la ONUDI ($EUA)</w:t>
            </w:r>
          </w:p>
        </w:tc>
      </w:tr>
      <w:tr w:rsidR="008E0205" w14:paraId="6D4994E1" w14:textId="77777777" w:rsidTr="008E0205">
        <w:trPr>
          <w:trHeight w:val="116"/>
        </w:trPr>
        <w:tc>
          <w:tcPr>
            <w:tcW w:w="3539" w:type="dxa"/>
            <w:tcBorders>
              <w:top w:val="single" w:sz="4" w:space="0" w:color="auto"/>
              <w:left w:val="single" w:sz="4" w:space="0" w:color="auto"/>
              <w:bottom w:val="single" w:sz="4" w:space="0" w:color="auto"/>
              <w:right w:val="single" w:sz="4" w:space="0" w:color="auto"/>
            </w:tcBorders>
            <w:hideMark/>
          </w:tcPr>
          <w:p w14:paraId="550D8B88" w14:textId="77777777" w:rsidR="008E0205" w:rsidRDefault="008E0205">
            <w:pPr>
              <w:pStyle w:val="Heading1"/>
              <w:widowControl w:val="0"/>
              <w:numPr>
                <w:ilvl w:val="0"/>
                <w:numId w:val="0"/>
              </w:numPr>
              <w:tabs>
                <w:tab w:val="left" w:pos="720"/>
              </w:tabs>
              <w:spacing w:after="0"/>
              <w:outlineLvl w:val="0"/>
              <w:rPr>
                <w:b/>
                <w:sz w:val="20"/>
                <w:szCs w:val="20"/>
              </w:rPr>
            </w:pPr>
            <w:r>
              <w:rPr>
                <w:b/>
                <w:bCs/>
                <w:sz w:val="20"/>
                <w:szCs w:val="20"/>
                <w:lang w:val="es-PE"/>
              </w:rPr>
              <w:t>Proyecto (código)</w:t>
            </w:r>
          </w:p>
        </w:tc>
        <w:tc>
          <w:tcPr>
            <w:tcW w:w="1265" w:type="dxa"/>
            <w:tcBorders>
              <w:top w:val="single" w:sz="4" w:space="0" w:color="auto"/>
              <w:left w:val="single" w:sz="4" w:space="0" w:color="auto"/>
              <w:bottom w:val="single" w:sz="4" w:space="0" w:color="auto"/>
              <w:right w:val="single" w:sz="4" w:space="0" w:color="auto"/>
            </w:tcBorders>
            <w:hideMark/>
          </w:tcPr>
          <w:p w14:paraId="03AECFD4" w14:textId="77777777" w:rsidR="008E0205" w:rsidRDefault="008E0205">
            <w:pPr>
              <w:pStyle w:val="Heading1"/>
              <w:widowControl w:val="0"/>
              <w:numPr>
                <w:ilvl w:val="0"/>
                <w:numId w:val="0"/>
              </w:numPr>
              <w:tabs>
                <w:tab w:val="left" w:pos="720"/>
              </w:tabs>
              <w:spacing w:after="0"/>
              <w:jc w:val="center"/>
              <w:outlineLvl w:val="0"/>
              <w:rPr>
                <w:b/>
                <w:sz w:val="20"/>
                <w:szCs w:val="20"/>
              </w:rPr>
            </w:pPr>
            <w:r>
              <w:rPr>
                <w:b/>
                <w:bCs/>
                <w:sz w:val="20"/>
                <w:szCs w:val="20"/>
                <w:lang w:val="es-PE"/>
              </w:rPr>
              <w:t>Aprobación</w:t>
            </w:r>
          </w:p>
        </w:tc>
        <w:tc>
          <w:tcPr>
            <w:tcW w:w="1145" w:type="dxa"/>
            <w:tcBorders>
              <w:top w:val="single" w:sz="4" w:space="0" w:color="auto"/>
              <w:left w:val="single" w:sz="4" w:space="0" w:color="auto"/>
              <w:bottom w:val="single" w:sz="4" w:space="0" w:color="auto"/>
              <w:right w:val="single" w:sz="4" w:space="0" w:color="auto"/>
            </w:tcBorders>
            <w:hideMark/>
          </w:tcPr>
          <w:p w14:paraId="6467AF50" w14:textId="77777777" w:rsidR="008E0205" w:rsidRDefault="008E0205">
            <w:pPr>
              <w:pStyle w:val="Heading1"/>
              <w:widowControl w:val="0"/>
              <w:numPr>
                <w:ilvl w:val="0"/>
                <w:numId w:val="0"/>
              </w:numPr>
              <w:tabs>
                <w:tab w:val="left" w:pos="720"/>
              </w:tabs>
              <w:spacing w:after="0"/>
              <w:jc w:val="center"/>
              <w:outlineLvl w:val="0"/>
              <w:rPr>
                <w:b/>
                <w:sz w:val="18"/>
                <w:szCs w:val="18"/>
                <w:lang w:val="es-ES"/>
              </w:rPr>
            </w:pPr>
            <w:r>
              <w:rPr>
                <w:b/>
                <w:bCs/>
                <w:sz w:val="18"/>
                <w:szCs w:val="18"/>
                <w:lang w:val="es-PE"/>
              </w:rPr>
              <w:t>Gastos de apoyo del organismo</w:t>
            </w:r>
          </w:p>
        </w:tc>
        <w:tc>
          <w:tcPr>
            <w:tcW w:w="709" w:type="dxa"/>
            <w:tcBorders>
              <w:top w:val="single" w:sz="4" w:space="0" w:color="auto"/>
              <w:left w:val="single" w:sz="4" w:space="0" w:color="auto"/>
              <w:bottom w:val="single" w:sz="4" w:space="0" w:color="auto"/>
              <w:right w:val="single" w:sz="4" w:space="0" w:color="auto"/>
            </w:tcBorders>
            <w:hideMark/>
          </w:tcPr>
          <w:p w14:paraId="78BD6BD9" w14:textId="77777777" w:rsidR="008E0205" w:rsidRDefault="008E0205">
            <w:pPr>
              <w:pStyle w:val="Heading1"/>
              <w:widowControl w:val="0"/>
              <w:numPr>
                <w:ilvl w:val="0"/>
                <w:numId w:val="0"/>
              </w:numPr>
              <w:tabs>
                <w:tab w:val="left" w:pos="720"/>
              </w:tabs>
              <w:spacing w:after="0"/>
              <w:jc w:val="center"/>
              <w:outlineLvl w:val="0"/>
              <w:rPr>
                <w:b/>
                <w:sz w:val="20"/>
                <w:szCs w:val="20"/>
              </w:rPr>
            </w:pPr>
            <w:r>
              <w:rPr>
                <w:b/>
                <w:bCs/>
                <w:sz w:val="20"/>
                <w:szCs w:val="20"/>
                <w:lang w:val="es-PE"/>
              </w:rPr>
              <w:t>Total</w:t>
            </w:r>
          </w:p>
        </w:tc>
        <w:tc>
          <w:tcPr>
            <w:tcW w:w="1134" w:type="dxa"/>
            <w:tcBorders>
              <w:top w:val="single" w:sz="4" w:space="0" w:color="auto"/>
              <w:left w:val="single" w:sz="4" w:space="0" w:color="auto"/>
              <w:bottom w:val="single" w:sz="4" w:space="0" w:color="auto"/>
              <w:right w:val="single" w:sz="4" w:space="0" w:color="auto"/>
            </w:tcBorders>
            <w:hideMark/>
          </w:tcPr>
          <w:p w14:paraId="15DF513B" w14:textId="77777777" w:rsidR="008E0205" w:rsidRDefault="008E0205">
            <w:pPr>
              <w:pStyle w:val="Heading1"/>
              <w:widowControl w:val="0"/>
              <w:numPr>
                <w:ilvl w:val="0"/>
                <w:numId w:val="0"/>
              </w:numPr>
              <w:tabs>
                <w:tab w:val="left" w:pos="720"/>
              </w:tabs>
              <w:spacing w:after="0"/>
              <w:jc w:val="center"/>
              <w:outlineLvl w:val="0"/>
              <w:rPr>
                <w:b/>
                <w:sz w:val="18"/>
                <w:szCs w:val="18"/>
              </w:rPr>
            </w:pPr>
            <w:r>
              <w:rPr>
                <w:b/>
                <w:bCs/>
                <w:sz w:val="18"/>
                <w:szCs w:val="18"/>
                <w:lang w:val="es-PE"/>
              </w:rPr>
              <w:t>Aprobación</w:t>
            </w:r>
          </w:p>
        </w:tc>
        <w:tc>
          <w:tcPr>
            <w:tcW w:w="1134" w:type="dxa"/>
            <w:tcBorders>
              <w:top w:val="single" w:sz="4" w:space="0" w:color="auto"/>
              <w:left w:val="single" w:sz="4" w:space="0" w:color="auto"/>
              <w:bottom w:val="single" w:sz="4" w:space="0" w:color="auto"/>
              <w:right w:val="single" w:sz="4" w:space="0" w:color="auto"/>
            </w:tcBorders>
            <w:hideMark/>
          </w:tcPr>
          <w:p w14:paraId="333BFF67" w14:textId="77777777" w:rsidR="008E0205" w:rsidRDefault="008E0205">
            <w:pPr>
              <w:pStyle w:val="Heading1"/>
              <w:widowControl w:val="0"/>
              <w:numPr>
                <w:ilvl w:val="0"/>
                <w:numId w:val="0"/>
              </w:numPr>
              <w:tabs>
                <w:tab w:val="left" w:pos="720"/>
              </w:tabs>
              <w:spacing w:after="0"/>
              <w:jc w:val="center"/>
              <w:outlineLvl w:val="0"/>
              <w:rPr>
                <w:b/>
                <w:sz w:val="18"/>
                <w:szCs w:val="18"/>
                <w:lang w:val="es-ES"/>
              </w:rPr>
            </w:pPr>
            <w:r>
              <w:rPr>
                <w:b/>
                <w:bCs/>
                <w:sz w:val="18"/>
                <w:szCs w:val="18"/>
                <w:lang w:val="es-PE"/>
              </w:rPr>
              <w:t>Gastos de apoyo del organismo</w:t>
            </w:r>
          </w:p>
        </w:tc>
        <w:tc>
          <w:tcPr>
            <w:tcW w:w="708" w:type="dxa"/>
            <w:tcBorders>
              <w:top w:val="single" w:sz="4" w:space="0" w:color="auto"/>
              <w:left w:val="single" w:sz="4" w:space="0" w:color="auto"/>
              <w:bottom w:val="single" w:sz="4" w:space="0" w:color="auto"/>
              <w:right w:val="single" w:sz="4" w:space="0" w:color="auto"/>
            </w:tcBorders>
            <w:hideMark/>
          </w:tcPr>
          <w:p w14:paraId="1FC1EA63" w14:textId="77777777" w:rsidR="008E0205" w:rsidRDefault="008E0205">
            <w:pPr>
              <w:pStyle w:val="Heading1"/>
              <w:widowControl w:val="0"/>
              <w:numPr>
                <w:ilvl w:val="0"/>
                <w:numId w:val="0"/>
              </w:numPr>
              <w:tabs>
                <w:tab w:val="left" w:pos="720"/>
              </w:tabs>
              <w:spacing w:after="0"/>
              <w:jc w:val="center"/>
              <w:outlineLvl w:val="0"/>
              <w:rPr>
                <w:b/>
                <w:sz w:val="20"/>
                <w:szCs w:val="20"/>
              </w:rPr>
            </w:pPr>
            <w:r>
              <w:rPr>
                <w:b/>
                <w:bCs/>
                <w:sz w:val="20"/>
                <w:szCs w:val="20"/>
                <w:lang w:val="es-PE"/>
              </w:rPr>
              <w:t>Total</w:t>
            </w:r>
          </w:p>
        </w:tc>
      </w:tr>
      <w:tr w:rsidR="008E0205" w14:paraId="47C36B89" w14:textId="77777777" w:rsidTr="008E0205">
        <w:tc>
          <w:tcPr>
            <w:tcW w:w="3539" w:type="dxa"/>
            <w:tcBorders>
              <w:top w:val="single" w:sz="4" w:space="0" w:color="auto"/>
              <w:left w:val="single" w:sz="4" w:space="0" w:color="auto"/>
              <w:bottom w:val="single" w:sz="4" w:space="0" w:color="auto"/>
              <w:right w:val="single" w:sz="4" w:space="0" w:color="auto"/>
            </w:tcBorders>
            <w:hideMark/>
          </w:tcPr>
          <w:p w14:paraId="3AE16F6E" w14:textId="77777777" w:rsidR="008E0205" w:rsidRDefault="008E0205">
            <w:pPr>
              <w:pStyle w:val="Heading1"/>
              <w:widowControl w:val="0"/>
              <w:numPr>
                <w:ilvl w:val="0"/>
                <w:numId w:val="0"/>
              </w:numPr>
              <w:tabs>
                <w:tab w:val="left" w:pos="720"/>
              </w:tabs>
              <w:spacing w:after="0"/>
              <w:outlineLvl w:val="0"/>
              <w:rPr>
                <w:sz w:val="20"/>
                <w:szCs w:val="20"/>
                <w:lang w:val="es-419"/>
              </w:rPr>
            </w:pPr>
            <w:r>
              <w:rPr>
                <w:sz w:val="20"/>
                <w:szCs w:val="20"/>
                <w:lang w:val="es-PE"/>
              </w:rPr>
              <w:t>Fortalecimiento institucional - fase VII (ECU/SEV/83/INS/71)</w:t>
            </w:r>
          </w:p>
        </w:tc>
        <w:tc>
          <w:tcPr>
            <w:tcW w:w="1265" w:type="dxa"/>
            <w:tcBorders>
              <w:top w:val="single" w:sz="4" w:space="0" w:color="auto"/>
              <w:left w:val="single" w:sz="4" w:space="0" w:color="auto"/>
              <w:bottom w:val="single" w:sz="4" w:space="0" w:color="auto"/>
              <w:right w:val="single" w:sz="4" w:space="0" w:color="auto"/>
            </w:tcBorders>
            <w:hideMark/>
          </w:tcPr>
          <w:p w14:paraId="757C93D1"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226 305</w:t>
            </w:r>
          </w:p>
        </w:tc>
        <w:tc>
          <w:tcPr>
            <w:tcW w:w="1145" w:type="dxa"/>
            <w:tcBorders>
              <w:top w:val="single" w:sz="4" w:space="0" w:color="auto"/>
              <w:left w:val="single" w:sz="4" w:space="0" w:color="auto"/>
              <w:bottom w:val="single" w:sz="4" w:space="0" w:color="auto"/>
              <w:right w:val="single" w:sz="4" w:space="0" w:color="auto"/>
            </w:tcBorders>
            <w:hideMark/>
          </w:tcPr>
          <w:p w14:paraId="473FB65B"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0</w:t>
            </w:r>
          </w:p>
        </w:tc>
        <w:tc>
          <w:tcPr>
            <w:tcW w:w="709" w:type="dxa"/>
            <w:tcBorders>
              <w:top w:val="single" w:sz="4" w:space="0" w:color="auto"/>
              <w:left w:val="single" w:sz="4" w:space="0" w:color="auto"/>
              <w:bottom w:val="single" w:sz="4" w:space="0" w:color="auto"/>
              <w:right w:val="single" w:sz="4" w:space="0" w:color="auto"/>
            </w:tcBorders>
            <w:hideMark/>
          </w:tcPr>
          <w:p w14:paraId="72439D98"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226 305</w:t>
            </w:r>
          </w:p>
        </w:tc>
        <w:tc>
          <w:tcPr>
            <w:tcW w:w="1134" w:type="dxa"/>
            <w:tcBorders>
              <w:top w:val="single" w:sz="4" w:space="0" w:color="auto"/>
              <w:left w:val="single" w:sz="4" w:space="0" w:color="auto"/>
              <w:bottom w:val="single" w:sz="4" w:space="0" w:color="auto"/>
              <w:right w:val="single" w:sz="4" w:space="0" w:color="auto"/>
            </w:tcBorders>
            <w:hideMark/>
          </w:tcPr>
          <w:p w14:paraId="2701B693"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226 305</w:t>
            </w:r>
          </w:p>
        </w:tc>
        <w:tc>
          <w:tcPr>
            <w:tcW w:w="1134" w:type="dxa"/>
            <w:tcBorders>
              <w:top w:val="single" w:sz="4" w:space="0" w:color="auto"/>
              <w:left w:val="single" w:sz="4" w:space="0" w:color="auto"/>
              <w:bottom w:val="single" w:sz="4" w:space="0" w:color="auto"/>
              <w:right w:val="single" w:sz="4" w:space="0" w:color="auto"/>
            </w:tcBorders>
            <w:hideMark/>
          </w:tcPr>
          <w:p w14:paraId="07C5DDAD"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15 841</w:t>
            </w:r>
          </w:p>
        </w:tc>
        <w:tc>
          <w:tcPr>
            <w:tcW w:w="708" w:type="dxa"/>
            <w:tcBorders>
              <w:top w:val="single" w:sz="4" w:space="0" w:color="auto"/>
              <w:left w:val="single" w:sz="4" w:space="0" w:color="auto"/>
              <w:bottom w:val="single" w:sz="4" w:space="0" w:color="auto"/>
              <w:right w:val="single" w:sz="4" w:space="0" w:color="auto"/>
            </w:tcBorders>
            <w:hideMark/>
          </w:tcPr>
          <w:p w14:paraId="4CD5F922"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242 146</w:t>
            </w:r>
          </w:p>
        </w:tc>
      </w:tr>
      <w:tr w:rsidR="008E0205" w14:paraId="24614AD3" w14:textId="77777777" w:rsidTr="008E0205">
        <w:tc>
          <w:tcPr>
            <w:tcW w:w="3539" w:type="dxa"/>
            <w:tcBorders>
              <w:top w:val="single" w:sz="4" w:space="0" w:color="auto"/>
              <w:left w:val="single" w:sz="4" w:space="0" w:color="auto"/>
              <w:bottom w:val="single" w:sz="4" w:space="0" w:color="auto"/>
              <w:right w:val="single" w:sz="4" w:space="0" w:color="auto"/>
            </w:tcBorders>
            <w:hideMark/>
          </w:tcPr>
          <w:p w14:paraId="2F014CF9" w14:textId="77777777" w:rsidR="008E0205" w:rsidRDefault="008E0205">
            <w:pPr>
              <w:pStyle w:val="Heading1"/>
              <w:widowControl w:val="0"/>
              <w:numPr>
                <w:ilvl w:val="0"/>
                <w:numId w:val="0"/>
              </w:numPr>
              <w:tabs>
                <w:tab w:val="left" w:pos="720"/>
              </w:tabs>
              <w:spacing w:after="0"/>
              <w:outlineLvl w:val="0"/>
              <w:rPr>
                <w:sz w:val="20"/>
                <w:szCs w:val="20"/>
                <w:lang w:val="it-IT"/>
              </w:rPr>
            </w:pPr>
            <w:r>
              <w:rPr>
                <w:sz w:val="20"/>
                <w:szCs w:val="20"/>
                <w:lang w:val="it-IT"/>
              </w:rPr>
              <w:t xml:space="preserve">Etapa I del PGEH - quinto tramo </w:t>
            </w:r>
          </w:p>
          <w:p w14:paraId="5FF2BD01" w14:textId="77777777" w:rsidR="008E0205" w:rsidRDefault="008E0205">
            <w:pPr>
              <w:pStyle w:val="Heading1"/>
              <w:widowControl w:val="0"/>
              <w:numPr>
                <w:ilvl w:val="0"/>
                <w:numId w:val="0"/>
              </w:numPr>
              <w:tabs>
                <w:tab w:val="left" w:pos="720"/>
              </w:tabs>
              <w:spacing w:after="0"/>
              <w:outlineLvl w:val="0"/>
              <w:rPr>
                <w:sz w:val="20"/>
                <w:szCs w:val="20"/>
              </w:rPr>
            </w:pPr>
            <w:r>
              <w:rPr>
                <w:sz w:val="20"/>
                <w:szCs w:val="20"/>
                <w:lang w:val="es-PE"/>
              </w:rPr>
              <w:t>(ECU/PHA/85/TAS/73)</w:t>
            </w:r>
          </w:p>
        </w:tc>
        <w:tc>
          <w:tcPr>
            <w:tcW w:w="1265" w:type="dxa"/>
            <w:tcBorders>
              <w:top w:val="single" w:sz="4" w:space="0" w:color="auto"/>
              <w:left w:val="single" w:sz="4" w:space="0" w:color="auto"/>
              <w:bottom w:val="single" w:sz="4" w:space="0" w:color="auto"/>
              <w:right w:val="single" w:sz="4" w:space="0" w:color="auto"/>
            </w:tcBorders>
            <w:hideMark/>
          </w:tcPr>
          <w:p w14:paraId="7E49B350"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10 000</w:t>
            </w:r>
          </w:p>
        </w:tc>
        <w:tc>
          <w:tcPr>
            <w:tcW w:w="1145" w:type="dxa"/>
            <w:tcBorders>
              <w:top w:val="single" w:sz="4" w:space="0" w:color="auto"/>
              <w:left w:val="single" w:sz="4" w:space="0" w:color="auto"/>
              <w:bottom w:val="single" w:sz="4" w:space="0" w:color="auto"/>
              <w:right w:val="single" w:sz="4" w:space="0" w:color="auto"/>
            </w:tcBorders>
            <w:hideMark/>
          </w:tcPr>
          <w:p w14:paraId="6C71101A"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1 300</w:t>
            </w:r>
          </w:p>
        </w:tc>
        <w:tc>
          <w:tcPr>
            <w:tcW w:w="709" w:type="dxa"/>
            <w:tcBorders>
              <w:top w:val="single" w:sz="4" w:space="0" w:color="auto"/>
              <w:left w:val="single" w:sz="4" w:space="0" w:color="auto"/>
              <w:bottom w:val="single" w:sz="4" w:space="0" w:color="auto"/>
              <w:right w:val="single" w:sz="4" w:space="0" w:color="auto"/>
            </w:tcBorders>
            <w:hideMark/>
          </w:tcPr>
          <w:p w14:paraId="4883A204"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11 300</w:t>
            </w:r>
          </w:p>
        </w:tc>
        <w:tc>
          <w:tcPr>
            <w:tcW w:w="1134" w:type="dxa"/>
            <w:tcBorders>
              <w:top w:val="single" w:sz="4" w:space="0" w:color="auto"/>
              <w:left w:val="single" w:sz="4" w:space="0" w:color="auto"/>
              <w:bottom w:val="single" w:sz="4" w:space="0" w:color="auto"/>
              <w:right w:val="single" w:sz="4" w:space="0" w:color="auto"/>
            </w:tcBorders>
            <w:hideMark/>
          </w:tcPr>
          <w:p w14:paraId="7CEB54EE"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10 000</w:t>
            </w:r>
          </w:p>
        </w:tc>
        <w:tc>
          <w:tcPr>
            <w:tcW w:w="1134" w:type="dxa"/>
            <w:tcBorders>
              <w:top w:val="single" w:sz="4" w:space="0" w:color="auto"/>
              <w:left w:val="single" w:sz="4" w:space="0" w:color="auto"/>
              <w:bottom w:val="single" w:sz="4" w:space="0" w:color="auto"/>
              <w:right w:val="single" w:sz="4" w:space="0" w:color="auto"/>
            </w:tcBorders>
            <w:hideMark/>
          </w:tcPr>
          <w:p w14:paraId="6B263AB9"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700</w:t>
            </w:r>
          </w:p>
        </w:tc>
        <w:tc>
          <w:tcPr>
            <w:tcW w:w="708" w:type="dxa"/>
            <w:tcBorders>
              <w:top w:val="single" w:sz="4" w:space="0" w:color="auto"/>
              <w:left w:val="single" w:sz="4" w:space="0" w:color="auto"/>
              <w:bottom w:val="single" w:sz="4" w:space="0" w:color="auto"/>
              <w:right w:val="single" w:sz="4" w:space="0" w:color="auto"/>
            </w:tcBorders>
            <w:hideMark/>
          </w:tcPr>
          <w:p w14:paraId="34A7CC9C"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10 700</w:t>
            </w:r>
          </w:p>
        </w:tc>
      </w:tr>
      <w:tr w:rsidR="008E0205" w14:paraId="163A2A5F" w14:textId="77777777" w:rsidTr="008E0205">
        <w:tc>
          <w:tcPr>
            <w:tcW w:w="3539" w:type="dxa"/>
            <w:tcBorders>
              <w:top w:val="single" w:sz="4" w:space="0" w:color="auto"/>
              <w:left w:val="single" w:sz="4" w:space="0" w:color="auto"/>
              <w:bottom w:val="single" w:sz="4" w:space="0" w:color="auto"/>
              <w:right w:val="single" w:sz="4" w:space="0" w:color="auto"/>
            </w:tcBorders>
            <w:hideMark/>
          </w:tcPr>
          <w:p w14:paraId="43804570" w14:textId="77777777" w:rsidR="008E0205" w:rsidRDefault="008E0205">
            <w:pPr>
              <w:pStyle w:val="Heading1"/>
              <w:widowControl w:val="0"/>
              <w:numPr>
                <w:ilvl w:val="0"/>
                <w:numId w:val="0"/>
              </w:numPr>
              <w:tabs>
                <w:tab w:val="left" w:pos="720"/>
              </w:tabs>
              <w:spacing w:after="0"/>
              <w:outlineLvl w:val="0"/>
              <w:rPr>
                <w:sz w:val="20"/>
                <w:szCs w:val="20"/>
                <w:lang w:val="es-ES"/>
              </w:rPr>
            </w:pPr>
            <w:r>
              <w:rPr>
                <w:sz w:val="20"/>
                <w:szCs w:val="20"/>
                <w:lang w:val="es-PE"/>
              </w:rPr>
              <w:t>Etapa II del PEGH - primer tramo</w:t>
            </w:r>
          </w:p>
          <w:p w14:paraId="2AF4A9CA" w14:textId="77777777" w:rsidR="008E0205" w:rsidRDefault="008E0205">
            <w:pPr>
              <w:pStyle w:val="Heading1"/>
              <w:widowControl w:val="0"/>
              <w:numPr>
                <w:ilvl w:val="0"/>
                <w:numId w:val="0"/>
              </w:numPr>
              <w:tabs>
                <w:tab w:val="left" w:pos="720"/>
              </w:tabs>
              <w:spacing w:after="0"/>
              <w:outlineLvl w:val="0"/>
              <w:rPr>
                <w:sz w:val="20"/>
                <w:szCs w:val="20"/>
                <w:lang w:val="es-ES"/>
              </w:rPr>
            </w:pPr>
            <w:r>
              <w:rPr>
                <w:sz w:val="20"/>
                <w:szCs w:val="20"/>
                <w:lang w:val="es-PE"/>
              </w:rPr>
              <w:t>(ECU/TAS/86/TAS/74)</w:t>
            </w:r>
          </w:p>
        </w:tc>
        <w:tc>
          <w:tcPr>
            <w:tcW w:w="1265" w:type="dxa"/>
            <w:tcBorders>
              <w:top w:val="single" w:sz="4" w:space="0" w:color="auto"/>
              <w:left w:val="single" w:sz="4" w:space="0" w:color="auto"/>
              <w:bottom w:val="single" w:sz="4" w:space="0" w:color="auto"/>
              <w:right w:val="single" w:sz="4" w:space="0" w:color="auto"/>
            </w:tcBorders>
            <w:hideMark/>
          </w:tcPr>
          <w:p w14:paraId="07226488"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24 000</w:t>
            </w:r>
          </w:p>
        </w:tc>
        <w:tc>
          <w:tcPr>
            <w:tcW w:w="1145" w:type="dxa"/>
            <w:tcBorders>
              <w:top w:val="single" w:sz="4" w:space="0" w:color="auto"/>
              <w:left w:val="single" w:sz="4" w:space="0" w:color="auto"/>
              <w:bottom w:val="single" w:sz="4" w:space="0" w:color="auto"/>
              <w:right w:val="single" w:sz="4" w:space="0" w:color="auto"/>
            </w:tcBorders>
            <w:hideMark/>
          </w:tcPr>
          <w:p w14:paraId="4D776715"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 xml:space="preserve">3 120 </w:t>
            </w:r>
          </w:p>
        </w:tc>
        <w:tc>
          <w:tcPr>
            <w:tcW w:w="709" w:type="dxa"/>
            <w:tcBorders>
              <w:top w:val="single" w:sz="4" w:space="0" w:color="auto"/>
              <w:left w:val="single" w:sz="4" w:space="0" w:color="auto"/>
              <w:bottom w:val="single" w:sz="4" w:space="0" w:color="auto"/>
              <w:right w:val="single" w:sz="4" w:space="0" w:color="auto"/>
            </w:tcBorders>
            <w:hideMark/>
          </w:tcPr>
          <w:p w14:paraId="78BA7AE0"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27 120</w:t>
            </w:r>
          </w:p>
        </w:tc>
        <w:tc>
          <w:tcPr>
            <w:tcW w:w="1134" w:type="dxa"/>
            <w:tcBorders>
              <w:top w:val="single" w:sz="4" w:space="0" w:color="auto"/>
              <w:left w:val="single" w:sz="4" w:space="0" w:color="auto"/>
              <w:bottom w:val="single" w:sz="4" w:space="0" w:color="auto"/>
              <w:right w:val="single" w:sz="4" w:space="0" w:color="auto"/>
            </w:tcBorders>
            <w:hideMark/>
          </w:tcPr>
          <w:p w14:paraId="2508D2F2"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24 000</w:t>
            </w:r>
          </w:p>
        </w:tc>
        <w:tc>
          <w:tcPr>
            <w:tcW w:w="1134" w:type="dxa"/>
            <w:tcBorders>
              <w:top w:val="single" w:sz="4" w:space="0" w:color="auto"/>
              <w:left w:val="single" w:sz="4" w:space="0" w:color="auto"/>
              <w:bottom w:val="single" w:sz="4" w:space="0" w:color="auto"/>
              <w:right w:val="single" w:sz="4" w:space="0" w:color="auto"/>
            </w:tcBorders>
            <w:hideMark/>
          </w:tcPr>
          <w:p w14:paraId="5E915339"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1 680</w:t>
            </w:r>
          </w:p>
        </w:tc>
        <w:tc>
          <w:tcPr>
            <w:tcW w:w="708" w:type="dxa"/>
            <w:tcBorders>
              <w:top w:val="single" w:sz="4" w:space="0" w:color="auto"/>
              <w:left w:val="single" w:sz="4" w:space="0" w:color="auto"/>
              <w:bottom w:val="single" w:sz="4" w:space="0" w:color="auto"/>
              <w:right w:val="single" w:sz="4" w:space="0" w:color="auto"/>
            </w:tcBorders>
            <w:hideMark/>
          </w:tcPr>
          <w:p w14:paraId="08328C39"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25 680</w:t>
            </w:r>
          </w:p>
        </w:tc>
      </w:tr>
      <w:tr w:rsidR="008E0205" w14:paraId="4868A842" w14:textId="77777777" w:rsidTr="008E0205">
        <w:tc>
          <w:tcPr>
            <w:tcW w:w="3539" w:type="dxa"/>
            <w:tcBorders>
              <w:top w:val="single" w:sz="4" w:space="0" w:color="auto"/>
              <w:left w:val="single" w:sz="4" w:space="0" w:color="auto"/>
              <w:bottom w:val="single" w:sz="4" w:space="0" w:color="auto"/>
              <w:right w:val="single" w:sz="4" w:space="0" w:color="auto"/>
            </w:tcBorders>
            <w:hideMark/>
          </w:tcPr>
          <w:p w14:paraId="507832D0" w14:textId="77777777" w:rsidR="008E0205" w:rsidRDefault="008E0205">
            <w:pPr>
              <w:pStyle w:val="Heading1"/>
              <w:widowControl w:val="0"/>
              <w:numPr>
                <w:ilvl w:val="0"/>
                <w:numId w:val="0"/>
              </w:numPr>
              <w:tabs>
                <w:tab w:val="left" w:pos="720"/>
              </w:tabs>
              <w:spacing w:after="0"/>
              <w:outlineLvl w:val="0"/>
              <w:rPr>
                <w:sz w:val="20"/>
                <w:szCs w:val="20"/>
                <w:lang w:val="es-ES"/>
              </w:rPr>
            </w:pPr>
            <w:r>
              <w:rPr>
                <w:sz w:val="20"/>
                <w:szCs w:val="20"/>
                <w:lang w:val="es-PE"/>
              </w:rPr>
              <w:t>Fondos aprobados en principio para los tramos segundo, tercero y cuarto de la etapa II del PGEH</w:t>
            </w:r>
          </w:p>
        </w:tc>
        <w:tc>
          <w:tcPr>
            <w:tcW w:w="1265" w:type="dxa"/>
            <w:tcBorders>
              <w:top w:val="single" w:sz="4" w:space="0" w:color="auto"/>
              <w:left w:val="single" w:sz="4" w:space="0" w:color="auto"/>
              <w:bottom w:val="single" w:sz="4" w:space="0" w:color="auto"/>
              <w:right w:val="single" w:sz="4" w:space="0" w:color="auto"/>
            </w:tcBorders>
            <w:hideMark/>
          </w:tcPr>
          <w:p w14:paraId="2E422729"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*71 000</w:t>
            </w:r>
          </w:p>
        </w:tc>
        <w:tc>
          <w:tcPr>
            <w:tcW w:w="1145" w:type="dxa"/>
            <w:tcBorders>
              <w:top w:val="single" w:sz="4" w:space="0" w:color="auto"/>
              <w:left w:val="single" w:sz="4" w:space="0" w:color="auto"/>
              <w:bottom w:val="single" w:sz="4" w:space="0" w:color="auto"/>
              <w:right w:val="single" w:sz="4" w:space="0" w:color="auto"/>
            </w:tcBorders>
            <w:hideMark/>
          </w:tcPr>
          <w:p w14:paraId="3AE52251"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*9 230</w:t>
            </w:r>
          </w:p>
        </w:tc>
        <w:tc>
          <w:tcPr>
            <w:tcW w:w="709" w:type="dxa"/>
            <w:tcBorders>
              <w:top w:val="single" w:sz="4" w:space="0" w:color="auto"/>
              <w:left w:val="single" w:sz="4" w:space="0" w:color="auto"/>
              <w:bottom w:val="single" w:sz="4" w:space="0" w:color="auto"/>
              <w:right w:val="single" w:sz="4" w:space="0" w:color="auto"/>
            </w:tcBorders>
            <w:hideMark/>
          </w:tcPr>
          <w:p w14:paraId="03624FC7"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80 230</w:t>
            </w:r>
          </w:p>
        </w:tc>
        <w:tc>
          <w:tcPr>
            <w:tcW w:w="1134" w:type="dxa"/>
            <w:tcBorders>
              <w:top w:val="single" w:sz="4" w:space="0" w:color="auto"/>
              <w:left w:val="single" w:sz="4" w:space="0" w:color="auto"/>
              <w:bottom w:val="single" w:sz="4" w:space="0" w:color="auto"/>
              <w:right w:val="single" w:sz="4" w:space="0" w:color="auto"/>
            </w:tcBorders>
            <w:hideMark/>
          </w:tcPr>
          <w:p w14:paraId="6D9B2A4E"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71 000</w:t>
            </w:r>
          </w:p>
        </w:tc>
        <w:tc>
          <w:tcPr>
            <w:tcW w:w="1134" w:type="dxa"/>
            <w:tcBorders>
              <w:top w:val="single" w:sz="4" w:space="0" w:color="auto"/>
              <w:left w:val="single" w:sz="4" w:space="0" w:color="auto"/>
              <w:bottom w:val="single" w:sz="4" w:space="0" w:color="auto"/>
              <w:right w:val="single" w:sz="4" w:space="0" w:color="auto"/>
            </w:tcBorders>
            <w:hideMark/>
          </w:tcPr>
          <w:p w14:paraId="74B2E832"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4 970</w:t>
            </w:r>
          </w:p>
        </w:tc>
        <w:tc>
          <w:tcPr>
            <w:tcW w:w="708" w:type="dxa"/>
            <w:tcBorders>
              <w:top w:val="single" w:sz="4" w:space="0" w:color="auto"/>
              <w:left w:val="single" w:sz="4" w:space="0" w:color="auto"/>
              <w:bottom w:val="single" w:sz="4" w:space="0" w:color="auto"/>
              <w:right w:val="single" w:sz="4" w:space="0" w:color="auto"/>
            </w:tcBorders>
            <w:hideMark/>
          </w:tcPr>
          <w:p w14:paraId="0E82BBBB" w14:textId="77777777" w:rsidR="008E0205" w:rsidRDefault="008E0205">
            <w:pPr>
              <w:pStyle w:val="Heading1"/>
              <w:widowControl w:val="0"/>
              <w:numPr>
                <w:ilvl w:val="0"/>
                <w:numId w:val="0"/>
              </w:numPr>
              <w:tabs>
                <w:tab w:val="left" w:pos="720"/>
              </w:tabs>
              <w:spacing w:after="0"/>
              <w:jc w:val="right"/>
              <w:outlineLvl w:val="0"/>
              <w:rPr>
                <w:sz w:val="20"/>
                <w:szCs w:val="20"/>
              </w:rPr>
            </w:pPr>
            <w:r>
              <w:rPr>
                <w:sz w:val="20"/>
                <w:szCs w:val="20"/>
                <w:lang w:val="es-PE"/>
              </w:rPr>
              <w:t>75 970</w:t>
            </w:r>
          </w:p>
        </w:tc>
      </w:tr>
      <w:tr w:rsidR="008E0205" w14:paraId="2122BDD9" w14:textId="77777777" w:rsidTr="008E0205">
        <w:tc>
          <w:tcPr>
            <w:tcW w:w="3539" w:type="dxa"/>
            <w:tcBorders>
              <w:top w:val="single" w:sz="4" w:space="0" w:color="auto"/>
              <w:left w:val="single" w:sz="4" w:space="0" w:color="auto"/>
              <w:bottom w:val="single" w:sz="4" w:space="0" w:color="auto"/>
              <w:right w:val="single" w:sz="4" w:space="0" w:color="auto"/>
            </w:tcBorders>
            <w:hideMark/>
          </w:tcPr>
          <w:p w14:paraId="720BD613" w14:textId="77777777" w:rsidR="008E0205" w:rsidRDefault="008E0205">
            <w:pPr>
              <w:pStyle w:val="Heading1"/>
              <w:widowControl w:val="0"/>
              <w:numPr>
                <w:ilvl w:val="0"/>
                <w:numId w:val="0"/>
              </w:numPr>
              <w:tabs>
                <w:tab w:val="left" w:pos="720"/>
              </w:tabs>
              <w:spacing w:after="0"/>
              <w:outlineLvl w:val="0"/>
              <w:rPr>
                <w:b/>
                <w:sz w:val="20"/>
                <w:szCs w:val="20"/>
              </w:rPr>
            </w:pPr>
            <w:r>
              <w:rPr>
                <w:b/>
                <w:bCs/>
                <w:sz w:val="20"/>
                <w:szCs w:val="20"/>
                <w:lang w:val="es-PE"/>
              </w:rPr>
              <w:t>Total</w:t>
            </w:r>
          </w:p>
        </w:tc>
        <w:tc>
          <w:tcPr>
            <w:tcW w:w="1265" w:type="dxa"/>
            <w:tcBorders>
              <w:top w:val="single" w:sz="4" w:space="0" w:color="auto"/>
              <w:left w:val="single" w:sz="4" w:space="0" w:color="auto"/>
              <w:bottom w:val="single" w:sz="4" w:space="0" w:color="auto"/>
              <w:right w:val="single" w:sz="4" w:space="0" w:color="auto"/>
            </w:tcBorders>
            <w:hideMark/>
          </w:tcPr>
          <w:p w14:paraId="4B207889" w14:textId="77777777" w:rsidR="008E0205" w:rsidRDefault="008E0205">
            <w:pPr>
              <w:pStyle w:val="Heading1"/>
              <w:widowControl w:val="0"/>
              <w:numPr>
                <w:ilvl w:val="0"/>
                <w:numId w:val="0"/>
              </w:numPr>
              <w:tabs>
                <w:tab w:val="left" w:pos="720"/>
              </w:tabs>
              <w:spacing w:after="0"/>
              <w:jc w:val="right"/>
              <w:outlineLvl w:val="0"/>
              <w:rPr>
                <w:b/>
                <w:sz w:val="20"/>
                <w:szCs w:val="20"/>
              </w:rPr>
            </w:pPr>
            <w:r>
              <w:rPr>
                <w:b/>
                <w:bCs/>
                <w:sz w:val="20"/>
                <w:szCs w:val="20"/>
                <w:lang w:val="es-PE"/>
              </w:rPr>
              <w:t>331 305</w:t>
            </w:r>
          </w:p>
        </w:tc>
        <w:tc>
          <w:tcPr>
            <w:tcW w:w="1145" w:type="dxa"/>
            <w:tcBorders>
              <w:top w:val="single" w:sz="4" w:space="0" w:color="auto"/>
              <w:left w:val="single" w:sz="4" w:space="0" w:color="auto"/>
              <w:bottom w:val="single" w:sz="4" w:space="0" w:color="auto"/>
              <w:right w:val="single" w:sz="4" w:space="0" w:color="auto"/>
            </w:tcBorders>
            <w:hideMark/>
          </w:tcPr>
          <w:p w14:paraId="37BCED52" w14:textId="77777777" w:rsidR="008E0205" w:rsidRDefault="008E0205">
            <w:pPr>
              <w:pStyle w:val="Heading1"/>
              <w:widowControl w:val="0"/>
              <w:numPr>
                <w:ilvl w:val="0"/>
                <w:numId w:val="0"/>
              </w:numPr>
              <w:tabs>
                <w:tab w:val="left" w:pos="720"/>
              </w:tabs>
              <w:spacing w:after="0"/>
              <w:jc w:val="right"/>
              <w:outlineLvl w:val="0"/>
              <w:rPr>
                <w:b/>
                <w:sz w:val="20"/>
                <w:szCs w:val="20"/>
              </w:rPr>
            </w:pPr>
            <w:r>
              <w:rPr>
                <w:b/>
                <w:bCs/>
                <w:sz w:val="20"/>
                <w:szCs w:val="20"/>
                <w:lang w:val="es-PE"/>
              </w:rPr>
              <w:t>13 650</w:t>
            </w:r>
          </w:p>
        </w:tc>
        <w:tc>
          <w:tcPr>
            <w:tcW w:w="709" w:type="dxa"/>
            <w:tcBorders>
              <w:top w:val="single" w:sz="4" w:space="0" w:color="auto"/>
              <w:left w:val="single" w:sz="4" w:space="0" w:color="auto"/>
              <w:bottom w:val="single" w:sz="4" w:space="0" w:color="auto"/>
              <w:right w:val="single" w:sz="4" w:space="0" w:color="auto"/>
            </w:tcBorders>
            <w:hideMark/>
          </w:tcPr>
          <w:p w14:paraId="65E93C8D" w14:textId="77777777" w:rsidR="008E0205" w:rsidRDefault="008E0205">
            <w:pPr>
              <w:pStyle w:val="Heading1"/>
              <w:widowControl w:val="0"/>
              <w:numPr>
                <w:ilvl w:val="0"/>
                <w:numId w:val="0"/>
              </w:numPr>
              <w:tabs>
                <w:tab w:val="left" w:pos="720"/>
              </w:tabs>
              <w:spacing w:after="0"/>
              <w:jc w:val="right"/>
              <w:outlineLvl w:val="0"/>
              <w:rPr>
                <w:b/>
                <w:sz w:val="20"/>
                <w:szCs w:val="20"/>
              </w:rPr>
            </w:pPr>
            <w:r>
              <w:rPr>
                <w:b/>
                <w:bCs/>
                <w:sz w:val="20"/>
                <w:szCs w:val="20"/>
                <w:lang w:val="es-PE"/>
              </w:rPr>
              <w:t>344 955</w:t>
            </w:r>
          </w:p>
        </w:tc>
        <w:tc>
          <w:tcPr>
            <w:tcW w:w="1134" w:type="dxa"/>
            <w:tcBorders>
              <w:top w:val="single" w:sz="4" w:space="0" w:color="auto"/>
              <w:left w:val="single" w:sz="4" w:space="0" w:color="auto"/>
              <w:bottom w:val="single" w:sz="4" w:space="0" w:color="auto"/>
              <w:right w:val="single" w:sz="4" w:space="0" w:color="auto"/>
            </w:tcBorders>
            <w:hideMark/>
          </w:tcPr>
          <w:p w14:paraId="3FC4DE4A" w14:textId="77777777" w:rsidR="008E0205" w:rsidRDefault="008E0205">
            <w:pPr>
              <w:pStyle w:val="Heading1"/>
              <w:widowControl w:val="0"/>
              <w:numPr>
                <w:ilvl w:val="0"/>
                <w:numId w:val="0"/>
              </w:numPr>
              <w:tabs>
                <w:tab w:val="left" w:pos="720"/>
              </w:tabs>
              <w:spacing w:after="0"/>
              <w:jc w:val="right"/>
              <w:outlineLvl w:val="0"/>
              <w:rPr>
                <w:b/>
                <w:sz w:val="20"/>
                <w:szCs w:val="20"/>
              </w:rPr>
            </w:pPr>
            <w:r>
              <w:rPr>
                <w:b/>
                <w:bCs/>
                <w:sz w:val="20"/>
                <w:szCs w:val="20"/>
                <w:lang w:val="es-PE"/>
              </w:rPr>
              <w:t>331 305</w:t>
            </w:r>
          </w:p>
        </w:tc>
        <w:tc>
          <w:tcPr>
            <w:tcW w:w="1134" w:type="dxa"/>
            <w:tcBorders>
              <w:top w:val="single" w:sz="4" w:space="0" w:color="auto"/>
              <w:left w:val="single" w:sz="4" w:space="0" w:color="auto"/>
              <w:bottom w:val="single" w:sz="4" w:space="0" w:color="auto"/>
              <w:right w:val="single" w:sz="4" w:space="0" w:color="auto"/>
            </w:tcBorders>
            <w:hideMark/>
          </w:tcPr>
          <w:p w14:paraId="7E909A64" w14:textId="77777777" w:rsidR="008E0205" w:rsidRDefault="008E0205">
            <w:pPr>
              <w:pStyle w:val="Heading1"/>
              <w:widowControl w:val="0"/>
              <w:numPr>
                <w:ilvl w:val="0"/>
                <w:numId w:val="0"/>
              </w:numPr>
              <w:tabs>
                <w:tab w:val="left" w:pos="720"/>
              </w:tabs>
              <w:spacing w:after="0"/>
              <w:jc w:val="right"/>
              <w:outlineLvl w:val="0"/>
              <w:rPr>
                <w:b/>
                <w:sz w:val="20"/>
                <w:szCs w:val="20"/>
              </w:rPr>
            </w:pPr>
            <w:r>
              <w:rPr>
                <w:b/>
                <w:bCs/>
                <w:sz w:val="20"/>
                <w:szCs w:val="20"/>
                <w:lang w:val="es-PE"/>
              </w:rPr>
              <w:t>23 191</w:t>
            </w:r>
          </w:p>
        </w:tc>
        <w:tc>
          <w:tcPr>
            <w:tcW w:w="708" w:type="dxa"/>
            <w:tcBorders>
              <w:top w:val="single" w:sz="4" w:space="0" w:color="auto"/>
              <w:left w:val="single" w:sz="4" w:space="0" w:color="auto"/>
              <w:bottom w:val="single" w:sz="4" w:space="0" w:color="auto"/>
              <w:right w:val="single" w:sz="4" w:space="0" w:color="auto"/>
            </w:tcBorders>
            <w:hideMark/>
          </w:tcPr>
          <w:p w14:paraId="0C7FE28C" w14:textId="77777777" w:rsidR="008E0205" w:rsidRDefault="008E0205">
            <w:pPr>
              <w:pStyle w:val="Heading1"/>
              <w:widowControl w:val="0"/>
              <w:numPr>
                <w:ilvl w:val="0"/>
                <w:numId w:val="0"/>
              </w:numPr>
              <w:tabs>
                <w:tab w:val="left" w:pos="720"/>
              </w:tabs>
              <w:spacing w:after="0"/>
              <w:jc w:val="right"/>
              <w:outlineLvl w:val="0"/>
              <w:rPr>
                <w:b/>
                <w:sz w:val="20"/>
                <w:szCs w:val="20"/>
              </w:rPr>
            </w:pPr>
            <w:r>
              <w:rPr>
                <w:b/>
                <w:bCs/>
                <w:sz w:val="20"/>
                <w:szCs w:val="20"/>
                <w:lang w:val="es-PE"/>
              </w:rPr>
              <w:t>354 496</w:t>
            </w:r>
          </w:p>
        </w:tc>
      </w:tr>
    </w:tbl>
    <w:p w14:paraId="4CD9EF05" w14:textId="77777777" w:rsidR="008E0205" w:rsidRDefault="008E0205" w:rsidP="008E0205">
      <w:pPr>
        <w:rPr>
          <w:sz w:val="20"/>
          <w:szCs w:val="20"/>
          <w:lang w:val="es-ES"/>
        </w:rPr>
      </w:pPr>
      <w:r>
        <w:rPr>
          <w:sz w:val="20"/>
          <w:szCs w:val="20"/>
          <w:lang w:val="es-PE"/>
        </w:rPr>
        <w:t>*Los fondos no deberán ser devueltos, ya que solo se han aprobado en principio. En cambio, dichos fondos se transfieren a la ONUDI, en el Apéndice 2-A del Acuerdo entre el Gobierno y el Comité Ejecutivo, para su ulterior aprobación.</w:t>
      </w:r>
    </w:p>
    <w:p w14:paraId="5FB36DB4" w14:textId="77777777" w:rsidR="008E0205" w:rsidRDefault="008E0205" w:rsidP="008E0205">
      <w:pPr>
        <w:rPr>
          <w:lang w:val="es-ES"/>
        </w:rPr>
      </w:pPr>
    </w:p>
    <w:p w14:paraId="018478E6" w14:textId="7241120A" w:rsidR="008E0205" w:rsidRDefault="008E0205" w:rsidP="00045A5C">
      <w:pPr>
        <w:numPr>
          <w:ilvl w:val="0"/>
          <w:numId w:val="1"/>
        </w:numPr>
        <w:tabs>
          <w:tab w:val="clear" w:pos="0"/>
          <w:tab w:val="num" w:pos="710"/>
        </w:tabs>
        <w:spacing w:after="240"/>
        <w:outlineLvl w:val="0"/>
        <w:rPr>
          <w:lang w:val="es-ES"/>
        </w:rPr>
      </w:pPr>
      <w:r>
        <w:rPr>
          <w:lang w:val="es-PE"/>
        </w:rPr>
        <w:t xml:space="preserve">El retiro del PNUMA, en calidad de organismo cooperante en la etapa I y II del PGEH exige la actualización de los Acuerdos entre el Gobierno del Ecuador y el Comité Ejecutivo, como figura en los Anexos V y VI, respectivamente, del presente documento. </w:t>
      </w:r>
    </w:p>
    <w:p w14:paraId="521EAF40" w14:textId="77777777" w:rsidR="008E0205" w:rsidRDefault="008E0205" w:rsidP="008E0205">
      <w:pPr>
        <w:keepNext/>
        <w:rPr>
          <w:b/>
          <w:lang w:val="es-ES"/>
        </w:rPr>
      </w:pPr>
      <w:r>
        <w:rPr>
          <w:b/>
          <w:bCs/>
          <w:lang w:val="es-PE"/>
        </w:rPr>
        <w:t>Recomendación</w:t>
      </w:r>
    </w:p>
    <w:p w14:paraId="7E35FDB8" w14:textId="77777777" w:rsidR="008E0205" w:rsidRDefault="008E0205" w:rsidP="008E0205">
      <w:pPr>
        <w:keepNext/>
        <w:rPr>
          <w:lang w:val="es-ES"/>
        </w:rPr>
      </w:pPr>
    </w:p>
    <w:p w14:paraId="78536E7B" w14:textId="16EF04F7" w:rsidR="008E0205" w:rsidRDefault="008E0205" w:rsidP="00045A5C">
      <w:pPr>
        <w:numPr>
          <w:ilvl w:val="0"/>
          <w:numId w:val="1"/>
        </w:numPr>
        <w:tabs>
          <w:tab w:val="clear" w:pos="0"/>
          <w:tab w:val="num" w:pos="710"/>
        </w:tabs>
        <w:spacing w:after="240"/>
        <w:outlineLvl w:val="0"/>
        <w:rPr>
          <w:lang w:val="es-ES"/>
        </w:rPr>
      </w:pPr>
      <w:r>
        <w:rPr>
          <w:lang w:val="es-PE"/>
        </w:rPr>
        <w:t xml:space="preserve">El Comité Ejecutivo podría considerar: </w:t>
      </w:r>
    </w:p>
    <w:p w14:paraId="33C26197" w14:textId="1C671899" w:rsidR="008E0205" w:rsidRDefault="008E0205" w:rsidP="00045A5C">
      <w:pPr>
        <w:pStyle w:val="Heading2"/>
        <w:keepNext/>
        <w:widowControl/>
        <w:numPr>
          <w:ilvl w:val="1"/>
          <w:numId w:val="7"/>
        </w:numPr>
        <w:tabs>
          <w:tab w:val="clear" w:pos="0"/>
        </w:tabs>
      </w:pPr>
      <w:r>
        <w:rPr>
          <w:lang w:val="es-PE"/>
        </w:rPr>
        <w:t>Tomar nota de:</w:t>
      </w:r>
    </w:p>
    <w:p w14:paraId="4326AFE7" w14:textId="77777777" w:rsidR="008E0205" w:rsidRDefault="008E0205" w:rsidP="00045A5C">
      <w:pPr>
        <w:pStyle w:val="Heading3"/>
        <w:numPr>
          <w:ilvl w:val="2"/>
          <w:numId w:val="7"/>
        </w:numPr>
        <w:tabs>
          <w:tab w:val="clear" w:pos="0"/>
        </w:tabs>
        <w:rPr>
          <w:lang w:val="es-ES"/>
        </w:rPr>
      </w:pPr>
      <w:r>
        <w:rPr>
          <w:lang w:val="es-PE"/>
        </w:rPr>
        <w:t xml:space="preserve">la solicitud del Gobierno del Ecuador de transferir a la fase VII de la ONUDI del proyecto de fortalecimiento institucional y todas las actividades de eliminación comprendidas en el quinto tramo de la etapa I y la etapa II del plan de gestión de la eliminación de los HCFC para su ejecución por el PNUMA; </w:t>
      </w:r>
    </w:p>
    <w:p w14:paraId="3E3706C9" w14:textId="77777777" w:rsidR="008E0205" w:rsidRDefault="008E0205" w:rsidP="00D17F84">
      <w:pPr>
        <w:pStyle w:val="Heading3"/>
        <w:numPr>
          <w:ilvl w:val="2"/>
          <w:numId w:val="7"/>
        </w:numPr>
        <w:tabs>
          <w:tab w:val="clear" w:pos="0"/>
        </w:tabs>
        <w:rPr>
          <w:lang w:val="es-ES"/>
        </w:rPr>
      </w:pPr>
      <w:r>
        <w:rPr>
          <w:lang w:val="es-PE"/>
        </w:rPr>
        <w:lastRenderedPageBreak/>
        <w:t>Que la Secretaría del Fondo ha actualizado el Acuerdo entre el Gobierno del Ecuador y el Comité Ejecutivo para la etapa I del PGEH, que figura en el Anexo V del presente documento, en particular el Apéndice 2-A, sobre la base de la transferencia del componente del PNUMA a la ONUDI para el quinto tramo, y el párrafo 16, a fin de señalar que el Acuerdo actualizado revisado reemplaza el alcanzado en la 81ª reunión;</w:t>
      </w:r>
    </w:p>
    <w:p w14:paraId="600C2D00" w14:textId="77777777" w:rsidR="008E0205" w:rsidRDefault="008E0205" w:rsidP="00045A5C">
      <w:pPr>
        <w:pStyle w:val="Heading3"/>
        <w:numPr>
          <w:ilvl w:val="2"/>
          <w:numId w:val="7"/>
        </w:numPr>
        <w:tabs>
          <w:tab w:val="clear" w:pos="0"/>
        </w:tabs>
        <w:rPr>
          <w:lang w:val="es-ES"/>
        </w:rPr>
      </w:pPr>
      <w:r>
        <w:rPr>
          <w:lang w:val="es-PE"/>
        </w:rPr>
        <w:t xml:space="preserve">Que la Secretaría del Fondo ha actualizado el Acuerdo entre el Gobierno del Ecuador y el Comité Ejecutivo para la etapa II del PGEH, que figura en el Anexo VI del presente documento, en particular para eliminar todas las referencias al organismo cooperante y el Apéndice 6-B; reasignar todos los fondos del PNUMA a la ONUDI en el Apéndice 2-A, y agregar un nuevo párrafo 17 para indicar que el PNUMA ha dejado de ser el organismo cooperante a partir de la 87ª reunión y que el Acuerdo actualizado reemplaza el alcanzado en la 86ª reunión;  </w:t>
      </w:r>
    </w:p>
    <w:p w14:paraId="4E274CFD" w14:textId="0CF1ABF0" w:rsidR="008E0205" w:rsidRDefault="008E0205" w:rsidP="00045A5C">
      <w:pPr>
        <w:pStyle w:val="Heading2"/>
        <w:keepNext/>
        <w:widowControl/>
        <w:numPr>
          <w:ilvl w:val="1"/>
          <w:numId w:val="7"/>
        </w:numPr>
        <w:tabs>
          <w:tab w:val="clear" w:pos="0"/>
        </w:tabs>
        <w:rPr>
          <w:lang w:val="es-ES"/>
        </w:rPr>
      </w:pPr>
      <w:r>
        <w:rPr>
          <w:lang w:val="es-PE"/>
        </w:rPr>
        <w:t>En cuanto a la fase VII del proyecto de fortalecimiento institucional (ECU/SEV/83/INS/71):</w:t>
      </w:r>
    </w:p>
    <w:p w14:paraId="54C166A4" w14:textId="069DC164" w:rsidR="008E0205" w:rsidRPr="00045A5C" w:rsidRDefault="00045A5C" w:rsidP="00045A5C">
      <w:pPr>
        <w:pStyle w:val="Heading3"/>
        <w:numPr>
          <w:ilvl w:val="2"/>
          <w:numId w:val="16"/>
        </w:numPr>
        <w:tabs>
          <w:tab w:val="clear" w:pos="0"/>
        </w:tabs>
        <w:rPr>
          <w:lang w:val="es-PE"/>
        </w:rPr>
      </w:pPr>
      <w:r>
        <w:rPr>
          <w:lang w:val="es-PE"/>
        </w:rPr>
        <w:t>P</w:t>
      </w:r>
      <w:r w:rsidR="008E0205" w:rsidRPr="00045A5C">
        <w:rPr>
          <w:lang w:val="es-PE"/>
        </w:rPr>
        <w:t>edir al PNUMA que, en la 87ª reunión, devuelva al Fondo Multilateral los fondos por valor de 226 305 $EUA;</w:t>
      </w:r>
    </w:p>
    <w:p w14:paraId="1A8B8E87" w14:textId="2BB72C26" w:rsidR="008E0205" w:rsidRDefault="00045A5C" w:rsidP="00045A5C">
      <w:pPr>
        <w:pStyle w:val="Heading3"/>
        <w:numPr>
          <w:ilvl w:val="2"/>
          <w:numId w:val="7"/>
        </w:numPr>
        <w:tabs>
          <w:tab w:val="clear" w:pos="0"/>
        </w:tabs>
        <w:rPr>
          <w:lang w:val="es-ES"/>
        </w:rPr>
      </w:pPr>
      <w:r>
        <w:rPr>
          <w:lang w:val="es-PE"/>
        </w:rPr>
        <w:t>A</w:t>
      </w:r>
      <w:r w:rsidR="008E0205">
        <w:rPr>
          <w:lang w:val="es-PE"/>
        </w:rPr>
        <w:t>probar la transferencia a la ONUDI de los fondos por valor de 226 305 $EUA, más gastos de apoyo del organismo de 15 841 $EUA;</w:t>
      </w:r>
    </w:p>
    <w:p w14:paraId="76E78890" w14:textId="03137C87" w:rsidR="008E0205" w:rsidRDefault="008E0205" w:rsidP="00045A5C">
      <w:pPr>
        <w:pStyle w:val="Heading2"/>
        <w:keepNext/>
        <w:widowControl/>
        <w:numPr>
          <w:ilvl w:val="1"/>
          <w:numId w:val="7"/>
        </w:numPr>
        <w:tabs>
          <w:tab w:val="clear" w:pos="0"/>
        </w:tabs>
        <w:rPr>
          <w:lang w:val="es-ES"/>
        </w:rPr>
      </w:pPr>
      <w:r>
        <w:rPr>
          <w:lang w:val="es-PE"/>
        </w:rPr>
        <w:t>En cuanto al quinto tramo de la etapa I del PGEH (ECU/SEV/85/TAS/73):</w:t>
      </w:r>
    </w:p>
    <w:p w14:paraId="2B6EED02" w14:textId="36B21A37" w:rsidR="008E0205" w:rsidRPr="00045A5C" w:rsidRDefault="00045A5C" w:rsidP="00045A5C">
      <w:pPr>
        <w:pStyle w:val="Heading3"/>
        <w:numPr>
          <w:ilvl w:val="2"/>
          <w:numId w:val="18"/>
        </w:numPr>
        <w:tabs>
          <w:tab w:val="clear" w:pos="0"/>
        </w:tabs>
        <w:rPr>
          <w:lang w:val="es-PE"/>
        </w:rPr>
      </w:pPr>
      <w:r>
        <w:rPr>
          <w:lang w:val="es-PE"/>
        </w:rPr>
        <w:t>P</w:t>
      </w:r>
      <w:r w:rsidR="008E0205" w:rsidRPr="00045A5C">
        <w:rPr>
          <w:lang w:val="es-PE"/>
        </w:rPr>
        <w:t xml:space="preserve">edir al PNUMA que, en la 87ª reunión, devuelva al Fondo Multilateral los fondos por valor de 10 000 $EUA, más gastos de apoyo del organismo de 1 300 $EUA; </w:t>
      </w:r>
    </w:p>
    <w:p w14:paraId="59872065" w14:textId="783C3C43" w:rsidR="008E0205" w:rsidRDefault="00045A5C" w:rsidP="00045A5C">
      <w:pPr>
        <w:pStyle w:val="Heading3"/>
        <w:numPr>
          <w:ilvl w:val="2"/>
          <w:numId w:val="7"/>
        </w:numPr>
        <w:tabs>
          <w:tab w:val="clear" w:pos="0"/>
        </w:tabs>
        <w:rPr>
          <w:lang w:val="es-ES"/>
        </w:rPr>
      </w:pPr>
      <w:r>
        <w:rPr>
          <w:lang w:val="es-PE"/>
        </w:rPr>
        <w:t>A</w:t>
      </w:r>
      <w:r w:rsidR="008E0205">
        <w:rPr>
          <w:lang w:val="es-PE"/>
        </w:rPr>
        <w:t>probar la transferencia a la ONUDI de los fondos por valor de 10 000 $EUA, más gastos de apoyo del organismo de 700 $EUA;</w:t>
      </w:r>
    </w:p>
    <w:p w14:paraId="2FF2A526" w14:textId="0B7CA2E5" w:rsidR="008E0205" w:rsidRDefault="008E0205" w:rsidP="00045A5C">
      <w:pPr>
        <w:pStyle w:val="Heading2"/>
        <w:keepNext/>
        <w:widowControl/>
        <w:numPr>
          <w:ilvl w:val="1"/>
          <w:numId w:val="7"/>
        </w:numPr>
        <w:tabs>
          <w:tab w:val="clear" w:pos="0"/>
        </w:tabs>
        <w:rPr>
          <w:lang w:val="es-ES"/>
        </w:rPr>
      </w:pPr>
      <w:r>
        <w:rPr>
          <w:lang w:val="es-PE"/>
        </w:rPr>
        <w:t>En cuanto al primer tramo de la etapa II del plan de gestión de la eliminación de los HCFC (ECU/SEV/86/TAS/74):</w:t>
      </w:r>
    </w:p>
    <w:p w14:paraId="0AB67036" w14:textId="18BAD722" w:rsidR="008E0205" w:rsidRPr="00045A5C" w:rsidRDefault="00045A5C" w:rsidP="00045A5C">
      <w:pPr>
        <w:pStyle w:val="Heading3"/>
        <w:numPr>
          <w:ilvl w:val="2"/>
          <w:numId w:val="20"/>
        </w:numPr>
        <w:tabs>
          <w:tab w:val="clear" w:pos="0"/>
        </w:tabs>
        <w:rPr>
          <w:lang w:val="es-PE"/>
        </w:rPr>
      </w:pPr>
      <w:r>
        <w:rPr>
          <w:lang w:val="es-PE"/>
        </w:rPr>
        <w:t>P</w:t>
      </w:r>
      <w:r w:rsidR="008E0205" w:rsidRPr="00045A5C">
        <w:rPr>
          <w:lang w:val="es-PE"/>
        </w:rPr>
        <w:t xml:space="preserve">edir al PNUMA que, en la 87ª reunión, devuelva al Fondo Multilateral los fondos por valor de 24 000 $EUA, más gastos de apoyo del organismo de 3 120 $EUA; </w:t>
      </w:r>
    </w:p>
    <w:p w14:paraId="13FB6D16" w14:textId="21C7927E" w:rsidR="008E0205" w:rsidRDefault="00045A5C" w:rsidP="00045A5C">
      <w:pPr>
        <w:pStyle w:val="Heading3"/>
        <w:numPr>
          <w:ilvl w:val="2"/>
          <w:numId w:val="7"/>
        </w:numPr>
        <w:tabs>
          <w:tab w:val="clear" w:pos="0"/>
        </w:tabs>
        <w:rPr>
          <w:lang w:val="es-ES"/>
        </w:rPr>
      </w:pPr>
      <w:r>
        <w:rPr>
          <w:lang w:val="es-PE"/>
        </w:rPr>
        <w:t>A</w:t>
      </w:r>
      <w:r w:rsidR="008E0205">
        <w:rPr>
          <w:lang w:val="es-PE"/>
        </w:rPr>
        <w:t>probar la transferencia a la ONUDI de los fondos por valor de 24 000 $EUA, más gastos de apoyo del organismo de 1 680 $EUA, y</w:t>
      </w:r>
    </w:p>
    <w:p w14:paraId="2F949193" w14:textId="3AB4745A" w:rsidR="008E0205" w:rsidRDefault="008E0205" w:rsidP="00045A5C">
      <w:pPr>
        <w:pStyle w:val="Heading2"/>
        <w:keepNext/>
        <w:widowControl/>
        <w:numPr>
          <w:ilvl w:val="1"/>
          <w:numId w:val="7"/>
        </w:numPr>
        <w:tabs>
          <w:tab w:val="clear" w:pos="0"/>
        </w:tabs>
        <w:rPr>
          <w:lang w:val="es-ES"/>
        </w:rPr>
      </w:pPr>
      <w:r>
        <w:rPr>
          <w:lang w:val="es-PE"/>
        </w:rPr>
        <w:t xml:space="preserve">Aprobar además la transferencia del PNUMA a la ONUDI de los fondos que ascienden a 71 000 $EUA, más gastos de apoyo del organismo de 4 970 $EUA, aprobados en principio, vinculados a los tramos segundo, tercero y cuarto de la etapa II del PGEH. </w:t>
      </w:r>
    </w:p>
    <w:p w14:paraId="71A19129" w14:textId="77777777" w:rsidR="008E0205" w:rsidRDefault="008E0205" w:rsidP="008E0205">
      <w:pPr>
        <w:pStyle w:val="StyleHeader4Para4Left0Firstline0"/>
        <w:numPr>
          <w:ilvl w:val="0"/>
          <w:numId w:val="0"/>
        </w:numPr>
        <w:jc w:val="left"/>
        <w:rPr>
          <w:b/>
          <w:sz w:val="22"/>
          <w:lang w:val="es-ES"/>
        </w:rPr>
      </w:pPr>
      <w:r>
        <w:rPr>
          <w:b/>
          <w:bCs/>
          <w:sz w:val="22"/>
          <w:lang w:val="es-PE"/>
        </w:rPr>
        <w:t>Informe sobre las actividades relacionadas con los HFC que requieren una prórroga de su fecha de terminación</w:t>
      </w:r>
    </w:p>
    <w:p w14:paraId="5E4ACD26" w14:textId="3985043A" w:rsidR="008E0205" w:rsidRPr="00045A5C" w:rsidRDefault="008E0205" w:rsidP="00045A5C">
      <w:pPr>
        <w:numPr>
          <w:ilvl w:val="0"/>
          <w:numId w:val="1"/>
        </w:numPr>
        <w:tabs>
          <w:tab w:val="clear" w:pos="0"/>
          <w:tab w:val="num" w:pos="710"/>
        </w:tabs>
        <w:spacing w:after="240"/>
        <w:outlineLvl w:val="0"/>
        <w:rPr>
          <w:lang w:val="es-PE"/>
        </w:rPr>
      </w:pPr>
      <w:r>
        <w:rPr>
          <w:lang w:val="es-PE"/>
        </w:rPr>
        <w:t>Durante el proceso de aprobación en el período entre sesiones, establecido para la 86ª reunión, el Comité Ejecutivo resolvió prestar asesoramiento a los organismos bilaterales y de ejecución para seguir prestando asistencia a todos los países que operan al amparo del artículo 5 en la ejecución de las actividades en curso, a la luz de las limitaciones impuestas por la pandemia de COVID-19, independientemente de sus fechas de terminación y, en la 87ª reunión, informar sobre las actividades específicas que requieren una prórroga de sus fechas de terminación (decisión 86/50).</w:t>
      </w:r>
    </w:p>
    <w:p w14:paraId="76AD235C" w14:textId="66693135" w:rsidR="008E0205" w:rsidRDefault="008E0205" w:rsidP="00045A5C">
      <w:pPr>
        <w:numPr>
          <w:ilvl w:val="0"/>
          <w:numId w:val="1"/>
        </w:numPr>
        <w:tabs>
          <w:tab w:val="clear" w:pos="0"/>
          <w:tab w:val="num" w:pos="710"/>
        </w:tabs>
        <w:spacing w:after="240"/>
        <w:outlineLvl w:val="0"/>
        <w:rPr>
          <w:lang w:val="es-ES"/>
        </w:rPr>
      </w:pPr>
      <w:r>
        <w:rPr>
          <w:lang w:val="es-PE"/>
        </w:rPr>
        <w:lastRenderedPageBreak/>
        <w:t>En respuesta a la decisión del Comité Ejecutivo, la Secretaría solicitó información a los organismos bilaterales y de ejecución sobre la situación de las actividades relacionadas con los HFC en curso con plazos concretos, y sobre el número de actividades para las cuales se solicitaría una prórroga de sus fechas de terminación. En el Cuadro 15 se resume la situación de la ejecución de las actividades relacionadas con los HFC; además, en el Anexo VII del presente documento se proporciona información detallada sobre los proyectos para los cuales se solicita una prórroga, junto con la fecha de terminación revisada propuesta y un breve resumen de las actividades que aún deberán ejecutarse.</w:t>
      </w:r>
    </w:p>
    <w:p w14:paraId="6B328A96" w14:textId="77777777" w:rsidR="008E0205" w:rsidRDefault="008E0205" w:rsidP="008E0205">
      <w:pPr>
        <w:rPr>
          <w:b/>
          <w:lang w:val="es-ES"/>
        </w:rPr>
      </w:pPr>
      <w:r>
        <w:rPr>
          <w:b/>
          <w:bCs/>
          <w:lang w:val="es-PE"/>
        </w:rPr>
        <w:t>Cuadro 15. Situación de la ejecución de las actividades relacionadas con los HFC.</w:t>
      </w:r>
    </w:p>
    <w:tbl>
      <w:tblPr>
        <w:tblStyle w:val="TableGrid"/>
        <w:tblW w:w="9351" w:type="dxa"/>
        <w:tblLook w:val="04A0" w:firstRow="1" w:lastRow="0" w:firstColumn="1" w:lastColumn="0" w:noHBand="0" w:noVBand="1"/>
      </w:tblPr>
      <w:tblGrid>
        <w:gridCol w:w="2547"/>
        <w:gridCol w:w="2268"/>
        <w:gridCol w:w="2268"/>
        <w:gridCol w:w="2268"/>
      </w:tblGrid>
      <w:tr w:rsidR="008E0205" w:rsidRPr="00305D02" w14:paraId="5EBF9BE3" w14:textId="77777777" w:rsidTr="00D17F84">
        <w:trPr>
          <w:tblHeader/>
        </w:trPr>
        <w:tc>
          <w:tcPr>
            <w:tcW w:w="2547" w:type="dxa"/>
            <w:tcBorders>
              <w:top w:val="single" w:sz="4" w:space="0" w:color="auto"/>
              <w:left w:val="single" w:sz="4" w:space="0" w:color="auto"/>
              <w:bottom w:val="single" w:sz="4" w:space="0" w:color="auto"/>
              <w:right w:val="single" w:sz="4" w:space="0" w:color="auto"/>
            </w:tcBorders>
            <w:vAlign w:val="center"/>
            <w:hideMark/>
          </w:tcPr>
          <w:p w14:paraId="0CFB9A9A" w14:textId="77777777" w:rsidR="008E0205" w:rsidRDefault="008E0205">
            <w:pPr>
              <w:jc w:val="center"/>
              <w:rPr>
                <w:b/>
                <w:sz w:val="20"/>
                <w:szCs w:val="20"/>
              </w:rPr>
            </w:pPr>
            <w:r>
              <w:rPr>
                <w:b/>
                <w:bCs/>
                <w:sz w:val="20"/>
                <w:szCs w:val="20"/>
                <w:lang w:val="es-PE"/>
              </w:rPr>
              <w:t>Organismo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6AE09" w14:textId="77777777" w:rsidR="008E0205" w:rsidRDefault="008E0205">
            <w:pPr>
              <w:jc w:val="center"/>
              <w:rPr>
                <w:b/>
                <w:sz w:val="20"/>
                <w:szCs w:val="20"/>
              </w:rPr>
            </w:pPr>
            <w:r>
              <w:rPr>
                <w:b/>
                <w:bCs/>
                <w:sz w:val="20"/>
                <w:szCs w:val="20"/>
                <w:lang w:val="es-PE"/>
              </w:rPr>
              <w:t>Núm. de proyectos aprobados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2F4991" w14:textId="77777777" w:rsidR="008E0205" w:rsidRDefault="008E0205">
            <w:pPr>
              <w:jc w:val="center"/>
              <w:rPr>
                <w:b/>
                <w:sz w:val="20"/>
                <w:szCs w:val="20"/>
              </w:rPr>
            </w:pPr>
            <w:r>
              <w:rPr>
                <w:b/>
                <w:bCs/>
                <w:sz w:val="20"/>
                <w:szCs w:val="20"/>
                <w:lang w:val="es-PE"/>
              </w:rPr>
              <w:t>Núm. de proyectos finalizados*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25FF4A" w14:textId="77777777" w:rsidR="008E0205" w:rsidRDefault="008E0205">
            <w:pPr>
              <w:jc w:val="center"/>
              <w:rPr>
                <w:b/>
                <w:sz w:val="20"/>
                <w:szCs w:val="20"/>
                <w:lang w:val="es-ES"/>
              </w:rPr>
            </w:pPr>
            <w:r>
              <w:rPr>
                <w:b/>
                <w:bCs/>
                <w:sz w:val="20"/>
                <w:szCs w:val="20"/>
                <w:lang w:val="es-PE"/>
              </w:rPr>
              <w:t>Núm. de proyectos con solicitud de prórroga</w:t>
            </w:r>
          </w:p>
        </w:tc>
      </w:tr>
      <w:tr w:rsidR="008E0205" w14:paraId="560BC3BA" w14:textId="77777777" w:rsidTr="008E0205">
        <w:tc>
          <w:tcPr>
            <w:tcW w:w="2547" w:type="dxa"/>
            <w:tcBorders>
              <w:top w:val="nil"/>
              <w:left w:val="single" w:sz="4" w:space="0" w:color="auto"/>
              <w:bottom w:val="single" w:sz="4" w:space="0" w:color="auto"/>
              <w:right w:val="single" w:sz="4" w:space="0" w:color="auto"/>
            </w:tcBorders>
            <w:vAlign w:val="bottom"/>
            <w:hideMark/>
          </w:tcPr>
          <w:p w14:paraId="77CC43C7" w14:textId="77777777" w:rsidR="008E0205" w:rsidRDefault="008E0205">
            <w:pPr>
              <w:rPr>
                <w:color w:val="000000"/>
                <w:sz w:val="20"/>
                <w:szCs w:val="20"/>
                <w:lang w:val="es-PE"/>
              </w:rPr>
            </w:pPr>
            <w:r>
              <w:rPr>
                <w:color w:val="000000"/>
                <w:sz w:val="20"/>
                <w:szCs w:val="20"/>
                <w:lang w:val="es-PE"/>
              </w:rPr>
              <w:t>Alemania</w:t>
            </w:r>
          </w:p>
        </w:tc>
        <w:tc>
          <w:tcPr>
            <w:tcW w:w="2268" w:type="dxa"/>
            <w:tcBorders>
              <w:top w:val="nil"/>
              <w:left w:val="single" w:sz="4" w:space="0" w:color="auto"/>
              <w:bottom w:val="single" w:sz="4" w:space="0" w:color="auto"/>
              <w:right w:val="single" w:sz="4" w:space="0" w:color="auto"/>
            </w:tcBorders>
            <w:hideMark/>
          </w:tcPr>
          <w:p w14:paraId="72513435" w14:textId="77777777" w:rsidR="008E0205" w:rsidRDefault="008E0205">
            <w:pPr>
              <w:tabs>
                <w:tab w:val="left" w:pos="1213"/>
              </w:tabs>
              <w:ind w:right="845"/>
              <w:jc w:val="right"/>
              <w:rPr>
                <w:sz w:val="20"/>
                <w:szCs w:val="20"/>
                <w:lang w:val="es-PE"/>
              </w:rPr>
            </w:pPr>
            <w:r>
              <w:rPr>
                <w:sz w:val="20"/>
                <w:szCs w:val="20"/>
                <w:lang w:val="es-PE"/>
              </w:rPr>
              <w:t>3</w:t>
            </w:r>
          </w:p>
        </w:tc>
        <w:tc>
          <w:tcPr>
            <w:tcW w:w="2268" w:type="dxa"/>
            <w:tcBorders>
              <w:top w:val="nil"/>
              <w:left w:val="single" w:sz="4" w:space="0" w:color="auto"/>
              <w:bottom w:val="single" w:sz="4" w:space="0" w:color="auto"/>
              <w:right w:val="single" w:sz="4" w:space="0" w:color="auto"/>
            </w:tcBorders>
            <w:hideMark/>
          </w:tcPr>
          <w:p w14:paraId="304CCC77" w14:textId="77777777" w:rsidR="008E0205" w:rsidRDefault="008E0205">
            <w:pPr>
              <w:ind w:right="947"/>
              <w:jc w:val="right"/>
              <w:rPr>
                <w:sz w:val="20"/>
                <w:szCs w:val="20"/>
                <w:lang w:val="es-PE"/>
              </w:rPr>
            </w:pPr>
            <w:r>
              <w:rPr>
                <w:sz w:val="20"/>
                <w:szCs w:val="20"/>
                <w:lang w:val="es-PE"/>
              </w:rPr>
              <w:t>0</w:t>
            </w:r>
          </w:p>
        </w:tc>
        <w:tc>
          <w:tcPr>
            <w:tcW w:w="2268" w:type="dxa"/>
            <w:tcBorders>
              <w:top w:val="single" w:sz="4" w:space="0" w:color="auto"/>
              <w:left w:val="nil"/>
              <w:bottom w:val="single" w:sz="4" w:space="0" w:color="auto"/>
              <w:right w:val="single" w:sz="4" w:space="0" w:color="auto"/>
            </w:tcBorders>
            <w:hideMark/>
          </w:tcPr>
          <w:p w14:paraId="0D4CCAC6" w14:textId="77777777" w:rsidR="008E0205" w:rsidRDefault="008E0205">
            <w:pPr>
              <w:ind w:right="879"/>
              <w:jc w:val="right"/>
              <w:rPr>
                <w:sz w:val="20"/>
                <w:szCs w:val="20"/>
                <w:lang w:val="es-PE"/>
              </w:rPr>
            </w:pPr>
            <w:r>
              <w:rPr>
                <w:sz w:val="20"/>
                <w:szCs w:val="20"/>
                <w:lang w:val="es-PE"/>
              </w:rPr>
              <w:t>3</w:t>
            </w:r>
          </w:p>
        </w:tc>
      </w:tr>
      <w:tr w:rsidR="008E0205" w14:paraId="49587C63" w14:textId="77777777" w:rsidTr="008E0205">
        <w:tc>
          <w:tcPr>
            <w:tcW w:w="2547" w:type="dxa"/>
            <w:tcBorders>
              <w:top w:val="nil"/>
              <w:left w:val="single" w:sz="4" w:space="0" w:color="auto"/>
              <w:bottom w:val="single" w:sz="4" w:space="0" w:color="auto"/>
              <w:right w:val="single" w:sz="4" w:space="0" w:color="auto"/>
            </w:tcBorders>
            <w:vAlign w:val="bottom"/>
            <w:hideMark/>
          </w:tcPr>
          <w:p w14:paraId="1C60A072" w14:textId="77777777" w:rsidR="008E0205" w:rsidRDefault="008E0205">
            <w:pPr>
              <w:rPr>
                <w:color w:val="000000"/>
                <w:sz w:val="20"/>
                <w:szCs w:val="20"/>
              </w:rPr>
            </w:pPr>
            <w:r>
              <w:rPr>
                <w:color w:val="000000"/>
                <w:sz w:val="20"/>
                <w:szCs w:val="20"/>
                <w:lang w:val="es-PE"/>
              </w:rPr>
              <w:t>Canadá</w:t>
            </w:r>
          </w:p>
        </w:tc>
        <w:tc>
          <w:tcPr>
            <w:tcW w:w="2268" w:type="dxa"/>
            <w:tcBorders>
              <w:top w:val="nil"/>
              <w:left w:val="single" w:sz="4" w:space="0" w:color="auto"/>
              <w:bottom w:val="single" w:sz="4" w:space="0" w:color="auto"/>
              <w:right w:val="single" w:sz="4" w:space="0" w:color="auto"/>
            </w:tcBorders>
            <w:hideMark/>
          </w:tcPr>
          <w:p w14:paraId="41F80224" w14:textId="77777777" w:rsidR="008E0205" w:rsidRDefault="008E0205">
            <w:pPr>
              <w:tabs>
                <w:tab w:val="left" w:pos="1213"/>
              </w:tabs>
              <w:ind w:right="845"/>
              <w:jc w:val="right"/>
              <w:rPr>
                <w:color w:val="000000"/>
                <w:sz w:val="20"/>
                <w:szCs w:val="20"/>
              </w:rPr>
            </w:pPr>
            <w:r>
              <w:rPr>
                <w:sz w:val="20"/>
                <w:szCs w:val="20"/>
                <w:lang w:val="es-PE"/>
              </w:rPr>
              <w:t>7</w:t>
            </w:r>
          </w:p>
        </w:tc>
        <w:tc>
          <w:tcPr>
            <w:tcW w:w="2268" w:type="dxa"/>
            <w:tcBorders>
              <w:top w:val="nil"/>
              <w:left w:val="single" w:sz="4" w:space="0" w:color="auto"/>
              <w:bottom w:val="single" w:sz="4" w:space="0" w:color="auto"/>
              <w:right w:val="single" w:sz="4" w:space="0" w:color="auto"/>
            </w:tcBorders>
            <w:hideMark/>
          </w:tcPr>
          <w:p w14:paraId="6276F8EA" w14:textId="77777777" w:rsidR="008E0205" w:rsidRDefault="008E0205">
            <w:pPr>
              <w:ind w:right="947"/>
              <w:jc w:val="right"/>
              <w:rPr>
                <w:color w:val="000000"/>
                <w:sz w:val="20"/>
                <w:szCs w:val="20"/>
              </w:rPr>
            </w:pPr>
            <w:r>
              <w:rPr>
                <w:sz w:val="20"/>
                <w:szCs w:val="20"/>
                <w:lang w:val="es-PE"/>
              </w:rPr>
              <w:t>3</w:t>
            </w:r>
          </w:p>
        </w:tc>
        <w:tc>
          <w:tcPr>
            <w:tcW w:w="2268" w:type="dxa"/>
            <w:tcBorders>
              <w:top w:val="single" w:sz="4" w:space="0" w:color="auto"/>
              <w:left w:val="nil"/>
              <w:bottom w:val="single" w:sz="4" w:space="0" w:color="auto"/>
              <w:right w:val="single" w:sz="4" w:space="0" w:color="auto"/>
            </w:tcBorders>
            <w:hideMark/>
          </w:tcPr>
          <w:p w14:paraId="0938210C" w14:textId="77777777" w:rsidR="008E0205" w:rsidRDefault="008E0205">
            <w:pPr>
              <w:ind w:right="879"/>
              <w:jc w:val="right"/>
              <w:rPr>
                <w:color w:val="000000"/>
                <w:sz w:val="20"/>
                <w:szCs w:val="20"/>
              </w:rPr>
            </w:pPr>
            <w:r>
              <w:rPr>
                <w:sz w:val="20"/>
                <w:szCs w:val="20"/>
                <w:lang w:val="es-PE"/>
              </w:rPr>
              <w:t>4</w:t>
            </w:r>
          </w:p>
        </w:tc>
      </w:tr>
      <w:tr w:rsidR="008E0205" w14:paraId="3D08DD6D" w14:textId="77777777" w:rsidTr="008E0205">
        <w:tc>
          <w:tcPr>
            <w:tcW w:w="2547" w:type="dxa"/>
            <w:tcBorders>
              <w:top w:val="nil"/>
              <w:left w:val="single" w:sz="4" w:space="0" w:color="auto"/>
              <w:bottom w:val="single" w:sz="4" w:space="0" w:color="auto"/>
              <w:right w:val="single" w:sz="4" w:space="0" w:color="auto"/>
            </w:tcBorders>
            <w:vAlign w:val="bottom"/>
            <w:hideMark/>
          </w:tcPr>
          <w:p w14:paraId="62A8B030" w14:textId="77777777" w:rsidR="008E0205" w:rsidRDefault="008E0205">
            <w:pPr>
              <w:rPr>
                <w:color w:val="000000"/>
                <w:sz w:val="20"/>
                <w:szCs w:val="20"/>
              </w:rPr>
            </w:pPr>
            <w:r>
              <w:rPr>
                <w:color w:val="000000"/>
                <w:sz w:val="20"/>
                <w:szCs w:val="20"/>
                <w:lang w:val="es-PE"/>
              </w:rPr>
              <w:t>Francia</w:t>
            </w:r>
          </w:p>
        </w:tc>
        <w:tc>
          <w:tcPr>
            <w:tcW w:w="2268" w:type="dxa"/>
            <w:tcBorders>
              <w:top w:val="nil"/>
              <w:left w:val="single" w:sz="4" w:space="0" w:color="auto"/>
              <w:bottom w:val="single" w:sz="4" w:space="0" w:color="auto"/>
              <w:right w:val="single" w:sz="4" w:space="0" w:color="auto"/>
            </w:tcBorders>
            <w:hideMark/>
          </w:tcPr>
          <w:p w14:paraId="7C7C138D" w14:textId="77777777" w:rsidR="008E0205" w:rsidRDefault="008E0205">
            <w:pPr>
              <w:tabs>
                <w:tab w:val="left" w:pos="1213"/>
              </w:tabs>
              <w:ind w:right="845"/>
              <w:jc w:val="right"/>
              <w:rPr>
                <w:color w:val="000000"/>
                <w:sz w:val="20"/>
                <w:szCs w:val="20"/>
              </w:rPr>
            </w:pPr>
            <w:r>
              <w:rPr>
                <w:sz w:val="20"/>
                <w:szCs w:val="20"/>
                <w:lang w:val="es-PE"/>
              </w:rPr>
              <w:t>1</w:t>
            </w:r>
          </w:p>
        </w:tc>
        <w:tc>
          <w:tcPr>
            <w:tcW w:w="2268" w:type="dxa"/>
            <w:tcBorders>
              <w:top w:val="nil"/>
              <w:left w:val="single" w:sz="4" w:space="0" w:color="auto"/>
              <w:bottom w:val="single" w:sz="4" w:space="0" w:color="auto"/>
              <w:right w:val="single" w:sz="4" w:space="0" w:color="auto"/>
            </w:tcBorders>
            <w:hideMark/>
          </w:tcPr>
          <w:p w14:paraId="3F06FA90" w14:textId="77777777" w:rsidR="008E0205" w:rsidRDefault="008E0205">
            <w:pPr>
              <w:ind w:right="947"/>
              <w:jc w:val="right"/>
              <w:rPr>
                <w:color w:val="000000"/>
                <w:sz w:val="20"/>
                <w:szCs w:val="20"/>
              </w:rPr>
            </w:pPr>
            <w:r>
              <w:rPr>
                <w:sz w:val="20"/>
                <w:szCs w:val="20"/>
                <w:lang w:val="es-PE"/>
              </w:rPr>
              <w:t>0</w:t>
            </w:r>
          </w:p>
        </w:tc>
        <w:tc>
          <w:tcPr>
            <w:tcW w:w="2268" w:type="dxa"/>
            <w:tcBorders>
              <w:top w:val="single" w:sz="4" w:space="0" w:color="auto"/>
              <w:left w:val="nil"/>
              <w:bottom w:val="single" w:sz="4" w:space="0" w:color="auto"/>
              <w:right w:val="single" w:sz="4" w:space="0" w:color="auto"/>
            </w:tcBorders>
            <w:hideMark/>
          </w:tcPr>
          <w:p w14:paraId="09C74759" w14:textId="77777777" w:rsidR="008E0205" w:rsidRDefault="008E0205">
            <w:pPr>
              <w:ind w:right="879"/>
              <w:jc w:val="right"/>
              <w:rPr>
                <w:color w:val="000000"/>
                <w:sz w:val="20"/>
                <w:szCs w:val="20"/>
              </w:rPr>
            </w:pPr>
            <w:r>
              <w:rPr>
                <w:sz w:val="20"/>
                <w:szCs w:val="20"/>
                <w:lang w:val="es-PE"/>
              </w:rPr>
              <w:t>1</w:t>
            </w:r>
          </w:p>
        </w:tc>
      </w:tr>
      <w:tr w:rsidR="008E0205" w14:paraId="14730AE3" w14:textId="77777777" w:rsidTr="008E0205">
        <w:tc>
          <w:tcPr>
            <w:tcW w:w="2547" w:type="dxa"/>
            <w:tcBorders>
              <w:top w:val="nil"/>
              <w:left w:val="single" w:sz="4" w:space="0" w:color="auto"/>
              <w:bottom w:val="single" w:sz="4" w:space="0" w:color="auto"/>
              <w:right w:val="single" w:sz="4" w:space="0" w:color="auto"/>
            </w:tcBorders>
            <w:vAlign w:val="bottom"/>
            <w:hideMark/>
          </w:tcPr>
          <w:p w14:paraId="18236C00" w14:textId="77777777" w:rsidR="008E0205" w:rsidRDefault="008E0205">
            <w:pPr>
              <w:rPr>
                <w:color w:val="000000"/>
                <w:sz w:val="20"/>
                <w:szCs w:val="20"/>
              </w:rPr>
            </w:pPr>
            <w:r>
              <w:rPr>
                <w:color w:val="000000"/>
                <w:sz w:val="20"/>
                <w:szCs w:val="20"/>
                <w:lang w:val="es-PE"/>
              </w:rPr>
              <w:t>Italia</w:t>
            </w:r>
          </w:p>
        </w:tc>
        <w:tc>
          <w:tcPr>
            <w:tcW w:w="2268" w:type="dxa"/>
            <w:tcBorders>
              <w:top w:val="nil"/>
              <w:left w:val="single" w:sz="4" w:space="0" w:color="auto"/>
              <w:bottom w:val="single" w:sz="4" w:space="0" w:color="auto"/>
              <w:right w:val="single" w:sz="4" w:space="0" w:color="auto"/>
            </w:tcBorders>
            <w:hideMark/>
          </w:tcPr>
          <w:p w14:paraId="21F307D4" w14:textId="77777777" w:rsidR="008E0205" w:rsidRDefault="008E0205">
            <w:pPr>
              <w:tabs>
                <w:tab w:val="left" w:pos="1213"/>
              </w:tabs>
              <w:ind w:right="845"/>
              <w:jc w:val="right"/>
              <w:rPr>
                <w:color w:val="000000"/>
                <w:sz w:val="20"/>
                <w:szCs w:val="20"/>
              </w:rPr>
            </w:pPr>
            <w:r>
              <w:rPr>
                <w:sz w:val="20"/>
                <w:szCs w:val="20"/>
                <w:lang w:val="es-PE"/>
              </w:rPr>
              <w:t>4</w:t>
            </w:r>
          </w:p>
        </w:tc>
        <w:tc>
          <w:tcPr>
            <w:tcW w:w="2268" w:type="dxa"/>
            <w:tcBorders>
              <w:top w:val="nil"/>
              <w:left w:val="single" w:sz="4" w:space="0" w:color="auto"/>
              <w:bottom w:val="single" w:sz="4" w:space="0" w:color="auto"/>
              <w:right w:val="single" w:sz="4" w:space="0" w:color="auto"/>
            </w:tcBorders>
            <w:hideMark/>
          </w:tcPr>
          <w:p w14:paraId="038022F7" w14:textId="77777777" w:rsidR="008E0205" w:rsidRDefault="008E0205">
            <w:pPr>
              <w:ind w:right="947"/>
              <w:jc w:val="right"/>
              <w:rPr>
                <w:color w:val="000000"/>
                <w:sz w:val="20"/>
                <w:szCs w:val="20"/>
              </w:rPr>
            </w:pPr>
            <w:r>
              <w:rPr>
                <w:sz w:val="20"/>
                <w:szCs w:val="20"/>
                <w:lang w:val="es-PE"/>
              </w:rPr>
              <w:t>3</w:t>
            </w:r>
          </w:p>
        </w:tc>
        <w:tc>
          <w:tcPr>
            <w:tcW w:w="2268" w:type="dxa"/>
            <w:tcBorders>
              <w:top w:val="single" w:sz="4" w:space="0" w:color="auto"/>
              <w:left w:val="nil"/>
              <w:bottom w:val="single" w:sz="4" w:space="0" w:color="auto"/>
              <w:right w:val="single" w:sz="4" w:space="0" w:color="auto"/>
            </w:tcBorders>
            <w:hideMark/>
          </w:tcPr>
          <w:p w14:paraId="65CA1420" w14:textId="77777777" w:rsidR="008E0205" w:rsidRDefault="008E0205">
            <w:pPr>
              <w:ind w:right="879"/>
              <w:jc w:val="right"/>
              <w:rPr>
                <w:color w:val="000000"/>
                <w:sz w:val="20"/>
                <w:szCs w:val="20"/>
              </w:rPr>
            </w:pPr>
            <w:r>
              <w:rPr>
                <w:sz w:val="20"/>
                <w:szCs w:val="20"/>
                <w:lang w:val="es-PE"/>
              </w:rPr>
              <w:t>1</w:t>
            </w:r>
          </w:p>
        </w:tc>
      </w:tr>
      <w:tr w:rsidR="008E0205" w14:paraId="373C0C72" w14:textId="77777777" w:rsidTr="008E0205">
        <w:tc>
          <w:tcPr>
            <w:tcW w:w="2547" w:type="dxa"/>
            <w:tcBorders>
              <w:top w:val="nil"/>
              <w:left w:val="single" w:sz="4" w:space="0" w:color="auto"/>
              <w:bottom w:val="single" w:sz="4" w:space="0" w:color="auto"/>
              <w:right w:val="single" w:sz="4" w:space="0" w:color="auto"/>
            </w:tcBorders>
            <w:vAlign w:val="bottom"/>
            <w:hideMark/>
          </w:tcPr>
          <w:p w14:paraId="1C75523A" w14:textId="77777777" w:rsidR="008E0205" w:rsidRDefault="008E0205">
            <w:pPr>
              <w:rPr>
                <w:color w:val="000000"/>
                <w:sz w:val="20"/>
                <w:szCs w:val="20"/>
              </w:rPr>
            </w:pPr>
            <w:r>
              <w:rPr>
                <w:color w:val="000000"/>
                <w:sz w:val="20"/>
                <w:szCs w:val="20"/>
                <w:lang w:val="es-PE"/>
              </w:rPr>
              <w:t>PNUD</w:t>
            </w:r>
          </w:p>
        </w:tc>
        <w:tc>
          <w:tcPr>
            <w:tcW w:w="2268" w:type="dxa"/>
            <w:tcBorders>
              <w:top w:val="nil"/>
              <w:left w:val="single" w:sz="4" w:space="0" w:color="auto"/>
              <w:bottom w:val="single" w:sz="4" w:space="0" w:color="auto"/>
              <w:right w:val="single" w:sz="4" w:space="0" w:color="auto"/>
            </w:tcBorders>
            <w:hideMark/>
          </w:tcPr>
          <w:p w14:paraId="5BE0318B" w14:textId="77777777" w:rsidR="008E0205" w:rsidRDefault="008E0205">
            <w:pPr>
              <w:tabs>
                <w:tab w:val="left" w:pos="1213"/>
              </w:tabs>
              <w:ind w:right="845"/>
              <w:jc w:val="right"/>
              <w:rPr>
                <w:color w:val="000000"/>
                <w:sz w:val="20"/>
                <w:szCs w:val="20"/>
              </w:rPr>
            </w:pPr>
            <w:r>
              <w:rPr>
                <w:sz w:val="20"/>
                <w:szCs w:val="20"/>
                <w:lang w:val="es-PE"/>
              </w:rPr>
              <w:t>24</w:t>
            </w:r>
          </w:p>
        </w:tc>
        <w:tc>
          <w:tcPr>
            <w:tcW w:w="2268" w:type="dxa"/>
            <w:tcBorders>
              <w:top w:val="nil"/>
              <w:left w:val="single" w:sz="4" w:space="0" w:color="auto"/>
              <w:bottom w:val="single" w:sz="4" w:space="0" w:color="auto"/>
              <w:right w:val="single" w:sz="4" w:space="0" w:color="auto"/>
            </w:tcBorders>
            <w:hideMark/>
          </w:tcPr>
          <w:p w14:paraId="42D97D5C" w14:textId="77777777" w:rsidR="008E0205" w:rsidRDefault="008E0205">
            <w:pPr>
              <w:ind w:right="947"/>
              <w:jc w:val="right"/>
              <w:rPr>
                <w:color w:val="000000"/>
                <w:sz w:val="20"/>
                <w:szCs w:val="20"/>
              </w:rPr>
            </w:pPr>
            <w:r>
              <w:rPr>
                <w:sz w:val="20"/>
                <w:szCs w:val="20"/>
                <w:lang w:val="es-PE"/>
              </w:rPr>
              <w:t>11</w:t>
            </w:r>
          </w:p>
        </w:tc>
        <w:tc>
          <w:tcPr>
            <w:tcW w:w="2268" w:type="dxa"/>
            <w:tcBorders>
              <w:top w:val="single" w:sz="4" w:space="0" w:color="auto"/>
              <w:left w:val="nil"/>
              <w:bottom w:val="single" w:sz="4" w:space="0" w:color="auto"/>
              <w:right w:val="single" w:sz="4" w:space="0" w:color="auto"/>
            </w:tcBorders>
            <w:hideMark/>
          </w:tcPr>
          <w:p w14:paraId="2CAB006C" w14:textId="77777777" w:rsidR="008E0205" w:rsidRDefault="008E0205">
            <w:pPr>
              <w:ind w:right="879"/>
              <w:jc w:val="right"/>
              <w:rPr>
                <w:color w:val="000000"/>
                <w:sz w:val="20"/>
                <w:szCs w:val="20"/>
              </w:rPr>
            </w:pPr>
            <w:r>
              <w:rPr>
                <w:sz w:val="20"/>
                <w:szCs w:val="20"/>
                <w:lang w:val="es-PE"/>
              </w:rPr>
              <w:t>13</w:t>
            </w:r>
          </w:p>
        </w:tc>
      </w:tr>
      <w:tr w:rsidR="008E0205" w14:paraId="4E7E1262" w14:textId="77777777" w:rsidTr="008E0205">
        <w:tc>
          <w:tcPr>
            <w:tcW w:w="2547" w:type="dxa"/>
            <w:tcBorders>
              <w:top w:val="single" w:sz="4" w:space="0" w:color="auto"/>
              <w:left w:val="single" w:sz="4" w:space="0" w:color="auto"/>
              <w:bottom w:val="single" w:sz="4" w:space="0" w:color="auto"/>
              <w:right w:val="single" w:sz="4" w:space="0" w:color="auto"/>
            </w:tcBorders>
            <w:vAlign w:val="bottom"/>
            <w:hideMark/>
          </w:tcPr>
          <w:p w14:paraId="15B649C2" w14:textId="77777777" w:rsidR="008E0205" w:rsidRDefault="008E0205">
            <w:pPr>
              <w:jc w:val="left"/>
              <w:rPr>
                <w:color w:val="000000"/>
                <w:sz w:val="20"/>
                <w:szCs w:val="20"/>
              </w:rPr>
            </w:pPr>
            <w:r>
              <w:rPr>
                <w:color w:val="000000"/>
                <w:sz w:val="20"/>
                <w:szCs w:val="20"/>
                <w:lang w:val="es-PE"/>
              </w:rPr>
              <w:t>PNUMA</w:t>
            </w:r>
          </w:p>
        </w:tc>
        <w:tc>
          <w:tcPr>
            <w:tcW w:w="2268" w:type="dxa"/>
            <w:tcBorders>
              <w:top w:val="single" w:sz="4" w:space="0" w:color="auto"/>
              <w:left w:val="single" w:sz="4" w:space="0" w:color="auto"/>
              <w:bottom w:val="single" w:sz="4" w:space="0" w:color="auto"/>
              <w:right w:val="single" w:sz="4" w:space="0" w:color="auto"/>
            </w:tcBorders>
            <w:hideMark/>
          </w:tcPr>
          <w:p w14:paraId="0D3850E0" w14:textId="77777777" w:rsidR="008E0205" w:rsidRDefault="008E0205">
            <w:pPr>
              <w:tabs>
                <w:tab w:val="left" w:pos="1213"/>
              </w:tabs>
              <w:ind w:right="845"/>
              <w:jc w:val="right"/>
              <w:rPr>
                <w:color w:val="000000"/>
                <w:sz w:val="20"/>
                <w:szCs w:val="20"/>
              </w:rPr>
            </w:pPr>
            <w:r>
              <w:rPr>
                <w:sz w:val="20"/>
                <w:szCs w:val="20"/>
                <w:lang w:val="es-PE"/>
              </w:rPr>
              <w:t>92</w:t>
            </w:r>
          </w:p>
        </w:tc>
        <w:tc>
          <w:tcPr>
            <w:tcW w:w="2268" w:type="dxa"/>
            <w:tcBorders>
              <w:top w:val="single" w:sz="4" w:space="0" w:color="auto"/>
              <w:left w:val="single" w:sz="4" w:space="0" w:color="auto"/>
              <w:bottom w:val="single" w:sz="4" w:space="0" w:color="auto"/>
              <w:right w:val="single" w:sz="4" w:space="0" w:color="auto"/>
            </w:tcBorders>
            <w:hideMark/>
          </w:tcPr>
          <w:p w14:paraId="44835A19" w14:textId="77777777" w:rsidR="008E0205" w:rsidRDefault="008E0205">
            <w:pPr>
              <w:ind w:right="947"/>
              <w:jc w:val="right"/>
              <w:rPr>
                <w:color w:val="000000"/>
                <w:sz w:val="20"/>
                <w:szCs w:val="20"/>
              </w:rPr>
            </w:pPr>
            <w:r>
              <w:rPr>
                <w:sz w:val="20"/>
                <w:szCs w:val="20"/>
                <w:lang w:val="es-PE"/>
              </w:rPr>
              <w:t>22</w:t>
            </w:r>
          </w:p>
        </w:tc>
        <w:tc>
          <w:tcPr>
            <w:tcW w:w="2268" w:type="dxa"/>
            <w:tcBorders>
              <w:top w:val="single" w:sz="4" w:space="0" w:color="auto"/>
              <w:left w:val="nil"/>
              <w:bottom w:val="single" w:sz="4" w:space="0" w:color="auto"/>
              <w:right w:val="single" w:sz="4" w:space="0" w:color="auto"/>
            </w:tcBorders>
            <w:hideMark/>
          </w:tcPr>
          <w:p w14:paraId="7E2437D0" w14:textId="77777777" w:rsidR="008E0205" w:rsidRDefault="008E0205">
            <w:pPr>
              <w:ind w:right="879"/>
              <w:jc w:val="right"/>
              <w:rPr>
                <w:color w:val="000000"/>
                <w:sz w:val="20"/>
                <w:szCs w:val="20"/>
              </w:rPr>
            </w:pPr>
            <w:r>
              <w:rPr>
                <w:sz w:val="20"/>
                <w:szCs w:val="20"/>
                <w:lang w:val="es-PE"/>
              </w:rPr>
              <w:t>70</w:t>
            </w:r>
          </w:p>
        </w:tc>
      </w:tr>
      <w:tr w:rsidR="008E0205" w14:paraId="63CF8946" w14:textId="77777777" w:rsidTr="008E0205">
        <w:tc>
          <w:tcPr>
            <w:tcW w:w="2547" w:type="dxa"/>
            <w:tcBorders>
              <w:top w:val="nil"/>
              <w:left w:val="single" w:sz="4" w:space="0" w:color="auto"/>
              <w:bottom w:val="single" w:sz="4" w:space="0" w:color="auto"/>
              <w:right w:val="single" w:sz="4" w:space="0" w:color="auto"/>
            </w:tcBorders>
            <w:vAlign w:val="bottom"/>
            <w:hideMark/>
          </w:tcPr>
          <w:p w14:paraId="55942220" w14:textId="77777777" w:rsidR="008E0205" w:rsidRDefault="008E0205">
            <w:pPr>
              <w:rPr>
                <w:color w:val="000000"/>
                <w:sz w:val="20"/>
                <w:szCs w:val="20"/>
              </w:rPr>
            </w:pPr>
            <w:r>
              <w:rPr>
                <w:color w:val="000000"/>
                <w:sz w:val="20"/>
                <w:szCs w:val="20"/>
                <w:lang w:val="es-PE"/>
              </w:rPr>
              <w:t>ONUDI</w:t>
            </w:r>
          </w:p>
        </w:tc>
        <w:tc>
          <w:tcPr>
            <w:tcW w:w="2268" w:type="dxa"/>
            <w:tcBorders>
              <w:top w:val="nil"/>
              <w:left w:val="single" w:sz="4" w:space="0" w:color="auto"/>
              <w:bottom w:val="single" w:sz="4" w:space="0" w:color="auto"/>
              <w:right w:val="single" w:sz="4" w:space="0" w:color="auto"/>
            </w:tcBorders>
            <w:hideMark/>
          </w:tcPr>
          <w:p w14:paraId="2EEE0E60" w14:textId="77777777" w:rsidR="008E0205" w:rsidRDefault="008E0205">
            <w:pPr>
              <w:tabs>
                <w:tab w:val="left" w:pos="1213"/>
              </w:tabs>
              <w:ind w:right="845"/>
              <w:jc w:val="right"/>
              <w:rPr>
                <w:color w:val="000000"/>
                <w:sz w:val="20"/>
                <w:szCs w:val="20"/>
              </w:rPr>
            </w:pPr>
            <w:r>
              <w:rPr>
                <w:sz w:val="20"/>
                <w:szCs w:val="20"/>
                <w:lang w:val="es-PE"/>
              </w:rPr>
              <w:t>35</w:t>
            </w:r>
          </w:p>
        </w:tc>
        <w:tc>
          <w:tcPr>
            <w:tcW w:w="2268" w:type="dxa"/>
            <w:tcBorders>
              <w:top w:val="nil"/>
              <w:left w:val="single" w:sz="4" w:space="0" w:color="auto"/>
              <w:bottom w:val="single" w:sz="4" w:space="0" w:color="auto"/>
              <w:right w:val="single" w:sz="4" w:space="0" w:color="auto"/>
            </w:tcBorders>
            <w:hideMark/>
          </w:tcPr>
          <w:p w14:paraId="7DAA502A" w14:textId="77777777" w:rsidR="008E0205" w:rsidRDefault="008E0205">
            <w:pPr>
              <w:ind w:right="947"/>
              <w:jc w:val="right"/>
              <w:rPr>
                <w:color w:val="000000"/>
                <w:sz w:val="20"/>
                <w:szCs w:val="20"/>
              </w:rPr>
            </w:pPr>
            <w:r>
              <w:rPr>
                <w:sz w:val="20"/>
                <w:szCs w:val="20"/>
                <w:lang w:val="es-PE"/>
              </w:rPr>
              <w:t>18</w:t>
            </w:r>
          </w:p>
        </w:tc>
        <w:tc>
          <w:tcPr>
            <w:tcW w:w="2268" w:type="dxa"/>
            <w:tcBorders>
              <w:top w:val="single" w:sz="4" w:space="0" w:color="auto"/>
              <w:left w:val="nil"/>
              <w:bottom w:val="single" w:sz="4" w:space="0" w:color="auto"/>
              <w:right w:val="single" w:sz="4" w:space="0" w:color="auto"/>
            </w:tcBorders>
            <w:hideMark/>
          </w:tcPr>
          <w:p w14:paraId="09D24C8E" w14:textId="77777777" w:rsidR="008E0205" w:rsidRDefault="008E0205">
            <w:pPr>
              <w:ind w:right="879"/>
              <w:jc w:val="right"/>
              <w:rPr>
                <w:color w:val="000000"/>
                <w:sz w:val="20"/>
                <w:szCs w:val="20"/>
              </w:rPr>
            </w:pPr>
            <w:r>
              <w:rPr>
                <w:sz w:val="20"/>
                <w:szCs w:val="20"/>
                <w:lang w:val="es-PE"/>
              </w:rPr>
              <w:t>17</w:t>
            </w:r>
          </w:p>
        </w:tc>
      </w:tr>
      <w:tr w:rsidR="008E0205" w14:paraId="6ADA7808" w14:textId="77777777" w:rsidTr="008E0205">
        <w:tc>
          <w:tcPr>
            <w:tcW w:w="2547" w:type="dxa"/>
            <w:tcBorders>
              <w:top w:val="nil"/>
              <w:left w:val="single" w:sz="4" w:space="0" w:color="auto"/>
              <w:bottom w:val="single" w:sz="4" w:space="0" w:color="auto"/>
              <w:right w:val="single" w:sz="4" w:space="0" w:color="auto"/>
            </w:tcBorders>
            <w:vAlign w:val="bottom"/>
            <w:hideMark/>
          </w:tcPr>
          <w:p w14:paraId="2BD22A48" w14:textId="77777777" w:rsidR="008E0205" w:rsidRDefault="008E0205">
            <w:pPr>
              <w:rPr>
                <w:color w:val="000000"/>
                <w:sz w:val="20"/>
                <w:szCs w:val="20"/>
              </w:rPr>
            </w:pPr>
            <w:r>
              <w:rPr>
                <w:color w:val="000000"/>
                <w:sz w:val="20"/>
                <w:szCs w:val="20"/>
                <w:lang w:val="es-PE"/>
              </w:rPr>
              <w:t>Banco Mundial</w:t>
            </w:r>
          </w:p>
        </w:tc>
        <w:tc>
          <w:tcPr>
            <w:tcW w:w="2268" w:type="dxa"/>
            <w:tcBorders>
              <w:top w:val="nil"/>
              <w:left w:val="single" w:sz="4" w:space="0" w:color="auto"/>
              <w:bottom w:val="single" w:sz="4" w:space="0" w:color="auto"/>
              <w:right w:val="single" w:sz="4" w:space="0" w:color="auto"/>
            </w:tcBorders>
            <w:hideMark/>
          </w:tcPr>
          <w:p w14:paraId="38ACDC8E" w14:textId="77777777" w:rsidR="008E0205" w:rsidRDefault="008E0205">
            <w:pPr>
              <w:tabs>
                <w:tab w:val="left" w:pos="1213"/>
              </w:tabs>
              <w:ind w:right="845"/>
              <w:jc w:val="right"/>
              <w:rPr>
                <w:color w:val="000000"/>
                <w:sz w:val="20"/>
                <w:szCs w:val="20"/>
              </w:rPr>
            </w:pPr>
            <w:r>
              <w:rPr>
                <w:sz w:val="20"/>
                <w:szCs w:val="20"/>
                <w:lang w:val="es-PE"/>
              </w:rPr>
              <w:t>4</w:t>
            </w:r>
          </w:p>
        </w:tc>
        <w:tc>
          <w:tcPr>
            <w:tcW w:w="2268" w:type="dxa"/>
            <w:tcBorders>
              <w:top w:val="nil"/>
              <w:left w:val="single" w:sz="4" w:space="0" w:color="auto"/>
              <w:bottom w:val="single" w:sz="4" w:space="0" w:color="auto"/>
              <w:right w:val="single" w:sz="4" w:space="0" w:color="auto"/>
            </w:tcBorders>
            <w:hideMark/>
          </w:tcPr>
          <w:p w14:paraId="5A96099A" w14:textId="77777777" w:rsidR="008E0205" w:rsidRDefault="008E0205">
            <w:pPr>
              <w:ind w:right="947"/>
              <w:jc w:val="right"/>
              <w:rPr>
                <w:color w:val="000000"/>
                <w:sz w:val="20"/>
                <w:szCs w:val="20"/>
              </w:rPr>
            </w:pPr>
            <w:r>
              <w:rPr>
                <w:sz w:val="20"/>
                <w:szCs w:val="20"/>
                <w:lang w:val="es-PE"/>
              </w:rPr>
              <w:t>3</w:t>
            </w:r>
          </w:p>
        </w:tc>
        <w:tc>
          <w:tcPr>
            <w:tcW w:w="2268" w:type="dxa"/>
            <w:tcBorders>
              <w:top w:val="single" w:sz="4" w:space="0" w:color="auto"/>
              <w:left w:val="nil"/>
              <w:bottom w:val="single" w:sz="4" w:space="0" w:color="auto"/>
              <w:right w:val="single" w:sz="4" w:space="0" w:color="auto"/>
            </w:tcBorders>
            <w:hideMark/>
          </w:tcPr>
          <w:p w14:paraId="48FB46DD" w14:textId="77777777" w:rsidR="008E0205" w:rsidRDefault="008E0205">
            <w:pPr>
              <w:ind w:right="879"/>
              <w:jc w:val="right"/>
              <w:rPr>
                <w:color w:val="000000"/>
                <w:sz w:val="20"/>
                <w:szCs w:val="20"/>
              </w:rPr>
            </w:pPr>
            <w:r>
              <w:rPr>
                <w:sz w:val="20"/>
                <w:szCs w:val="20"/>
                <w:lang w:val="es-PE"/>
              </w:rPr>
              <w:t>1</w:t>
            </w:r>
          </w:p>
        </w:tc>
      </w:tr>
      <w:tr w:rsidR="008E0205" w14:paraId="5110C779" w14:textId="77777777" w:rsidTr="008E0205">
        <w:tc>
          <w:tcPr>
            <w:tcW w:w="2547" w:type="dxa"/>
            <w:tcBorders>
              <w:top w:val="single" w:sz="4" w:space="0" w:color="auto"/>
              <w:left w:val="single" w:sz="4" w:space="0" w:color="auto"/>
              <w:bottom w:val="single" w:sz="4" w:space="0" w:color="auto"/>
              <w:right w:val="single" w:sz="4" w:space="0" w:color="auto"/>
            </w:tcBorders>
            <w:vAlign w:val="bottom"/>
            <w:hideMark/>
          </w:tcPr>
          <w:p w14:paraId="5A3BAC63" w14:textId="77777777" w:rsidR="008E0205" w:rsidRDefault="008E0205">
            <w:pPr>
              <w:rPr>
                <w:b/>
                <w:color w:val="000000"/>
                <w:sz w:val="20"/>
                <w:szCs w:val="20"/>
              </w:rPr>
            </w:pPr>
            <w:r>
              <w:rPr>
                <w:b/>
                <w:bCs/>
                <w:color w:val="000000"/>
                <w:sz w:val="20"/>
                <w:szCs w:val="20"/>
                <w:lang w:val="es-PE"/>
              </w:rPr>
              <w:t>Total</w:t>
            </w:r>
          </w:p>
        </w:tc>
        <w:tc>
          <w:tcPr>
            <w:tcW w:w="2268" w:type="dxa"/>
            <w:tcBorders>
              <w:top w:val="single" w:sz="4" w:space="0" w:color="auto"/>
              <w:left w:val="single" w:sz="4" w:space="0" w:color="auto"/>
              <w:bottom w:val="single" w:sz="4" w:space="0" w:color="auto"/>
              <w:right w:val="single" w:sz="4" w:space="0" w:color="auto"/>
            </w:tcBorders>
            <w:hideMark/>
          </w:tcPr>
          <w:p w14:paraId="3E5137F1" w14:textId="77777777" w:rsidR="008E0205" w:rsidRDefault="008E0205">
            <w:pPr>
              <w:tabs>
                <w:tab w:val="left" w:pos="1213"/>
              </w:tabs>
              <w:ind w:right="845"/>
              <w:jc w:val="right"/>
              <w:rPr>
                <w:b/>
                <w:color w:val="000000"/>
                <w:sz w:val="20"/>
                <w:szCs w:val="20"/>
              </w:rPr>
            </w:pPr>
            <w:r>
              <w:rPr>
                <w:b/>
                <w:bCs/>
                <w:sz w:val="20"/>
                <w:szCs w:val="20"/>
                <w:lang w:val="es-PE"/>
              </w:rPr>
              <w:t>170</w:t>
            </w:r>
          </w:p>
        </w:tc>
        <w:tc>
          <w:tcPr>
            <w:tcW w:w="2268" w:type="dxa"/>
            <w:tcBorders>
              <w:top w:val="single" w:sz="4" w:space="0" w:color="auto"/>
              <w:left w:val="single" w:sz="4" w:space="0" w:color="auto"/>
              <w:bottom w:val="single" w:sz="4" w:space="0" w:color="auto"/>
              <w:right w:val="single" w:sz="4" w:space="0" w:color="auto"/>
            </w:tcBorders>
            <w:hideMark/>
          </w:tcPr>
          <w:p w14:paraId="4CDBFA8E" w14:textId="77777777" w:rsidR="008E0205" w:rsidRDefault="008E0205">
            <w:pPr>
              <w:ind w:right="947"/>
              <w:jc w:val="right"/>
              <w:rPr>
                <w:b/>
                <w:color w:val="000000"/>
                <w:sz w:val="20"/>
                <w:szCs w:val="20"/>
              </w:rPr>
            </w:pPr>
            <w:r>
              <w:rPr>
                <w:sz w:val="20"/>
                <w:szCs w:val="20"/>
                <w:lang w:val="es-PE"/>
              </w:rPr>
              <w:t>60</w:t>
            </w:r>
          </w:p>
        </w:tc>
        <w:tc>
          <w:tcPr>
            <w:tcW w:w="2268" w:type="dxa"/>
            <w:tcBorders>
              <w:top w:val="single" w:sz="4" w:space="0" w:color="auto"/>
              <w:left w:val="nil"/>
              <w:bottom w:val="single" w:sz="4" w:space="0" w:color="auto"/>
              <w:right w:val="single" w:sz="4" w:space="0" w:color="auto"/>
            </w:tcBorders>
            <w:hideMark/>
          </w:tcPr>
          <w:p w14:paraId="2E2809E8" w14:textId="77777777" w:rsidR="008E0205" w:rsidRDefault="008E0205">
            <w:pPr>
              <w:ind w:right="879"/>
              <w:jc w:val="right"/>
              <w:rPr>
                <w:b/>
                <w:color w:val="000000"/>
                <w:sz w:val="20"/>
                <w:szCs w:val="20"/>
              </w:rPr>
            </w:pPr>
            <w:r>
              <w:rPr>
                <w:b/>
                <w:bCs/>
                <w:sz w:val="20"/>
                <w:szCs w:val="20"/>
                <w:lang w:val="es-PE"/>
              </w:rPr>
              <w:t>110</w:t>
            </w:r>
          </w:p>
        </w:tc>
      </w:tr>
    </w:tbl>
    <w:p w14:paraId="0BC13DA9" w14:textId="77777777" w:rsidR="008E0205" w:rsidRDefault="008E0205" w:rsidP="008E0205">
      <w:pPr>
        <w:rPr>
          <w:strike/>
          <w:sz w:val="18"/>
          <w:szCs w:val="18"/>
          <w:lang w:val="es-ES"/>
        </w:rPr>
      </w:pPr>
      <w:r>
        <w:rPr>
          <w:sz w:val="18"/>
          <w:szCs w:val="18"/>
          <w:lang w:val="es-PE"/>
        </w:rPr>
        <w:t xml:space="preserve">*Esto comprende 18 proyectos cuya finalización está prevista para junio de 2021; de conformidad con la decisión 86/50, esos proyectos no requieren una aprobación de prórroga específica por parte del Comité Ejecutivo. </w:t>
      </w:r>
    </w:p>
    <w:p w14:paraId="0F672190" w14:textId="77777777" w:rsidR="008E0205" w:rsidRDefault="008E0205" w:rsidP="008E0205">
      <w:pPr>
        <w:rPr>
          <w:lang w:val="es-ES"/>
        </w:rPr>
      </w:pPr>
    </w:p>
    <w:p w14:paraId="027F4864" w14:textId="3E9525A3" w:rsidR="008E0205" w:rsidRDefault="008E0205" w:rsidP="00045A5C">
      <w:pPr>
        <w:numPr>
          <w:ilvl w:val="0"/>
          <w:numId w:val="1"/>
        </w:numPr>
        <w:tabs>
          <w:tab w:val="clear" w:pos="0"/>
          <w:tab w:val="num" w:pos="710"/>
        </w:tabs>
        <w:spacing w:after="240"/>
        <w:outlineLvl w:val="0"/>
        <w:rPr>
          <w:lang w:val="es-ES"/>
        </w:rPr>
      </w:pPr>
      <w:r>
        <w:rPr>
          <w:lang w:val="es-PE"/>
        </w:rPr>
        <w:t xml:space="preserve">Los organismos informaron de que, en general, la ejecución de los proyectos de inversión y de las actividades de apoyo se vio afectada debido a las </w:t>
      </w:r>
      <w:proofErr w:type="spellStart"/>
      <w:r>
        <w:rPr>
          <w:lang w:val="es-PE"/>
        </w:rPr>
        <w:t>restriciones</w:t>
      </w:r>
      <w:proofErr w:type="spellEnd"/>
      <w:r>
        <w:rPr>
          <w:lang w:val="es-PE"/>
        </w:rPr>
        <w:t xml:space="preserve"> impuestas por la pandemia de COVID-19; los organismos, en consulta con las dependencias nacionales del ozono, han tratado, en la medida de lo posible, de finalizar las actividades por medio de reuniones virtuales y actividades fuera de línea (por ejemplo, la elaboración de informes, la verificación de los datos con los datos sobre el terreno en línea). No obstante, el tiempo adicional requerido para completar varias actividades (por ejemplo, la finalización de la estrategia y los documentos de política y los documentos jurídicos relacionados con la Enmienda de Kigali; apoyo para la ratificación de la Enmienda de Kigali; la ejecución de programas de formación; la realización de talleres de sensibilización pública y divulgación; la instalación de equipos, y la verificación de los proyectos de inversión).  </w:t>
      </w:r>
    </w:p>
    <w:p w14:paraId="6808C4D8" w14:textId="136AE7D7" w:rsidR="008E0205" w:rsidRDefault="008E0205" w:rsidP="00045A5C">
      <w:pPr>
        <w:numPr>
          <w:ilvl w:val="0"/>
          <w:numId w:val="1"/>
        </w:numPr>
        <w:tabs>
          <w:tab w:val="clear" w:pos="0"/>
          <w:tab w:val="num" w:pos="710"/>
        </w:tabs>
        <w:spacing w:after="240"/>
        <w:outlineLvl w:val="0"/>
        <w:rPr>
          <w:lang w:val="es-ES"/>
        </w:rPr>
      </w:pPr>
      <w:r>
        <w:rPr>
          <w:lang w:val="es-PE"/>
        </w:rPr>
        <w:t xml:space="preserve">Las solicitudes de prórroga de las actividades de apoyo para la reducción gradual de los HFC para Argelia (ONUDI), Belice (PNUD), Burundi (PNUMA), Guinea (PNUMA), Haití (PNUD) y la República de </w:t>
      </w:r>
      <w:proofErr w:type="spellStart"/>
      <w:r>
        <w:rPr>
          <w:lang w:val="es-PE"/>
        </w:rPr>
        <w:t>Moldova</w:t>
      </w:r>
      <w:proofErr w:type="spellEnd"/>
      <w:r>
        <w:rPr>
          <w:lang w:val="es-PE"/>
        </w:rPr>
        <w:t xml:space="preserve"> (PNUD) se abordan por separado en los párrafos 220 a 222 del presente documento, de conformidad con la decisión 81/32 a)</w:t>
      </w:r>
      <w:r>
        <w:rPr>
          <w:rStyle w:val="FootnoteReference"/>
          <w:lang w:val="es-ES"/>
        </w:rPr>
        <w:t xml:space="preserve"> </w:t>
      </w:r>
      <w:r>
        <w:rPr>
          <w:rStyle w:val="FootnoteReference"/>
          <w:lang w:val="es-ES"/>
        </w:rPr>
        <w:footnoteReference w:customMarkFollows="1" w:id="48"/>
        <w:t>48</w:t>
      </w:r>
      <w:r>
        <w:rPr>
          <w:lang w:val="es-PE"/>
        </w:rPr>
        <w:t xml:space="preserve">. </w:t>
      </w:r>
    </w:p>
    <w:p w14:paraId="33748C3B" w14:textId="77777777" w:rsidR="008E0205" w:rsidRDefault="008E0205" w:rsidP="008E0205">
      <w:pPr>
        <w:pStyle w:val="Heading1"/>
        <w:keepNext/>
        <w:numPr>
          <w:ilvl w:val="0"/>
          <w:numId w:val="0"/>
        </w:numPr>
        <w:tabs>
          <w:tab w:val="left" w:pos="720"/>
        </w:tabs>
        <w:rPr>
          <w:b/>
          <w:lang w:val="es-ES"/>
        </w:rPr>
      </w:pPr>
      <w:r>
        <w:rPr>
          <w:b/>
          <w:bCs/>
          <w:lang w:val="es-PE"/>
        </w:rPr>
        <w:t>Observaciones de la Secretaría</w:t>
      </w:r>
    </w:p>
    <w:p w14:paraId="19348449" w14:textId="66024066" w:rsidR="008E0205" w:rsidRDefault="008E0205" w:rsidP="00045A5C">
      <w:pPr>
        <w:numPr>
          <w:ilvl w:val="0"/>
          <w:numId w:val="1"/>
        </w:numPr>
        <w:tabs>
          <w:tab w:val="clear" w:pos="0"/>
          <w:tab w:val="num" w:pos="710"/>
        </w:tabs>
        <w:spacing w:after="240"/>
        <w:outlineLvl w:val="0"/>
        <w:rPr>
          <w:lang w:val="es-ES"/>
        </w:rPr>
      </w:pPr>
      <w:r>
        <w:rPr>
          <w:lang w:val="es-PE"/>
        </w:rPr>
        <w:t>La Secretaría toma nota de que, a pesar de las restricciones imp</w:t>
      </w:r>
      <w:r w:rsidR="00045A5C">
        <w:rPr>
          <w:lang w:val="es-PE"/>
        </w:rPr>
        <w:t>uestas por la pandemia de COVID</w:t>
      </w:r>
      <w:r w:rsidR="00045A5C">
        <w:rPr>
          <w:lang w:val="es-PE"/>
        </w:rPr>
        <w:noBreakHyphen/>
      </w:r>
      <w:r>
        <w:rPr>
          <w:lang w:val="es-PE"/>
        </w:rPr>
        <w:t xml:space="preserve">19, en las fases avanzadas de la ejecución se han realizado progresos en la mayoría de las actividades relacionadas con los HFC. Con base en la información suministrada por los organismos bilaterales y de ejecución y las discusiones que se entablarán, según sea necesario, la Secretaría considera que el tiempo adicional solicitado permitirá a los países finalizar las actividades restantes en un plazo razonable, según se resume en el Anexo VII del presente documento. </w:t>
      </w:r>
    </w:p>
    <w:p w14:paraId="0EC397A0" w14:textId="77777777" w:rsidR="008E0205" w:rsidRDefault="008E0205" w:rsidP="008E0205">
      <w:pPr>
        <w:pStyle w:val="Heading1"/>
        <w:numPr>
          <w:ilvl w:val="0"/>
          <w:numId w:val="0"/>
        </w:numPr>
        <w:tabs>
          <w:tab w:val="left" w:pos="720"/>
        </w:tabs>
        <w:rPr>
          <w:b/>
          <w:lang w:val="es-ES"/>
        </w:rPr>
      </w:pPr>
      <w:r>
        <w:rPr>
          <w:b/>
          <w:bCs/>
          <w:lang w:val="es-PE"/>
        </w:rPr>
        <w:lastRenderedPageBreak/>
        <w:t>Recomendación</w:t>
      </w:r>
    </w:p>
    <w:p w14:paraId="009C83F6" w14:textId="68735827" w:rsidR="008E0205" w:rsidRDefault="008E0205" w:rsidP="00045A5C">
      <w:pPr>
        <w:numPr>
          <w:ilvl w:val="0"/>
          <w:numId w:val="1"/>
        </w:numPr>
        <w:tabs>
          <w:tab w:val="clear" w:pos="0"/>
          <w:tab w:val="num" w:pos="710"/>
        </w:tabs>
        <w:spacing w:after="240"/>
        <w:outlineLvl w:val="0"/>
        <w:rPr>
          <w:lang w:val="es-ES"/>
        </w:rPr>
      </w:pPr>
      <w:r>
        <w:rPr>
          <w:lang w:val="es-PE"/>
        </w:rPr>
        <w:t xml:space="preserve">El Comité Ejecutivo podría considerar: </w:t>
      </w:r>
    </w:p>
    <w:p w14:paraId="0F7F15A3" w14:textId="53DCA7AD" w:rsidR="008E0205" w:rsidRDefault="008E0205" w:rsidP="00045A5C">
      <w:pPr>
        <w:pStyle w:val="Heading2"/>
        <w:keepNext/>
        <w:widowControl/>
        <w:numPr>
          <w:ilvl w:val="1"/>
          <w:numId w:val="7"/>
        </w:numPr>
        <w:tabs>
          <w:tab w:val="clear" w:pos="0"/>
        </w:tabs>
        <w:rPr>
          <w:lang w:val="es-ES"/>
        </w:rPr>
      </w:pPr>
      <w:r>
        <w:rPr>
          <w:lang w:val="es-PE"/>
        </w:rPr>
        <w:t>Tomar nota:</w:t>
      </w:r>
    </w:p>
    <w:p w14:paraId="196DDA92" w14:textId="59388535" w:rsidR="008E0205" w:rsidRPr="00045A5C" w:rsidRDefault="00045A5C" w:rsidP="00045A5C">
      <w:pPr>
        <w:pStyle w:val="Heading3"/>
        <w:numPr>
          <w:ilvl w:val="2"/>
          <w:numId w:val="18"/>
        </w:numPr>
        <w:tabs>
          <w:tab w:val="clear" w:pos="0"/>
        </w:tabs>
        <w:rPr>
          <w:lang w:val="es-PE"/>
        </w:rPr>
      </w:pPr>
      <w:r>
        <w:rPr>
          <w:lang w:val="es-ES"/>
        </w:rPr>
        <w:t>D</w:t>
      </w:r>
      <w:r w:rsidR="008E0205">
        <w:rPr>
          <w:lang w:val="es-PE"/>
        </w:rPr>
        <w:t>el informe sobre las actividades relacionadas con los HFC que precisan una prórroga para su fecha de terminación, presentada por los Gobiernos de Alemania, el Canadá, Francia e Italia, y por el PNUD, el PNUMA, la ONUDI y el Banco Mundial, y que figura en los párrafos 214 a 219 y en el Anexo VII del documento UNEP/OzL.Pro/ExCom/87/9;</w:t>
      </w:r>
    </w:p>
    <w:p w14:paraId="2666D58A" w14:textId="63AD2E71" w:rsidR="008E0205" w:rsidRDefault="00045A5C" w:rsidP="00045A5C">
      <w:pPr>
        <w:pStyle w:val="Heading3"/>
        <w:numPr>
          <w:ilvl w:val="2"/>
          <w:numId w:val="18"/>
        </w:numPr>
        <w:tabs>
          <w:tab w:val="clear" w:pos="0"/>
        </w:tabs>
        <w:rPr>
          <w:lang w:val="es-ES"/>
        </w:rPr>
      </w:pPr>
      <w:r>
        <w:rPr>
          <w:lang w:val="es-PE"/>
        </w:rPr>
        <w:t>C</w:t>
      </w:r>
      <w:r w:rsidR="008E0205">
        <w:rPr>
          <w:lang w:val="es-PE"/>
        </w:rPr>
        <w:t>on agrado, de la finalización de los 60 proyectos y actividades relacionados con los HFC, a la luz de las restricciones impuestas por la pandemia de COVID-19 en la ejecución de proyectos, y</w:t>
      </w:r>
    </w:p>
    <w:p w14:paraId="521ADDB2" w14:textId="0F0ADE3E" w:rsidR="008E0205" w:rsidRDefault="00045A5C" w:rsidP="00045A5C">
      <w:pPr>
        <w:pStyle w:val="Heading2"/>
        <w:keepNext/>
        <w:widowControl/>
        <w:numPr>
          <w:ilvl w:val="1"/>
          <w:numId w:val="7"/>
        </w:numPr>
        <w:tabs>
          <w:tab w:val="clear" w:pos="0"/>
        </w:tabs>
        <w:rPr>
          <w:lang w:val="es-ES"/>
        </w:rPr>
      </w:pPr>
      <w:r>
        <w:rPr>
          <w:lang w:val="es-ES"/>
        </w:rPr>
        <w:t>A</w:t>
      </w:r>
      <w:r w:rsidR="008E0205">
        <w:rPr>
          <w:lang w:val="es-PE"/>
        </w:rPr>
        <w:t xml:space="preserve">probar la prórroga de todas las actividades relacionadas con los HFC que figuran en el Anexo VII del presente documento, a la fecha indicada en la última columna del Anexo, con carácter excepcional, por causa de las restricciones impuestas por la pandemia de COVID-19, así como alentar a los organismos bilaterales y de ejecución a que sigan prestando apoyo a los países que operan al amparo del artículo 5 para completar lo antes posible esas actividades. </w:t>
      </w:r>
    </w:p>
    <w:p w14:paraId="6BB7CD97" w14:textId="77777777" w:rsidR="008E0205" w:rsidRDefault="008E0205" w:rsidP="008E0205">
      <w:pPr>
        <w:keepNext/>
        <w:spacing w:after="160"/>
        <w:rPr>
          <w:b/>
          <w:lang w:val="es-ES"/>
        </w:rPr>
      </w:pPr>
      <w:r>
        <w:rPr>
          <w:b/>
          <w:bCs/>
          <w:lang w:val="es-PE"/>
        </w:rPr>
        <w:t>Solicitudes de prórroga para las actividades de apoyo, de conformidad con la decisión 81/32 a)</w:t>
      </w:r>
    </w:p>
    <w:p w14:paraId="05570CCD" w14:textId="162E78D3" w:rsidR="008E0205" w:rsidRDefault="008E0205" w:rsidP="00045A5C">
      <w:pPr>
        <w:numPr>
          <w:ilvl w:val="0"/>
          <w:numId w:val="1"/>
        </w:numPr>
        <w:tabs>
          <w:tab w:val="clear" w:pos="0"/>
          <w:tab w:val="num" w:pos="710"/>
        </w:tabs>
        <w:spacing w:after="240"/>
        <w:outlineLvl w:val="0"/>
        <w:rPr>
          <w:lang w:val="es-ES"/>
        </w:rPr>
      </w:pPr>
      <w:r>
        <w:rPr>
          <w:lang w:val="es-PE"/>
        </w:rPr>
        <w:t>De conformidad con la decisión 81/32 a)</w:t>
      </w:r>
      <w:r>
        <w:rPr>
          <w:rStyle w:val="FootnoteReference"/>
          <w:lang w:val="es-ES"/>
        </w:rPr>
        <w:t xml:space="preserve"> </w:t>
      </w:r>
      <w:r>
        <w:rPr>
          <w:rStyle w:val="FootnoteReference"/>
          <w:lang w:val="es-ES"/>
        </w:rPr>
        <w:footnoteReference w:customMarkFollows="1" w:id="49"/>
        <w:t>49</w:t>
      </w:r>
      <w:r>
        <w:rPr>
          <w:lang w:val="es-PE"/>
        </w:rPr>
        <w:t xml:space="preserve">, en nombre de los Gobiernos de seis países que operan al amparo del artículo 5, los principales organismos de ejecución presentaron solicitudes de prórroga oficiales para las actividades de apoyo a la reducción gradual de los HFC, como se indica en el Cuadro 16. </w:t>
      </w:r>
    </w:p>
    <w:p w14:paraId="7792BA29" w14:textId="77777777" w:rsidR="008E0205" w:rsidRDefault="008E0205" w:rsidP="008E0205">
      <w:pPr>
        <w:outlineLvl w:val="0"/>
        <w:rPr>
          <w:b/>
          <w:lang w:val="es-ES"/>
        </w:rPr>
      </w:pPr>
      <w:r>
        <w:rPr>
          <w:b/>
          <w:bCs/>
          <w:lang w:val="es-PE"/>
        </w:rPr>
        <w:t>Cuadro 16. Solicitudes de prórroga para las actividades de apoyo a la reducción gradual de los HFC.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56"/>
        <w:gridCol w:w="2098"/>
        <w:gridCol w:w="2098"/>
        <w:gridCol w:w="2098"/>
      </w:tblGrid>
      <w:tr w:rsidR="008E0205" w14:paraId="72580E96" w14:textId="77777777" w:rsidTr="008E0205">
        <w:trPr>
          <w:tblHeader/>
        </w:trPr>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C9EBF" w14:textId="77777777" w:rsidR="008E0205" w:rsidRDefault="008E0205">
            <w:pPr>
              <w:jc w:val="left"/>
              <w:rPr>
                <w:b/>
                <w:bCs/>
                <w:sz w:val="20"/>
                <w:szCs w:val="20"/>
                <w:lang w:eastAsia="zh-CN"/>
              </w:rPr>
            </w:pPr>
            <w:r>
              <w:rPr>
                <w:b/>
                <w:bCs/>
                <w:sz w:val="20"/>
                <w:szCs w:val="20"/>
                <w:lang w:val="es-PE" w:eastAsia="zh-CN"/>
              </w:rPr>
              <w:t>País</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2D5EF" w14:textId="77777777" w:rsidR="008E0205" w:rsidRDefault="008E0205">
            <w:pPr>
              <w:jc w:val="center"/>
              <w:rPr>
                <w:b/>
                <w:bCs/>
                <w:sz w:val="20"/>
                <w:szCs w:val="20"/>
              </w:rPr>
            </w:pPr>
            <w:r>
              <w:rPr>
                <w:b/>
                <w:bCs/>
                <w:sz w:val="20"/>
                <w:szCs w:val="20"/>
                <w:lang w:val="es-PE"/>
              </w:rPr>
              <w:t>Organismo principal</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615C8" w14:textId="77777777" w:rsidR="008E0205" w:rsidRDefault="008E0205">
            <w:pPr>
              <w:jc w:val="center"/>
              <w:rPr>
                <w:b/>
                <w:bCs/>
                <w:sz w:val="20"/>
                <w:szCs w:val="20"/>
              </w:rPr>
            </w:pPr>
            <w:r>
              <w:rPr>
                <w:b/>
                <w:bCs/>
                <w:sz w:val="20"/>
                <w:szCs w:val="20"/>
                <w:lang w:val="es-PE"/>
              </w:rPr>
              <w:t>Fecha de terminación</w:t>
            </w:r>
          </w:p>
        </w:tc>
        <w:tc>
          <w:tcPr>
            <w:tcW w:w="1122" w:type="pct"/>
            <w:tcBorders>
              <w:top w:val="single" w:sz="4" w:space="0" w:color="auto"/>
              <w:left w:val="single" w:sz="4" w:space="0" w:color="auto"/>
              <w:bottom w:val="single" w:sz="4" w:space="0" w:color="auto"/>
              <w:right w:val="single" w:sz="4" w:space="0" w:color="auto"/>
            </w:tcBorders>
            <w:hideMark/>
          </w:tcPr>
          <w:p w14:paraId="266E58F9" w14:textId="77777777" w:rsidR="008E0205" w:rsidRDefault="008E0205">
            <w:pPr>
              <w:jc w:val="center"/>
              <w:rPr>
                <w:b/>
                <w:bCs/>
                <w:sz w:val="20"/>
                <w:szCs w:val="20"/>
              </w:rPr>
            </w:pPr>
            <w:r>
              <w:rPr>
                <w:b/>
                <w:bCs/>
                <w:sz w:val="20"/>
                <w:szCs w:val="20"/>
                <w:lang w:val="es-PE"/>
              </w:rPr>
              <w:t>Fecha de prórroga</w:t>
            </w:r>
          </w:p>
        </w:tc>
      </w:tr>
      <w:tr w:rsidR="008E0205" w14:paraId="300ED8EA" w14:textId="77777777" w:rsidTr="008E0205">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4914B" w14:textId="77777777" w:rsidR="008E0205" w:rsidRDefault="008E0205">
            <w:pPr>
              <w:rPr>
                <w:sz w:val="20"/>
                <w:szCs w:val="20"/>
                <w:lang w:val="en-US"/>
              </w:rPr>
            </w:pPr>
            <w:r>
              <w:rPr>
                <w:sz w:val="20"/>
                <w:szCs w:val="20"/>
                <w:lang w:val="es-PE"/>
              </w:rPr>
              <w:t>Argelia</w:t>
            </w:r>
          </w:p>
        </w:tc>
        <w:tc>
          <w:tcPr>
            <w:tcW w:w="1122" w:type="pct"/>
            <w:tcBorders>
              <w:top w:val="single" w:sz="4" w:space="0" w:color="auto"/>
              <w:left w:val="single" w:sz="4" w:space="0" w:color="auto"/>
              <w:bottom w:val="single" w:sz="4" w:space="0" w:color="auto"/>
              <w:right w:val="single" w:sz="4" w:space="0" w:color="auto"/>
            </w:tcBorders>
            <w:tcMar>
              <w:top w:w="0" w:type="dxa"/>
              <w:left w:w="720" w:type="dxa"/>
              <w:bottom w:w="0" w:type="dxa"/>
              <w:right w:w="115" w:type="dxa"/>
            </w:tcMar>
            <w:vAlign w:val="center"/>
            <w:hideMark/>
          </w:tcPr>
          <w:p w14:paraId="76B6CD60" w14:textId="77777777" w:rsidR="008E0205" w:rsidRDefault="008E0205">
            <w:pPr>
              <w:jc w:val="left"/>
              <w:rPr>
                <w:sz w:val="20"/>
                <w:szCs w:val="20"/>
              </w:rPr>
            </w:pPr>
            <w:r>
              <w:rPr>
                <w:sz w:val="20"/>
                <w:szCs w:val="20"/>
                <w:lang w:val="es-PE"/>
              </w:rPr>
              <w:t>ONUDI</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F1C1A0" w14:textId="77777777" w:rsidR="008E0205" w:rsidRDefault="008E0205">
            <w:pPr>
              <w:jc w:val="left"/>
              <w:rPr>
                <w:sz w:val="20"/>
                <w:szCs w:val="20"/>
                <w:lang w:val="en-CA" w:eastAsia="zh-CN"/>
              </w:rPr>
            </w:pPr>
            <w:r>
              <w:rPr>
                <w:sz w:val="20"/>
                <w:szCs w:val="20"/>
                <w:lang w:val="es-PE" w:eastAsia="zh-CN"/>
              </w:rPr>
              <w:t>30 de junio de 2021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1E9E0ABE" w14:textId="77777777" w:rsidR="008E0205" w:rsidRDefault="008E0205">
            <w:pPr>
              <w:jc w:val="left"/>
              <w:rPr>
                <w:sz w:val="20"/>
                <w:szCs w:val="20"/>
                <w:lang w:val="en-CA" w:eastAsia="zh-CN"/>
              </w:rPr>
            </w:pPr>
            <w:r>
              <w:rPr>
                <w:sz w:val="20"/>
                <w:szCs w:val="20"/>
                <w:lang w:val="es-PE" w:eastAsia="zh-CN"/>
              </w:rPr>
              <w:t>30 de junio de 2022</w:t>
            </w:r>
          </w:p>
        </w:tc>
      </w:tr>
      <w:tr w:rsidR="008E0205" w14:paraId="6540555E" w14:textId="77777777" w:rsidTr="008E0205">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46432" w14:textId="77777777" w:rsidR="008E0205" w:rsidRDefault="008E0205">
            <w:pPr>
              <w:rPr>
                <w:sz w:val="20"/>
                <w:szCs w:val="20"/>
                <w:lang w:eastAsia="zh-CN"/>
              </w:rPr>
            </w:pPr>
            <w:r>
              <w:rPr>
                <w:sz w:val="20"/>
                <w:szCs w:val="20"/>
                <w:lang w:val="es-PE"/>
              </w:rPr>
              <w:t>Belice*</w:t>
            </w:r>
          </w:p>
        </w:tc>
        <w:tc>
          <w:tcPr>
            <w:tcW w:w="1122" w:type="pct"/>
            <w:tcBorders>
              <w:top w:val="single" w:sz="4" w:space="0" w:color="auto"/>
              <w:left w:val="single" w:sz="4" w:space="0" w:color="auto"/>
              <w:bottom w:val="single" w:sz="4" w:space="0" w:color="auto"/>
              <w:right w:val="single" w:sz="4" w:space="0" w:color="auto"/>
            </w:tcBorders>
            <w:tcMar>
              <w:top w:w="0" w:type="dxa"/>
              <w:left w:w="720" w:type="dxa"/>
              <w:bottom w:w="0" w:type="dxa"/>
              <w:right w:w="115" w:type="dxa"/>
            </w:tcMar>
            <w:vAlign w:val="center"/>
            <w:hideMark/>
          </w:tcPr>
          <w:p w14:paraId="71A4AE2C" w14:textId="77777777" w:rsidR="008E0205" w:rsidRDefault="008E0205">
            <w:pPr>
              <w:jc w:val="left"/>
              <w:rPr>
                <w:sz w:val="20"/>
                <w:szCs w:val="20"/>
                <w:lang w:eastAsia="zh-CN"/>
              </w:rPr>
            </w:pPr>
            <w:r>
              <w:rPr>
                <w:sz w:val="20"/>
                <w:szCs w:val="20"/>
                <w:lang w:val="es-PE"/>
              </w:rPr>
              <w:t>PNUD</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AD049" w14:textId="77777777" w:rsidR="008E0205" w:rsidRDefault="008E0205">
            <w:pPr>
              <w:jc w:val="left"/>
              <w:rPr>
                <w:sz w:val="20"/>
                <w:szCs w:val="20"/>
                <w:lang w:eastAsia="zh-CN"/>
              </w:rPr>
            </w:pPr>
            <w:r>
              <w:rPr>
                <w:sz w:val="20"/>
                <w:szCs w:val="20"/>
                <w:lang w:val="es-PE" w:eastAsia="zh-CN"/>
              </w:rPr>
              <w:t>31 de diciembre de 2021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AD5558F" w14:textId="77777777" w:rsidR="008E0205" w:rsidRDefault="008E0205">
            <w:pPr>
              <w:jc w:val="left"/>
              <w:rPr>
                <w:sz w:val="20"/>
                <w:szCs w:val="20"/>
                <w:lang w:val="en-CA" w:eastAsia="zh-CN"/>
              </w:rPr>
            </w:pPr>
            <w:r>
              <w:rPr>
                <w:sz w:val="20"/>
                <w:szCs w:val="20"/>
                <w:lang w:val="es-PE" w:eastAsia="zh-CN"/>
              </w:rPr>
              <w:t>30 de junio de 2022</w:t>
            </w:r>
          </w:p>
        </w:tc>
      </w:tr>
      <w:tr w:rsidR="008E0205" w14:paraId="6A7E13DD" w14:textId="77777777" w:rsidTr="008E0205">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7F241" w14:textId="77777777" w:rsidR="008E0205" w:rsidRDefault="008E0205">
            <w:pPr>
              <w:rPr>
                <w:sz w:val="20"/>
                <w:szCs w:val="20"/>
                <w:lang w:eastAsia="zh-CN"/>
              </w:rPr>
            </w:pPr>
            <w:r>
              <w:rPr>
                <w:sz w:val="20"/>
                <w:szCs w:val="20"/>
                <w:lang w:val="es-PE"/>
              </w:rPr>
              <w:t>Burundi</w:t>
            </w:r>
          </w:p>
        </w:tc>
        <w:tc>
          <w:tcPr>
            <w:tcW w:w="1122" w:type="pct"/>
            <w:tcBorders>
              <w:top w:val="single" w:sz="4" w:space="0" w:color="auto"/>
              <w:left w:val="single" w:sz="4" w:space="0" w:color="auto"/>
              <w:bottom w:val="single" w:sz="4" w:space="0" w:color="auto"/>
              <w:right w:val="single" w:sz="4" w:space="0" w:color="auto"/>
            </w:tcBorders>
            <w:tcMar>
              <w:top w:w="0" w:type="dxa"/>
              <w:left w:w="720" w:type="dxa"/>
              <w:bottom w:w="0" w:type="dxa"/>
              <w:right w:w="115" w:type="dxa"/>
            </w:tcMar>
            <w:vAlign w:val="center"/>
            <w:hideMark/>
          </w:tcPr>
          <w:p w14:paraId="61B59229" w14:textId="77777777" w:rsidR="008E0205" w:rsidRDefault="008E0205">
            <w:pPr>
              <w:jc w:val="left"/>
              <w:rPr>
                <w:sz w:val="20"/>
                <w:szCs w:val="20"/>
              </w:rPr>
            </w:pPr>
            <w:r>
              <w:rPr>
                <w:sz w:val="20"/>
                <w:szCs w:val="20"/>
                <w:lang w:val="es-PE"/>
              </w:rPr>
              <w:t>PNUMA</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51420" w14:textId="77777777" w:rsidR="008E0205" w:rsidRDefault="008E0205">
            <w:pPr>
              <w:jc w:val="left"/>
              <w:rPr>
                <w:sz w:val="20"/>
                <w:szCs w:val="20"/>
              </w:rPr>
            </w:pPr>
            <w:r>
              <w:rPr>
                <w:sz w:val="20"/>
                <w:szCs w:val="20"/>
                <w:lang w:val="es-PE"/>
              </w:rPr>
              <w:t>31 de diciembre de 2021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6D1D24F" w14:textId="77777777" w:rsidR="008E0205" w:rsidRDefault="008E0205">
            <w:pPr>
              <w:jc w:val="left"/>
              <w:rPr>
                <w:sz w:val="20"/>
                <w:szCs w:val="20"/>
                <w:lang w:val="en-CA" w:eastAsia="zh-CN"/>
              </w:rPr>
            </w:pPr>
            <w:r>
              <w:rPr>
                <w:sz w:val="20"/>
                <w:szCs w:val="20"/>
                <w:lang w:val="es-PE" w:eastAsia="zh-CN"/>
              </w:rPr>
              <w:t>30 de junio de 2022</w:t>
            </w:r>
          </w:p>
        </w:tc>
      </w:tr>
      <w:tr w:rsidR="008E0205" w14:paraId="6CDDE4CE" w14:textId="77777777" w:rsidTr="008E0205">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CE62C" w14:textId="77777777" w:rsidR="008E0205" w:rsidRDefault="008E0205">
            <w:pPr>
              <w:rPr>
                <w:sz w:val="20"/>
                <w:szCs w:val="20"/>
                <w:lang w:eastAsia="zh-CN"/>
              </w:rPr>
            </w:pPr>
            <w:r>
              <w:rPr>
                <w:sz w:val="20"/>
                <w:szCs w:val="20"/>
                <w:lang w:val="es-PE" w:eastAsia="zh-CN"/>
              </w:rPr>
              <w:t>Guinea</w:t>
            </w:r>
          </w:p>
        </w:tc>
        <w:tc>
          <w:tcPr>
            <w:tcW w:w="1122" w:type="pct"/>
            <w:tcBorders>
              <w:top w:val="single" w:sz="4" w:space="0" w:color="auto"/>
              <w:left w:val="single" w:sz="4" w:space="0" w:color="auto"/>
              <w:bottom w:val="single" w:sz="4" w:space="0" w:color="auto"/>
              <w:right w:val="single" w:sz="4" w:space="0" w:color="auto"/>
            </w:tcBorders>
            <w:tcMar>
              <w:top w:w="0" w:type="dxa"/>
              <w:left w:w="720" w:type="dxa"/>
              <w:bottom w:w="0" w:type="dxa"/>
              <w:right w:w="115" w:type="dxa"/>
            </w:tcMar>
            <w:vAlign w:val="center"/>
            <w:hideMark/>
          </w:tcPr>
          <w:p w14:paraId="2CA6D424" w14:textId="77777777" w:rsidR="008E0205" w:rsidRDefault="008E0205">
            <w:pPr>
              <w:jc w:val="left"/>
              <w:rPr>
                <w:sz w:val="20"/>
                <w:szCs w:val="20"/>
              </w:rPr>
            </w:pPr>
            <w:r>
              <w:rPr>
                <w:sz w:val="20"/>
                <w:szCs w:val="20"/>
                <w:lang w:val="es-PE"/>
              </w:rPr>
              <w:t>PNUMA</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253EBA" w14:textId="77777777" w:rsidR="008E0205" w:rsidRDefault="008E0205">
            <w:pPr>
              <w:jc w:val="left"/>
              <w:rPr>
                <w:sz w:val="20"/>
                <w:szCs w:val="20"/>
              </w:rPr>
            </w:pPr>
            <w:r>
              <w:rPr>
                <w:sz w:val="20"/>
                <w:szCs w:val="20"/>
                <w:lang w:val="es-PE"/>
              </w:rPr>
              <w:t>31 de diciembre de 2021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0AE4214B" w14:textId="77777777" w:rsidR="008E0205" w:rsidRDefault="008E0205">
            <w:pPr>
              <w:jc w:val="left"/>
              <w:rPr>
                <w:sz w:val="20"/>
                <w:szCs w:val="20"/>
                <w:lang w:val="en-CA" w:eastAsia="zh-CN"/>
              </w:rPr>
            </w:pPr>
            <w:r>
              <w:rPr>
                <w:sz w:val="20"/>
                <w:szCs w:val="20"/>
                <w:lang w:val="es-PE" w:eastAsia="zh-CN"/>
              </w:rPr>
              <w:t>31 de diciembre de 2022</w:t>
            </w:r>
          </w:p>
        </w:tc>
      </w:tr>
      <w:tr w:rsidR="008E0205" w14:paraId="09E61BB0" w14:textId="77777777" w:rsidTr="008E0205">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F9345" w14:textId="77777777" w:rsidR="008E0205" w:rsidRDefault="008E0205">
            <w:pPr>
              <w:rPr>
                <w:sz w:val="20"/>
                <w:szCs w:val="20"/>
                <w:lang w:eastAsia="zh-CN"/>
              </w:rPr>
            </w:pPr>
            <w:r>
              <w:rPr>
                <w:sz w:val="20"/>
                <w:szCs w:val="20"/>
                <w:lang w:val="es-PE" w:eastAsia="zh-CN"/>
              </w:rPr>
              <w:t>Haití</w:t>
            </w:r>
          </w:p>
        </w:tc>
        <w:tc>
          <w:tcPr>
            <w:tcW w:w="1122" w:type="pct"/>
            <w:tcBorders>
              <w:top w:val="single" w:sz="4" w:space="0" w:color="auto"/>
              <w:left w:val="single" w:sz="4" w:space="0" w:color="auto"/>
              <w:bottom w:val="single" w:sz="4" w:space="0" w:color="auto"/>
              <w:right w:val="single" w:sz="4" w:space="0" w:color="auto"/>
            </w:tcBorders>
            <w:tcMar>
              <w:top w:w="0" w:type="dxa"/>
              <w:left w:w="720" w:type="dxa"/>
              <w:bottom w:w="0" w:type="dxa"/>
              <w:right w:w="115" w:type="dxa"/>
            </w:tcMar>
            <w:vAlign w:val="center"/>
            <w:hideMark/>
          </w:tcPr>
          <w:p w14:paraId="5FE18F36" w14:textId="77777777" w:rsidR="008E0205" w:rsidRDefault="008E0205">
            <w:pPr>
              <w:jc w:val="left"/>
              <w:rPr>
                <w:sz w:val="20"/>
                <w:szCs w:val="20"/>
              </w:rPr>
            </w:pPr>
            <w:r>
              <w:rPr>
                <w:sz w:val="20"/>
                <w:szCs w:val="20"/>
                <w:lang w:val="es-PE"/>
              </w:rPr>
              <w:t>PNUD</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3FFFF4" w14:textId="77777777" w:rsidR="008E0205" w:rsidRDefault="008E0205">
            <w:pPr>
              <w:jc w:val="left"/>
              <w:rPr>
                <w:sz w:val="20"/>
                <w:szCs w:val="20"/>
              </w:rPr>
            </w:pPr>
            <w:r>
              <w:rPr>
                <w:sz w:val="20"/>
                <w:szCs w:val="20"/>
                <w:lang w:val="es-PE" w:eastAsia="zh-CN"/>
              </w:rPr>
              <w:t>30 de junio de 2021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114B1EB7" w14:textId="77777777" w:rsidR="008E0205" w:rsidRDefault="008E0205">
            <w:pPr>
              <w:jc w:val="left"/>
              <w:rPr>
                <w:sz w:val="20"/>
                <w:szCs w:val="20"/>
                <w:lang w:val="en-CA" w:eastAsia="zh-CN"/>
              </w:rPr>
            </w:pPr>
            <w:r>
              <w:rPr>
                <w:sz w:val="20"/>
                <w:szCs w:val="20"/>
                <w:lang w:val="es-PE" w:eastAsia="zh-CN"/>
              </w:rPr>
              <w:t>30 de junio de 2022</w:t>
            </w:r>
          </w:p>
        </w:tc>
      </w:tr>
      <w:tr w:rsidR="008E0205" w14:paraId="390D2FB1" w14:textId="77777777" w:rsidTr="008E0205">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0F42B" w14:textId="77777777" w:rsidR="008E0205" w:rsidRDefault="008E0205">
            <w:pPr>
              <w:rPr>
                <w:sz w:val="20"/>
                <w:szCs w:val="20"/>
                <w:lang w:eastAsia="zh-CN"/>
              </w:rPr>
            </w:pPr>
            <w:r>
              <w:rPr>
                <w:sz w:val="20"/>
                <w:szCs w:val="20"/>
                <w:lang w:val="es-PE" w:eastAsia="zh-CN"/>
              </w:rPr>
              <w:t xml:space="preserve">República de </w:t>
            </w:r>
            <w:proofErr w:type="spellStart"/>
            <w:r>
              <w:rPr>
                <w:sz w:val="20"/>
                <w:szCs w:val="20"/>
                <w:lang w:val="es-PE" w:eastAsia="zh-CN"/>
              </w:rPr>
              <w:t>Moldova</w:t>
            </w:r>
            <w:proofErr w:type="spellEnd"/>
          </w:p>
        </w:tc>
        <w:tc>
          <w:tcPr>
            <w:tcW w:w="1122" w:type="pct"/>
            <w:tcBorders>
              <w:top w:val="single" w:sz="4" w:space="0" w:color="auto"/>
              <w:left w:val="single" w:sz="4" w:space="0" w:color="auto"/>
              <w:bottom w:val="single" w:sz="4" w:space="0" w:color="auto"/>
              <w:right w:val="single" w:sz="4" w:space="0" w:color="auto"/>
            </w:tcBorders>
            <w:tcMar>
              <w:top w:w="0" w:type="dxa"/>
              <w:left w:w="720" w:type="dxa"/>
              <w:bottom w:w="0" w:type="dxa"/>
              <w:right w:w="115" w:type="dxa"/>
            </w:tcMar>
            <w:vAlign w:val="center"/>
            <w:hideMark/>
          </w:tcPr>
          <w:p w14:paraId="14640F88" w14:textId="77777777" w:rsidR="008E0205" w:rsidRDefault="008E0205">
            <w:pPr>
              <w:jc w:val="left"/>
              <w:rPr>
                <w:sz w:val="20"/>
                <w:szCs w:val="20"/>
              </w:rPr>
            </w:pPr>
            <w:r>
              <w:rPr>
                <w:sz w:val="20"/>
                <w:szCs w:val="20"/>
                <w:lang w:val="es-PE"/>
              </w:rPr>
              <w:t>PNUD</w:t>
            </w:r>
          </w:p>
        </w:tc>
        <w:tc>
          <w:tcPr>
            <w:tcW w:w="1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B49C30" w14:textId="77777777" w:rsidR="008E0205" w:rsidRDefault="008E0205">
            <w:pPr>
              <w:jc w:val="left"/>
              <w:rPr>
                <w:sz w:val="20"/>
                <w:szCs w:val="20"/>
              </w:rPr>
            </w:pPr>
            <w:r>
              <w:rPr>
                <w:sz w:val="20"/>
                <w:szCs w:val="20"/>
                <w:lang w:val="es-PE"/>
              </w:rPr>
              <w:t>31 de diciembre de 2021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4D8B7B9" w14:textId="77777777" w:rsidR="008E0205" w:rsidRDefault="008E0205">
            <w:pPr>
              <w:jc w:val="left"/>
              <w:rPr>
                <w:sz w:val="20"/>
                <w:szCs w:val="20"/>
                <w:lang w:val="en-CA" w:eastAsia="zh-CN"/>
              </w:rPr>
            </w:pPr>
            <w:r>
              <w:rPr>
                <w:sz w:val="20"/>
                <w:szCs w:val="20"/>
                <w:lang w:val="es-PE" w:eastAsia="zh-CN"/>
              </w:rPr>
              <w:t>30 de junio de 2022</w:t>
            </w:r>
          </w:p>
        </w:tc>
      </w:tr>
    </w:tbl>
    <w:p w14:paraId="49EB59F7" w14:textId="77777777" w:rsidR="008E0205" w:rsidRDefault="008E0205" w:rsidP="008E0205">
      <w:pPr>
        <w:jc w:val="left"/>
        <w:rPr>
          <w:sz w:val="20"/>
          <w:szCs w:val="20"/>
          <w:lang w:val="es-ES"/>
        </w:rPr>
      </w:pPr>
      <w:r>
        <w:rPr>
          <w:sz w:val="20"/>
          <w:szCs w:val="20"/>
          <w:lang w:val="es-PE"/>
        </w:rPr>
        <w:t xml:space="preserve">*Gobierno del Canadá, en calidad de organismo de ejecución cooperante. </w:t>
      </w:r>
    </w:p>
    <w:p w14:paraId="64E72934" w14:textId="77777777" w:rsidR="008E0205" w:rsidRDefault="008E0205" w:rsidP="008E0205">
      <w:pPr>
        <w:rPr>
          <w:b/>
          <w:lang w:val="es-ES"/>
        </w:rPr>
      </w:pPr>
    </w:p>
    <w:p w14:paraId="13248CE1" w14:textId="77777777" w:rsidR="008E0205" w:rsidRDefault="008E0205" w:rsidP="008E0205">
      <w:pPr>
        <w:spacing w:after="240"/>
        <w:rPr>
          <w:b/>
          <w:lang w:val="es-ES"/>
        </w:rPr>
      </w:pPr>
      <w:r>
        <w:rPr>
          <w:b/>
          <w:bCs/>
          <w:lang w:val="es-PE"/>
        </w:rPr>
        <w:t>Observaciones de la Secretaría</w:t>
      </w:r>
    </w:p>
    <w:p w14:paraId="7C3D572C" w14:textId="5D474622" w:rsidR="008E0205" w:rsidRDefault="008E0205" w:rsidP="00045A5C">
      <w:pPr>
        <w:numPr>
          <w:ilvl w:val="0"/>
          <w:numId w:val="1"/>
        </w:numPr>
        <w:tabs>
          <w:tab w:val="clear" w:pos="0"/>
          <w:tab w:val="num" w:pos="710"/>
        </w:tabs>
        <w:spacing w:after="240"/>
        <w:outlineLvl w:val="0"/>
        <w:rPr>
          <w:lang w:val="es-ES"/>
        </w:rPr>
      </w:pPr>
      <w:r>
        <w:rPr>
          <w:lang w:val="es-PE"/>
        </w:rPr>
        <w:t xml:space="preserve">Las razones tras las solicitudes de prórroga comprenden, entre otras, el tiempo adicional requerido para iniciar la ejecución, la coordinación entre las dependencias nacionales del ozono, las partes interesadas y los organismos de ejecución, así como la necesidad de completar todas las actividades previstas. La Secretaría tomó nota de que se habían abordado todas las cuestiones que habían retrasado el inicio de la ejecución, y de que se estaba avanzando con las actividades. Los Gobiernos de los países en cuestión son conscientes de que sus actividades de apoyo deberán finalizarse no más tarde de la fecha ampliada, y que </w:t>
      </w:r>
      <w:r>
        <w:rPr>
          <w:lang w:val="es-PE"/>
        </w:rPr>
        <w:lastRenderedPageBreak/>
        <w:t>los saldos se deberán devolver al Fondo dentro de los 12 meses posteriores a la fecha de finalización, de conformidad con la decisión 79/46.</w:t>
      </w:r>
    </w:p>
    <w:p w14:paraId="58461F1B" w14:textId="77777777" w:rsidR="008E0205" w:rsidRDefault="008E0205" w:rsidP="008E0205">
      <w:pPr>
        <w:keepNext/>
        <w:keepLines/>
        <w:spacing w:after="240"/>
        <w:outlineLvl w:val="0"/>
        <w:rPr>
          <w:b/>
          <w:lang w:val="es-ES"/>
        </w:rPr>
      </w:pPr>
      <w:r>
        <w:rPr>
          <w:b/>
          <w:bCs/>
          <w:lang w:val="es-PE"/>
        </w:rPr>
        <w:t>Recomendación</w:t>
      </w:r>
    </w:p>
    <w:p w14:paraId="15242CD9" w14:textId="0AC5FC8E" w:rsidR="008E0205" w:rsidRDefault="008E0205" w:rsidP="00045A5C">
      <w:pPr>
        <w:numPr>
          <w:ilvl w:val="0"/>
          <w:numId w:val="1"/>
        </w:numPr>
        <w:tabs>
          <w:tab w:val="clear" w:pos="0"/>
          <w:tab w:val="num" w:pos="710"/>
        </w:tabs>
        <w:spacing w:after="240"/>
        <w:outlineLvl w:val="0"/>
        <w:rPr>
          <w:lang w:val="es-ES"/>
        </w:rPr>
      </w:pPr>
      <w:r>
        <w:rPr>
          <w:lang w:val="es-PE"/>
        </w:rPr>
        <w:t xml:space="preserve">El Comité Ejecutivo podría considerar: </w:t>
      </w:r>
    </w:p>
    <w:p w14:paraId="27D932BC" w14:textId="36ED5DD6" w:rsidR="008E0205" w:rsidRPr="00045A5C" w:rsidRDefault="008E0205" w:rsidP="00045A5C">
      <w:pPr>
        <w:pStyle w:val="Heading2"/>
        <w:keepNext/>
        <w:widowControl/>
        <w:numPr>
          <w:ilvl w:val="1"/>
          <w:numId w:val="7"/>
        </w:numPr>
        <w:tabs>
          <w:tab w:val="clear" w:pos="0"/>
        </w:tabs>
        <w:rPr>
          <w:lang w:val="es-ES"/>
        </w:rPr>
      </w:pPr>
      <w:r w:rsidRPr="00045A5C">
        <w:rPr>
          <w:lang w:val="es-ES"/>
        </w:rPr>
        <w:t xml:space="preserve">Tomar nota de las solicitudes de prórroga para las actividades de apoyo para la reducción gradual de los HFC, presentadas por los respectivos organismos de ejecución de los seis países que operan al amparo del artículo 5, que se enumeran en el Cuadro 16 del documento UNEP/OzL.Pro/ExCom/87/9, y </w:t>
      </w:r>
    </w:p>
    <w:p w14:paraId="527C2F16" w14:textId="296873F6" w:rsidR="008E0205" w:rsidRDefault="008E0205" w:rsidP="00045A5C">
      <w:pPr>
        <w:pStyle w:val="Heading2"/>
        <w:keepNext/>
        <w:widowControl/>
        <w:numPr>
          <w:ilvl w:val="1"/>
          <w:numId w:val="7"/>
        </w:numPr>
        <w:tabs>
          <w:tab w:val="clear" w:pos="0"/>
        </w:tabs>
        <w:rPr>
          <w:lang w:val="es-ES"/>
        </w:rPr>
      </w:pPr>
      <w:r w:rsidRPr="00045A5C">
        <w:rPr>
          <w:lang w:val="es-ES"/>
        </w:rPr>
        <w:t>Ampliar la fecha de terminación de las actividades de apoyo para la reducción gradual</w:t>
      </w:r>
      <w:r>
        <w:rPr>
          <w:lang w:val="es-PE"/>
        </w:rPr>
        <w:t xml:space="preserve"> de los HFC al 30 de junio de 2022, para Argelia, Belice, Burundi, Haití y la República de </w:t>
      </w:r>
      <w:proofErr w:type="spellStart"/>
      <w:r>
        <w:rPr>
          <w:lang w:val="es-PE"/>
        </w:rPr>
        <w:t>Moldova</w:t>
      </w:r>
      <w:proofErr w:type="spellEnd"/>
      <w:r>
        <w:rPr>
          <w:lang w:val="es-PE"/>
        </w:rPr>
        <w:t xml:space="preserve"> y, al 31 de diciembre de 2022, para Guinea, en el entendimiento de que no se solicitará ningún otro plazo y de que los respectivos organismos de ejecución presentarán, en un plazo de seis meses desde la fecha de terminación del proyecto, un informe final sobre las actividades de apoyo realizadas, de conformidad con la decisión 81/32 b).</w:t>
      </w:r>
    </w:p>
    <w:p w14:paraId="01274234" w14:textId="77777777" w:rsidR="008E0205" w:rsidRDefault="008E0205" w:rsidP="008E0205">
      <w:pPr>
        <w:pStyle w:val="Heading1"/>
        <w:keepNext/>
        <w:numPr>
          <w:ilvl w:val="0"/>
          <w:numId w:val="0"/>
        </w:numPr>
        <w:tabs>
          <w:tab w:val="left" w:pos="720"/>
        </w:tabs>
        <w:ind w:left="1440" w:hanging="1440"/>
        <w:rPr>
          <w:b/>
          <w:lang w:val="es-ES"/>
        </w:rPr>
      </w:pPr>
      <w:r>
        <w:rPr>
          <w:b/>
          <w:bCs/>
          <w:lang w:val="es-PE"/>
        </w:rPr>
        <w:t>SECCIÓN III:</w:t>
      </w:r>
      <w:r>
        <w:rPr>
          <w:b/>
          <w:bCs/>
          <w:lang w:val="es-PE"/>
        </w:rPr>
        <w:tab/>
        <w:t>INFORMES SOBRE LOS PROYECTOS CON REQUISITOS ESPECÍFICOS DE PRESENTACIÓN DE INFORMES PARA CONSIDERACIÓN INDIVIDUAL</w:t>
      </w:r>
    </w:p>
    <w:p w14:paraId="5A2364E2" w14:textId="77777777" w:rsidR="008E0205" w:rsidRDefault="008E0205" w:rsidP="008E0205">
      <w:pPr>
        <w:spacing w:after="240"/>
        <w:ind w:left="1440" w:hanging="1440"/>
        <w:rPr>
          <w:lang w:val="es-ES"/>
        </w:rPr>
      </w:pPr>
      <w:r>
        <w:rPr>
          <w:b/>
          <w:bCs/>
          <w:u w:val="single"/>
          <w:lang w:val="es-PE"/>
        </w:rPr>
        <w:t>Informes relacionados con los planes de gestión de la eliminación de los HCFC</w:t>
      </w:r>
    </w:p>
    <w:p w14:paraId="1AE22173" w14:textId="77777777" w:rsidR="008E0205" w:rsidRDefault="008E0205" w:rsidP="008E0205">
      <w:pPr>
        <w:keepNext/>
        <w:keepLines/>
        <w:spacing w:after="240"/>
        <w:rPr>
          <w:u w:val="single"/>
          <w:lang w:val="es-ES"/>
        </w:rPr>
      </w:pPr>
      <w:r>
        <w:rPr>
          <w:u w:val="single"/>
          <w:lang w:val="es-PE"/>
        </w:rPr>
        <w:t>República Popular Democrática de Corea: plan de gestión de la eliminación de los HCFC (etapa I - informe sobre la marcha de las actividades en lo relativo a la ejecución de las actividades)</w:t>
      </w:r>
      <w:r w:rsidRPr="00045A5C">
        <w:rPr>
          <w:lang w:val="es-PE"/>
        </w:rPr>
        <w:t xml:space="preserve"> (ONUDI)</w:t>
      </w:r>
    </w:p>
    <w:p w14:paraId="7029F491" w14:textId="77777777" w:rsidR="008E0205" w:rsidRDefault="008E0205" w:rsidP="008E0205">
      <w:pPr>
        <w:keepNext/>
        <w:keepLines/>
        <w:spacing w:after="240"/>
        <w:rPr>
          <w:b/>
          <w:lang w:val="es-ES"/>
        </w:rPr>
      </w:pPr>
      <w:r>
        <w:rPr>
          <w:b/>
          <w:bCs/>
          <w:lang w:val="es-PE"/>
        </w:rPr>
        <w:t>Antecedentes</w:t>
      </w:r>
    </w:p>
    <w:p w14:paraId="14985CEF" w14:textId="13034A63" w:rsidR="008E0205" w:rsidRPr="00045A5C" w:rsidRDefault="008E0205" w:rsidP="00045A5C">
      <w:pPr>
        <w:numPr>
          <w:ilvl w:val="0"/>
          <w:numId w:val="1"/>
        </w:numPr>
        <w:tabs>
          <w:tab w:val="clear" w:pos="0"/>
          <w:tab w:val="num" w:pos="710"/>
        </w:tabs>
        <w:spacing w:after="240"/>
        <w:outlineLvl w:val="0"/>
        <w:rPr>
          <w:lang w:val="es-PE"/>
        </w:rPr>
      </w:pPr>
      <w:r>
        <w:rPr>
          <w:lang w:val="es-PE"/>
        </w:rPr>
        <w:t>En su 73ª reunión, el Comité Ejecutivo aprobó en principio la etapa I del PGEH para la República Popular Democrática de Corea, con la ONUDI en calidad de organismo de ejecución principal, y el PNUMA, en calidad de organismo de ejecución cooperante, con el fin de lograr una reducción del consumo de HCFC a un nivel sostenido de 66,30 toneladas PAO, a más tardar el 1º de enero de 2018 (esto es, un 15 por ciento por debajo del nivel básico de cumplimiento de los HCFC de 78,00 toneladas PAO). La aprobación se hizo después de que los organismos de ejecución confirmaran que podía ejecutarse la etapa I del PGEH, en cumplimiento de las resoluciones del Comité del Consejo de Seguridad de las Naciones Unidas</w:t>
      </w:r>
      <w:r w:rsidRPr="00045A5C">
        <w:rPr>
          <w:lang w:val="es-PE"/>
        </w:rPr>
        <w:footnoteReference w:customMarkFollows="1" w:id="50"/>
        <w:t>50</w:t>
      </w:r>
      <w:r>
        <w:rPr>
          <w:lang w:val="es-PE"/>
        </w:rPr>
        <w:t xml:space="preserve"> sobre la República Popular Democrática de Corea. </w:t>
      </w:r>
    </w:p>
    <w:p w14:paraId="3431F2D9" w14:textId="536F9CD1" w:rsidR="008E0205" w:rsidRDefault="008E0205" w:rsidP="00045A5C">
      <w:pPr>
        <w:numPr>
          <w:ilvl w:val="0"/>
          <w:numId w:val="1"/>
        </w:numPr>
        <w:tabs>
          <w:tab w:val="clear" w:pos="0"/>
          <w:tab w:val="num" w:pos="710"/>
        </w:tabs>
        <w:spacing w:after="240"/>
        <w:outlineLvl w:val="0"/>
        <w:rPr>
          <w:lang w:val="es-ES"/>
        </w:rPr>
      </w:pPr>
      <w:r>
        <w:rPr>
          <w:lang w:val="es-PE"/>
        </w:rPr>
        <w:t xml:space="preserve">Desde la aprobación de la etapa I, el Comité Ejecutivo ha aprobado tres de los cuatro tramos de financiación, por una cuantía total de 808 550 $EUA (esto es, 95,3 por ciento de los fondos totales por valor de 848 550 $EUA, aprobados en principio), así como la transferencia a la ONUDI de todas las actividades de eliminación que deberá ejecutar el PNUMA.  De conformidad con el Acuerdo entre el Gobierno y el Comité Ejecutivo, se había previsto presentar en la 81ª reunión el último tramo de la etapa I del PGEH, por la cuantía de 40 000 $EUA. Desde la 84ª reunión, la ONUDI no había podido presentar la solicitud de tramo, debido a las resoluciones del Comité del Consejo de Seguridad de las Naciones Unidas. </w:t>
      </w:r>
    </w:p>
    <w:p w14:paraId="7B3E473E" w14:textId="77777777" w:rsidR="008E0205" w:rsidRDefault="008E0205" w:rsidP="008E0205">
      <w:pPr>
        <w:keepNext/>
        <w:keepLines/>
        <w:spacing w:after="240"/>
        <w:rPr>
          <w:b/>
          <w:lang w:val="es-ES"/>
        </w:rPr>
      </w:pPr>
      <w:r>
        <w:rPr>
          <w:b/>
          <w:bCs/>
          <w:lang w:val="es-PE"/>
        </w:rPr>
        <w:t>Informe sobre la marcha de las actividades presentado a la 85ª reunión</w:t>
      </w:r>
    </w:p>
    <w:p w14:paraId="1F40229E" w14:textId="01AB3CE4" w:rsidR="008E0205" w:rsidRPr="00045A5C" w:rsidRDefault="008E0205" w:rsidP="00045A5C">
      <w:pPr>
        <w:numPr>
          <w:ilvl w:val="0"/>
          <w:numId w:val="1"/>
        </w:numPr>
        <w:tabs>
          <w:tab w:val="clear" w:pos="0"/>
          <w:tab w:val="num" w:pos="710"/>
        </w:tabs>
        <w:spacing w:after="240"/>
        <w:outlineLvl w:val="0"/>
        <w:rPr>
          <w:lang w:val="es-PE"/>
        </w:rPr>
      </w:pPr>
      <w:r>
        <w:rPr>
          <w:lang w:val="es-PE"/>
        </w:rPr>
        <w:t xml:space="preserve">La ONUDI presentó a la 85ª reunión un informe sobre la marcha de las actividades relativo a la ejecución de la etapa I del PGEH, en el que se enumeraban las actividades realizadas a la fecha, el nivel de </w:t>
      </w:r>
      <w:r>
        <w:rPr>
          <w:lang w:val="es-PE"/>
        </w:rPr>
        <w:lastRenderedPageBreak/>
        <w:t xml:space="preserve">desembolso alcanzado, los desafíos afrontados para la ejecución continua de las actividades, en cumplimiento de las resoluciones del Comité del Consejo de Seguridad de las Naciones Unidas, y una solicitud de orientación al Comité Ejecutivo. </w:t>
      </w:r>
    </w:p>
    <w:p w14:paraId="7A7CBC12" w14:textId="0C2EA207" w:rsidR="008E0205" w:rsidRDefault="008E0205" w:rsidP="00045A5C">
      <w:pPr>
        <w:numPr>
          <w:ilvl w:val="0"/>
          <w:numId w:val="1"/>
        </w:numPr>
        <w:tabs>
          <w:tab w:val="clear" w:pos="0"/>
          <w:tab w:val="num" w:pos="710"/>
        </w:tabs>
        <w:spacing w:after="240"/>
        <w:outlineLvl w:val="0"/>
        <w:rPr>
          <w:lang w:val="es-ES"/>
        </w:rPr>
      </w:pPr>
      <w:r>
        <w:rPr>
          <w:lang w:val="es-PE"/>
        </w:rPr>
        <w:t>En el informe se señala que, a pesar de las dificultades derivadas de las resoluciones del Comité del Consejo de Seguridad de las Naciones Unidas, en los tramos primero y segundo se habían realizado las principales actividades siguientes:</w:t>
      </w:r>
    </w:p>
    <w:p w14:paraId="1E47F2FB" w14:textId="37524BB7" w:rsidR="008E0205"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 xml:space="preserve">a compra de tres analizadores de refrigerantes para la oficina de aduanas del país; </w:t>
      </w:r>
    </w:p>
    <w:p w14:paraId="49414526" w14:textId="587D59F3" w:rsidR="008E0205" w:rsidRPr="00045A5C"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 xml:space="preserve">a compra de una máquina de espuma pulverizada para la fábrica </w:t>
      </w:r>
      <w:proofErr w:type="spellStart"/>
      <w:r w:rsidR="008E0205" w:rsidRPr="00045A5C">
        <w:rPr>
          <w:lang w:val="es-ES"/>
        </w:rPr>
        <w:t>Puhung</w:t>
      </w:r>
      <w:proofErr w:type="spellEnd"/>
      <w:r w:rsidR="008E0205" w:rsidRPr="00045A5C">
        <w:rPr>
          <w:lang w:val="es-ES"/>
        </w:rPr>
        <w:t xml:space="preserve"> </w:t>
      </w:r>
      <w:proofErr w:type="spellStart"/>
      <w:r w:rsidR="008E0205" w:rsidRPr="00045A5C">
        <w:rPr>
          <w:lang w:val="es-ES"/>
        </w:rPr>
        <w:t>Building</w:t>
      </w:r>
      <w:proofErr w:type="spellEnd"/>
      <w:r w:rsidR="008E0205" w:rsidRPr="00045A5C">
        <w:rPr>
          <w:lang w:val="es-ES"/>
        </w:rPr>
        <w:t xml:space="preserve"> Material, tras la autorización del Comité del Consejo de Seguridad de las Naciones Unidas en 2015, y la preparación de un contrato para el envío de equipos auxiliares, a fin de facilitar la instalación y la puesta en marcha de los equipos de espuma pulverizada;</w:t>
      </w:r>
    </w:p>
    <w:p w14:paraId="6806A4F5" w14:textId="6BF886D5" w:rsidR="008E0205" w:rsidRPr="00045A5C"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 xml:space="preserve">a compra de equipos de espuma de poliuretano (formiato de metilo), con la autorización del Comité del Consejo de Seguridad de las Naciones Unidas, de conformidad con los procedimientos establecidos en la resolución 2270 (2016) de dicho Comité; se expidió un contrato de compraventa a los proveedores de equipos; el envío se hizo por China, ya que no pudo despacharse directamente a la República Popular Democrática de Corea; sin embargo, fue rechazado por las autoridades aduaneras en China y devuelto al proveedor; </w:t>
      </w:r>
    </w:p>
    <w:p w14:paraId="61F34942" w14:textId="539FBD92" w:rsidR="008E0205" w:rsidRPr="00045A5C"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 xml:space="preserve">a compra de equipos de formación para los técnicos de servicio y mantenimiento de equipos de refrigeración y aire acondicionado, una vez recibido el visto bueno del Comité del Consejo de Seguridad de las Naciones Unidas, despachados y distribuidos a los técnicos de servicio y mantenimiento de equipos de refrigeración en junio de 2016; </w:t>
      </w:r>
    </w:p>
    <w:p w14:paraId="4D4E454A" w14:textId="4F197C0F" w:rsidR="008E0205" w:rsidRPr="00045A5C"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a organización de un taller de formación de instructores para 35 técnicos de servicio y mantenimiento de equipos de refrigeración y aire acondicionado, celebrado en agosto y septiembre de 2016;</w:t>
      </w:r>
    </w:p>
    <w:p w14:paraId="4EC4F954" w14:textId="10F5B218" w:rsidR="008E0205" w:rsidRPr="00045A5C"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a finalización de otra sesión de capacitación en buenas prácticas en servicio y mantenimiento de equipos de refrigeración y aire acondicionado para cinco instructores, celebrado en la India, en diciembre de 2016, y</w:t>
      </w:r>
    </w:p>
    <w:p w14:paraId="759DF65C" w14:textId="1553311A" w:rsidR="008E0205" w:rsidRDefault="00045A5C" w:rsidP="00045A5C">
      <w:pPr>
        <w:pStyle w:val="Heading2"/>
        <w:keepNext/>
        <w:widowControl/>
        <w:numPr>
          <w:ilvl w:val="1"/>
          <w:numId w:val="7"/>
        </w:numPr>
        <w:tabs>
          <w:tab w:val="clear" w:pos="0"/>
        </w:tabs>
        <w:rPr>
          <w:rFonts w:eastAsiaTheme="minorEastAsia"/>
          <w:lang w:val="es-ES" w:eastAsia="en-GB"/>
        </w:rPr>
      </w:pPr>
      <w:r>
        <w:rPr>
          <w:lang w:val="es-ES"/>
        </w:rPr>
        <w:t>L</w:t>
      </w:r>
      <w:r w:rsidR="008E0205" w:rsidRPr="00045A5C">
        <w:rPr>
          <w:lang w:val="es-ES"/>
        </w:rPr>
        <w:t>a celebración del primer taller de formación de instructores para 40 oficiales de aduanas en may</w:t>
      </w:r>
      <w:r w:rsidR="008E0205">
        <w:rPr>
          <w:lang w:val="es-PE"/>
        </w:rPr>
        <w:t>o de 2017.</w:t>
      </w:r>
    </w:p>
    <w:p w14:paraId="48012860" w14:textId="77777777" w:rsidR="008E0205" w:rsidRDefault="008E0205" w:rsidP="008E0205">
      <w:pPr>
        <w:spacing w:after="240"/>
        <w:rPr>
          <w:i/>
          <w:lang w:val="es-ES"/>
        </w:rPr>
      </w:pPr>
      <w:r>
        <w:rPr>
          <w:i/>
          <w:iCs/>
          <w:lang w:val="es-PE"/>
        </w:rPr>
        <w:t>Nivel de desembolso de los fondos</w:t>
      </w:r>
    </w:p>
    <w:p w14:paraId="6F76B593" w14:textId="62E7EF19" w:rsidR="008E0205" w:rsidRDefault="008E0205" w:rsidP="00045A5C">
      <w:pPr>
        <w:numPr>
          <w:ilvl w:val="0"/>
          <w:numId w:val="1"/>
        </w:numPr>
        <w:tabs>
          <w:tab w:val="clear" w:pos="0"/>
          <w:tab w:val="num" w:pos="710"/>
        </w:tabs>
        <w:spacing w:after="240"/>
        <w:outlineLvl w:val="0"/>
        <w:rPr>
          <w:color w:val="000000" w:themeColor="text1"/>
          <w:lang w:val="es-ES"/>
        </w:rPr>
      </w:pPr>
      <w:r>
        <w:rPr>
          <w:lang w:val="es-PE"/>
        </w:rPr>
        <w:t>Al 30 de marzo de 2020, de la cuantía total de 808 550 $EUA de fondos aprobados, se habían desembolsado 303 313 $EUA (36 por ciento),</w:t>
      </w:r>
      <w:r>
        <w:rPr>
          <w:color w:val="000000"/>
          <w:lang w:val="es-PE"/>
        </w:rPr>
        <w:t xml:space="preserve"> como se indica en el Cuadro 17.</w:t>
      </w:r>
    </w:p>
    <w:p w14:paraId="3820CC47" w14:textId="77777777" w:rsidR="008E0205" w:rsidRDefault="008E0205" w:rsidP="008E0205">
      <w:pPr>
        <w:rPr>
          <w:b/>
          <w:color w:val="000000" w:themeColor="text1"/>
          <w:sz w:val="21"/>
          <w:szCs w:val="21"/>
          <w:lang w:val="es-ES"/>
        </w:rPr>
      </w:pPr>
      <w:r>
        <w:rPr>
          <w:b/>
          <w:bCs/>
          <w:color w:val="000000"/>
          <w:sz w:val="21"/>
          <w:szCs w:val="21"/>
          <w:lang w:val="es-PE"/>
        </w:rPr>
        <w:t>Cuadro 17. Informe financiero de la etapa I del PGEH para la República Popular Democrática de Corea ($EUA).</w:t>
      </w:r>
    </w:p>
    <w:tbl>
      <w:tblPr>
        <w:tblW w:w="5000" w:type="pct"/>
        <w:tblLook w:val="04A0" w:firstRow="1" w:lastRow="0" w:firstColumn="1" w:lastColumn="0" w:noHBand="0" w:noVBand="1"/>
      </w:tblPr>
      <w:tblGrid>
        <w:gridCol w:w="2337"/>
        <w:gridCol w:w="2337"/>
        <w:gridCol w:w="2338"/>
        <w:gridCol w:w="2338"/>
      </w:tblGrid>
      <w:tr w:rsidR="008E0205" w14:paraId="76F44EEA" w14:textId="77777777" w:rsidTr="008E0205">
        <w:trPr>
          <w:trHeight w:val="314"/>
          <w:tblHeader/>
        </w:trPr>
        <w:tc>
          <w:tcPr>
            <w:tcW w:w="1250" w:type="pct"/>
            <w:tcBorders>
              <w:top w:val="single" w:sz="4" w:space="0" w:color="auto"/>
              <w:left w:val="single" w:sz="4" w:space="0" w:color="auto"/>
              <w:bottom w:val="single" w:sz="4" w:space="0" w:color="auto"/>
              <w:right w:val="single" w:sz="4" w:space="0" w:color="auto"/>
            </w:tcBorders>
            <w:noWrap/>
            <w:vAlign w:val="center"/>
            <w:hideMark/>
          </w:tcPr>
          <w:p w14:paraId="5D498DA4" w14:textId="77777777" w:rsidR="008E0205" w:rsidRDefault="008E0205">
            <w:pPr>
              <w:jc w:val="center"/>
              <w:rPr>
                <w:b/>
                <w:bCs/>
                <w:color w:val="000000"/>
                <w:sz w:val="20"/>
                <w:szCs w:val="20"/>
                <w:lang w:val="en-CA" w:eastAsia="en-CA"/>
              </w:rPr>
            </w:pPr>
            <w:r>
              <w:rPr>
                <w:b/>
                <w:bCs/>
                <w:color w:val="000000"/>
                <w:sz w:val="20"/>
                <w:szCs w:val="20"/>
                <w:lang w:val="es-PE" w:eastAsia="en-CA"/>
              </w:rPr>
              <w:t>Tramo</w:t>
            </w:r>
          </w:p>
        </w:tc>
        <w:tc>
          <w:tcPr>
            <w:tcW w:w="1250" w:type="pct"/>
            <w:tcBorders>
              <w:top w:val="single" w:sz="4" w:space="0" w:color="auto"/>
              <w:left w:val="nil"/>
              <w:bottom w:val="single" w:sz="4" w:space="0" w:color="auto"/>
              <w:right w:val="single" w:sz="4" w:space="0" w:color="auto"/>
            </w:tcBorders>
            <w:noWrap/>
            <w:vAlign w:val="center"/>
            <w:hideMark/>
          </w:tcPr>
          <w:p w14:paraId="69CBC237" w14:textId="77777777" w:rsidR="008E0205" w:rsidRDefault="008E0205">
            <w:pPr>
              <w:jc w:val="center"/>
              <w:rPr>
                <w:b/>
                <w:bCs/>
                <w:color w:val="000000"/>
                <w:sz w:val="20"/>
                <w:szCs w:val="20"/>
                <w:lang w:val="en-CA" w:eastAsia="en-CA"/>
              </w:rPr>
            </w:pPr>
            <w:r>
              <w:rPr>
                <w:b/>
                <w:bCs/>
                <w:color w:val="000000"/>
                <w:sz w:val="20"/>
                <w:szCs w:val="20"/>
                <w:lang w:val="es-PE" w:eastAsia="en-CA"/>
              </w:rPr>
              <w:t>Aprobado</w:t>
            </w:r>
          </w:p>
        </w:tc>
        <w:tc>
          <w:tcPr>
            <w:tcW w:w="1250" w:type="pct"/>
            <w:tcBorders>
              <w:top w:val="single" w:sz="4" w:space="0" w:color="auto"/>
              <w:left w:val="nil"/>
              <w:bottom w:val="single" w:sz="4" w:space="0" w:color="auto"/>
              <w:right w:val="single" w:sz="4" w:space="0" w:color="auto"/>
            </w:tcBorders>
            <w:noWrap/>
            <w:vAlign w:val="center"/>
            <w:hideMark/>
          </w:tcPr>
          <w:p w14:paraId="48E69890" w14:textId="77777777" w:rsidR="008E0205" w:rsidRDefault="008E0205">
            <w:pPr>
              <w:jc w:val="center"/>
              <w:rPr>
                <w:b/>
                <w:bCs/>
                <w:color w:val="000000"/>
                <w:sz w:val="20"/>
                <w:szCs w:val="20"/>
                <w:lang w:val="en-CA" w:eastAsia="en-CA"/>
              </w:rPr>
            </w:pPr>
            <w:r>
              <w:rPr>
                <w:b/>
                <w:bCs/>
                <w:color w:val="000000"/>
                <w:sz w:val="20"/>
                <w:szCs w:val="20"/>
                <w:lang w:val="es-PE" w:eastAsia="en-CA"/>
              </w:rPr>
              <w:t>Desembolsado</w:t>
            </w:r>
          </w:p>
        </w:tc>
        <w:tc>
          <w:tcPr>
            <w:tcW w:w="1250" w:type="pct"/>
            <w:tcBorders>
              <w:top w:val="single" w:sz="4" w:space="0" w:color="auto"/>
              <w:left w:val="nil"/>
              <w:bottom w:val="single" w:sz="4" w:space="0" w:color="auto"/>
              <w:right w:val="single" w:sz="4" w:space="0" w:color="auto"/>
            </w:tcBorders>
            <w:noWrap/>
            <w:vAlign w:val="center"/>
            <w:hideMark/>
          </w:tcPr>
          <w:p w14:paraId="5177AB52" w14:textId="77777777" w:rsidR="008E0205" w:rsidRDefault="008E0205">
            <w:pPr>
              <w:jc w:val="center"/>
              <w:rPr>
                <w:b/>
                <w:bCs/>
                <w:color w:val="000000"/>
                <w:sz w:val="20"/>
                <w:szCs w:val="20"/>
                <w:lang w:val="en-CA" w:eastAsia="en-CA"/>
              </w:rPr>
            </w:pPr>
            <w:r>
              <w:rPr>
                <w:b/>
                <w:bCs/>
                <w:color w:val="000000"/>
                <w:sz w:val="20"/>
                <w:szCs w:val="20"/>
                <w:lang w:val="es-PE" w:eastAsia="en-CA"/>
              </w:rPr>
              <w:t>Tasa de desembolso (%)</w:t>
            </w:r>
          </w:p>
        </w:tc>
      </w:tr>
      <w:tr w:rsidR="008E0205" w14:paraId="70F55D1D" w14:textId="77777777" w:rsidTr="008E0205">
        <w:trPr>
          <w:trHeight w:val="89"/>
        </w:trPr>
        <w:tc>
          <w:tcPr>
            <w:tcW w:w="1250" w:type="pct"/>
            <w:tcBorders>
              <w:top w:val="nil"/>
              <w:left w:val="single" w:sz="4" w:space="0" w:color="auto"/>
              <w:bottom w:val="single" w:sz="4" w:space="0" w:color="auto"/>
              <w:right w:val="single" w:sz="4" w:space="0" w:color="auto"/>
            </w:tcBorders>
            <w:noWrap/>
            <w:vAlign w:val="bottom"/>
            <w:hideMark/>
          </w:tcPr>
          <w:p w14:paraId="158456F4" w14:textId="77777777" w:rsidR="008E0205" w:rsidRDefault="008E0205">
            <w:pPr>
              <w:jc w:val="left"/>
              <w:rPr>
                <w:color w:val="000000"/>
                <w:sz w:val="20"/>
                <w:szCs w:val="20"/>
                <w:lang w:val="en-CA" w:eastAsia="en-CA"/>
              </w:rPr>
            </w:pPr>
            <w:r>
              <w:rPr>
                <w:color w:val="000000"/>
                <w:sz w:val="20"/>
                <w:szCs w:val="20"/>
                <w:lang w:val="es-PE" w:eastAsia="en-CA"/>
              </w:rPr>
              <w:t xml:space="preserve">Primero </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11089081" w14:textId="77777777" w:rsidR="008E0205" w:rsidRDefault="008E0205">
            <w:pPr>
              <w:jc w:val="right"/>
              <w:rPr>
                <w:color w:val="000000"/>
                <w:sz w:val="20"/>
                <w:szCs w:val="20"/>
                <w:lang w:val="en-CA" w:eastAsia="en-CA"/>
              </w:rPr>
            </w:pPr>
            <w:r>
              <w:rPr>
                <w:color w:val="000000"/>
                <w:sz w:val="20"/>
                <w:szCs w:val="20"/>
                <w:lang w:val="es-PE" w:eastAsia="en-CA"/>
              </w:rPr>
              <w:t>134 003</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109C71BE" w14:textId="77777777" w:rsidR="008E0205" w:rsidRDefault="008E0205">
            <w:pPr>
              <w:jc w:val="right"/>
              <w:rPr>
                <w:color w:val="000000"/>
                <w:sz w:val="20"/>
                <w:szCs w:val="20"/>
                <w:lang w:val="en-CA" w:eastAsia="en-CA"/>
              </w:rPr>
            </w:pPr>
            <w:r>
              <w:rPr>
                <w:color w:val="000000"/>
                <w:sz w:val="20"/>
                <w:szCs w:val="20"/>
                <w:lang w:val="es-PE" w:eastAsia="en-CA"/>
              </w:rPr>
              <w:t>87 386</w:t>
            </w:r>
          </w:p>
        </w:tc>
        <w:tc>
          <w:tcPr>
            <w:tcW w:w="1250" w:type="pct"/>
            <w:tcBorders>
              <w:top w:val="nil"/>
              <w:left w:val="nil"/>
              <w:bottom w:val="single" w:sz="4" w:space="0" w:color="auto"/>
              <w:right w:val="single" w:sz="4" w:space="0" w:color="auto"/>
            </w:tcBorders>
            <w:noWrap/>
            <w:tcMar>
              <w:top w:w="0" w:type="dxa"/>
              <w:left w:w="0" w:type="dxa"/>
              <w:bottom w:w="0" w:type="dxa"/>
              <w:right w:w="864" w:type="dxa"/>
            </w:tcMar>
            <w:vAlign w:val="center"/>
            <w:hideMark/>
          </w:tcPr>
          <w:p w14:paraId="5CC4476F" w14:textId="77777777" w:rsidR="008E0205" w:rsidRDefault="008E0205">
            <w:pPr>
              <w:jc w:val="right"/>
              <w:rPr>
                <w:color w:val="000000"/>
                <w:sz w:val="20"/>
                <w:szCs w:val="20"/>
                <w:lang w:val="en-CA" w:eastAsia="en-CA"/>
              </w:rPr>
            </w:pPr>
            <w:r>
              <w:rPr>
                <w:color w:val="000000"/>
                <w:sz w:val="20"/>
                <w:szCs w:val="20"/>
                <w:lang w:val="es-PE" w:eastAsia="en-CA"/>
              </w:rPr>
              <w:t>65,2</w:t>
            </w:r>
          </w:p>
        </w:tc>
      </w:tr>
      <w:tr w:rsidR="008E0205" w14:paraId="799492AD" w14:textId="77777777" w:rsidTr="008E0205">
        <w:trPr>
          <w:trHeight w:val="107"/>
        </w:trPr>
        <w:tc>
          <w:tcPr>
            <w:tcW w:w="1250" w:type="pct"/>
            <w:tcBorders>
              <w:top w:val="nil"/>
              <w:left w:val="single" w:sz="4" w:space="0" w:color="auto"/>
              <w:bottom w:val="single" w:sz="4" w:space="0" w:color="auto"/>
              <w:right w:val="single" w:sz="4" w:space="0" w:color="auto"/>
            </w:tcBorders>
            <w:noWrap/>
            <w:vAlign w:val="bottom"/>
            <w:hideMark/>
          </w:tcPr>
          <w:p w14:paraId="1002220A" w14:textId="77777777" w:rsidR="008E0205" w:rsidRDefault="008E0205">
            <w:pPr>
              <w:jc w:val="left"/>
              <w:rPr>
                <w:color w:val="000000"/>
                <w:sz w:val="20"/>
                <w:szCs w:val="20"/>
                <w:lang w:val="en-CA" w:eastAsia="en-CA"/>
              </w:rPr>
            </w:pPr>
            <w:r>
              <w:rPr>
                <w:color w:val="000000"/>
                <w:sz w:val="20"/>
                <w:szCs w:val="20"/>
                <w:lang w:val="es-PE" w:eastAsia="en-CA"/>
              </w:rPr>
              <w:t xml:space="preserve">Segundo  </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3CE0A0E4" w14:textId="77777777" w:rsidR="008E0205" w:rsidRDefault="008E0205">
            <w:pPr>
              <w:jc w:val="right"/>
              <w:rPr>
                <w:color w:val="000000"/>
                <w:sz w:val="20"/>
                <w:szCs w:val="20"/>
                <w:lang w:val="en-CA" w:eastAsia="en-CA"/>
              </w:rPr>
            </w:pPr>
            <w:r>
              <w:rPr>
                <w:color w:val="000000"/>
                <w:sz w:val="20"/>
                <w:szCs w:val="20"/>
                <w:lang w:val="es-PE" w:eastAsia="en-CA"/>
              </w:rPr>
              <w:t>506 680</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10891AB4" w14:textId="77777777" w:rsidR="008E0205" w:rsidRDefault="008E0205">
            <w:pPr>
              <w:jc w:val="right"/>
              <w:rPr>
                <w:color w:val="000000"/>
                <w:sz w:val="20"/>
                <w:szCs w:val="20"/>
                <w:lang w:val="en-CA" w:eastAsia="en-CA"/>
              </w:rPr>
            </w:pPr>
            <w:r>
              <w:rPr>
                <w:color w:val="000000"/>
                <w:sz w:val="20"/>
                <w:szCs w:val="20"/>
                <w:lang w:val="es-PE" w:eastAsia="en-CA"/>
              </w:rPr>
              <w:t>211 110</w:t>
            </w:r>
          </w:p>
        </w:tc>
        <w:tc>
          <w:tcPr>
            <w:tcW w:w="1250" w:type="pct"/>
            <w:tcBorders>
              <w:top w:val="nil"/>
              <w:left w:val="nil"/>
              <w:bottom w:val="single" w:sz="4" w:space="0" w:color="auto"/>
              <w:right w:val="single" w:sz="4" w:space="0" w:color="auto"/>
            </w:tcBorders>
            <w:noWrap/>
            <w:tcMar>
              <w:top w:w="0" w:type="dxa"/>
              <w:left w:w="0" w:type="dxa"/>
              <w:bottom w:w="0" w:type="dxa"/>
              <w:right w:w="864" w:type="dxa"/>
            </w:tcMar>
            <w:vAlign w:val="center"/>
            <w:hideMark/>
          </w:tcPr>
          <w:p w14:paraId="76D236FE" w14:textId="77777777" w:rsidR="008E0205" w:rsidRDefault="008E0205">
            <w:pPr>
              <w:jc w:val="right"/>
              <w:rPr>
                <w:color w:val="000000"/>
                <w:sz w:val="20"/>
                <w:szCs w:val="20"/>
                <w:lang w:val="en-CA" w:eastAsia="en-CA"/>
              </w:rPr>
            </w:pPr>
            <w:r>
              <w:rPr>
                <w:color w:val="000000"/>
                <w:sz w:val="20"/>
                <w:szCs w:val="20"/>
                <w:lang w:val="es-PE" w:eastAsia="en-CA"/>
              </w:rPr>
              <w:t>41,7</w:t>
            </w:r>
          </w:p>
        </w:tc>
      </w:tr>
      <w:tr w:rsidR="008E0205" w14:paraId="44286DDD" w14:textId="77777777" w:rsidTr="008E0205">
        <w:trPr>
          <w:trHeight w:val="47"/>
        </w:trPr>
        <w:tc>
          <w:tcPr>
            <w:tcW w:w="1250" w:type="pct"/>
            <w:tcBorders>
              <w:top w:val="nil"/>
              <w:left w:val="single" w:sz="4" w:space="0" w:color="auto"/>
              <w:bottom w:val="single" w:sz="4" w:space="0" w:color="auto"/>
              <w:right w:val="single" w:sz="4" w:space="0" w:color="auto"/>
            </w:tcBorders>
            <w:noWrap/>
            <w:vAlign w:val="bottom"/>
            <w:hideMark/>
          </w:tcPr>
          <w:p w14:paraId="53CBDFF9" w14:textId="77777777" w:rsidR="008E0205" w:rsidRDefault="008E0205">
            <w:pPr>
              <w:jc w:val="left"/>
              <w:rPr>
                <w:color w:val="000000"/>
                <w:sz w:val="20"/>
                <w:szCs w:val="20"/>
                <w:lang w:val="en-CA" w:eastAsia="en-CA"/>
              </w:rPr>
            </w:pPr>
            <w:r>
              <w:rPr>
                <w:color w:val="000000"/>
                <w:sz w:val="20"/>
                <w:szCs w:val="20"/>
                <w:lang w:val="es-PE" w:eastAsia="en-CA"/>
              </w:rPr>
              <w:t xml:space="preserve">Tercero </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4F5C274D" w14:textId="77777777" w:rsidR="008E0205" w:rsidRDefault="008E0205">
            <w:pPr>
              <w:jc w:val="right"/>
              <w:rPr>
                <w:color w:val="000000"/>
                <w:sz w:val="20"/>
                <w:szCs w:val="20"/>
                <w:lang w:val="en-CA" w:eastAsia="en-CA"/>
              </w:rPr>
            </w:pPr>
            <w:r>
              <w:rPr>
                <w:color w:val="000000"/>
                <w:sz w:val="20"/>
                <w:szCs w:val="20"/>
                <w:lang w:val="es-PE" w:eastAsia="en-CA"/>
              </w:rPr>
              <w:t>167 867</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1D5C98A1" w14:textId="77777777" w:rsidR="008E0205" w:rsidRDefault="008E0205">
            <w:pPr>
              <w:jc w:val="right"/>
              <w:rPr>
                <w:color w:val="000000"/>
                <w:sz w:val="20"/>
                <w:szCs w:val="20"/>
                <w:lang w:val="en-CA" w:eastAsia="en-CA"/>
              </w:rPr>
            </w:pPr>
            <w:r>
              <w:rPr>
                <w:color w:val="000000"/>
                <w:sz w:val="20"/>
                <w:szCs w:val="20"/>
                <w:lang w:val="es-PE" w:eastAsia="en-CA"/>
              </w:rPr>
              <w:t>1 817</w:t>
            </w:r>
          </w:p>
        </w:tc>
        <w:tc>
          <w:tcPr>
            <w:tcW w:w="1250" w:type="pct"/>
            <w:tcBorders>
              <w:top w:val="nil"/>
              <w:left w:val="nil"/>
              <w:bottom w:val="single" w:sz="4" w:space="0" w:color="auto"/>
              <w:right w:val="single" w:sz="4" w:space="0" w:color="auto"/>
            </w:tcBorders>
            <w:noWrap/>
            <w:tcMar>
              <w:top w:w="0" w:type="dxa"/>
              <w:left w:w="0" w:type="dxa"/>
              <w:bottom w:w="0" w:type="dxa"/>
              <w:right w:w="864" w:type="dxa"/>
            </w:tcMar>
            <w:vAlign w:val="center"/>
            <w:hideMark/>
          </w:tcPr>
          <w:p w14:paraId="0458224C" w14:textId="77777777" w:rsidR="008E0205" w:rsidRDefault="008E0205">
            <w:pPr>
              <w:jc w:val="right"/>
              <w:rPr>
                <w:color w:val="000000"/>
                <w:sz w:val="20"/>
                <w:szCs w:val="20"/>
                <w:lang w:val="en-CA" w:eastAsia="en-CA"/>
              </w:rPr>
            </w:pPr>
            <w:r>
              <w:rPr>
                <w:color w:val="000000"/>
                <w:sz w:val="20"/>
                <w:szCs w:val="20"/>
                <w:lang w:val="es-PE" w:eastAsia="en-CA"/>
              </w:rPr>
              <w:t>1,1</w:t>
            </w:r>
          </w:p>
        </w:tc>
      </w:tr>
      <w:tr w:rsidR="008E0205" w14:paraId="73A27156" w14:textId="77777777" w:rsidTr="008E0205">
        <w:trPr>
          <w:trHeight w:val="62"/>
        </w:trPr>
        <w:tc>
          <w:tcPr>
            <w:tcW w:w="1250" w:type="pct"/>
            <w:tcBorders>
              <w:top w:val="nil"/>
              <w:left w:val="single" w:sz="4" w:space="0" w:color="auto"/>
              <w:bottom w:val="single" w:sz="4" w:space="0" w:color="auto"/>
              <w:right w:val="single" w:sz="4" w:space="0" w:color="auto"/>
            </w:tcBorders>
            <w:noWrap/>
            <w:vAlign w:val="bottom"/>
            <w:hideMark/>
          </w:tcPr>
          <w:p w14:paraId="5E0B9039" w14:textId="77777777" w:rsidR="008E0205" w:rsidRDefault="008E0205">
            <w:pPr>
              <w:jc w:val="left"/>
              <w:rPr>
                <w:b/>
                <w:color w:val="000000"/>
                <w:sz w:val="20"/>
                <w:szCs w:val="20"/>
                <w:lang w:val="en-CA" w:eastAsia="en-CA"/>
              </w:rPr>
            </w:pPr>
            <w:r>
              <w:rPr>
                <w:b/>
                <w:bCs/>
                <w:color w:val="000000"/>
                <w:sz w:val="20"/>
                <w:szCs w:val="20"/>
                <w:lang w:val="es-PE" w:eastAsia="en-CA"/>
              </w:rPr>
              <w:t>Total</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7CA8CBD8" w14:textId="77777777" w:rsidR="008E0205" w:rsidRDefault="008E0205">
            <w:pPr>
              <w:jc w:val="right"/>
              <w:rPr>
                <w:b/>
                <w:color w:val="000000"/>
                <w:sz w:val="20"/>
                <w:szCs w:val="20"/>
                <w:lang w:val="en-CA" w:eastAsia="en-CA"/>
              </w:rPr>
            </w:pPr>
            <w:r>
              <w:rPr>
                <w:b/>
                <w:bCs/>
                <w:color w:val="000000"/>
                <w:sz w:val="20"/>
                <w:szCs w:val="20"/>
                <w:lang w:val="es-PE" w:eastAsia="en-CA"/>
              </w:rPr>
              <w:t>808 550</w:t>
            </w:r>
          </w:p>
        </w:tc>
        <w:tc>
          <w:tcPr>
            <w:tcW w:w="1250" w:type="pct"/>
            <w:tcBorders>
              <w:top w:val="nil"/>
              <w:left w:val="nil"/>
              <w:bottom w:val="single" w:sz="4" w:space="0" w:color="auto"/>
              <w:right w:val="single" w:sz="4" w:space="0" w:color="auto"/>
            </w:tcBorders>
            <w:noWrap/>
            <w:tcMar>
              <w:top w:w="0" w:type="dxa"/>
              <w:left w:w="115" w:type="dxa"/>
              <w:bottom w:w="0" w:type="dxa"/>
              <w:right w:w="576" w:type="dxa"/>
            </w:tcMar>
            <w:vAlign w:val="bottom"/>
            <w:hideMark/>
          </w:tcPr>
          <w:p w14:paraId="72A1284F" w14:textId="77777777" w:rsidR="008E0205" w:rsidRDefault="008E0205">
            <w:pPr>
              <w:jc w:val="right"/>
              <w:rPr>
                <w:b/>
                <w:color w:val="000000"/>
                <w:sz w:val="20"/>
                <w:szCs w:val="20"/>
                <w:lang w:val="en-CA" w:eastAsia="en-CA"/>
              </w:rPr>
            </w:pPr>
            <w:r>
              <w:rPr>
                <w:b/>
                <w:bCs/>
                <w:color w:val="000000"/>
                <w:sz w:val="20"/>
                <w:szCs w:val="20"/>
                <w:lang w:val="es-PE" w:eastAsia="en-CA"/>
              </w:rPr>
              <w:t>300 313</w:t>
            </w:r>
          </w:p>
        </w:tc>
        <w:tc>
          <w:tcPr>
            <w:tcW w:w="1250" w:type="pct"/>
            <w:tcBorders>
              <w:top w:val="nil"/>
              <w:left w:val="nil"/>
              <w:bottom w:val="single" w:sz="4" w:space="0" w:color="auto"/>
              <w:right w:val="single" w:sz="4" w:space="0" w:color="auto"/>
            </w:tcBorders>
            <w:noWrap/>
            <w:tcMar>
              <w:top w:w="0" w:type="dxa"/>
              <w:left w:w="0" w:type="dxa"/>
              <w:bottom w:w="0" w:type="dxa"/>
              <w:right w:w="864" w:type="dxa"/>
            </w:tcMar>
            <w:vAlign w:val="center"/>
            <w:hideMark/>
          </w:tcPr>
          <w:p w14:paraId="2B944EDE" w14:textId="77777777" w:rsidR="008E0205" w:rsidRDefault="008E0205">
            <w:pPr>
              <w:jc w:val="right"/>
              <w:rPr>
                <w:b/>
                <w:color w:val="000000"/>
                <w:sz w:val="20"/>
                <w:szCs w:val="20"/>
                <w:lang w:val="en-CA" w:eastAsia="en-CA"/>
              </w:rPr>
            </w:pPr>
            <w:r>
              <w:rPr>
                <w:b/>
                <w:bCs/>
                <w:color w:val="000000"/>
                <w:sz w:val="20"/>
                <w:szCs w:val="20"/>
                <w:lang w:val="es-PE" w:eastAsia="en-CA"/>
              </w:rPr>
              <w:t>36,0</w:t>
            </w:r>
          </w:p>
        </w:tc>
      </w:tr>
    </w:tbl>
    <w:p w14:paraId="39E2F684" w14:textId="77777777" w:rsidR="008E0205" w:rsidRDefault="008E0205" w:rsidP="008E0205">
      <w:pPr>
        <w:outlineLvl w:val="0"/>
      </w:pPr>
    </w:p>
    <w:p w14:paraId="5317EC9C" w14:textId="77777777" w:rsidR="008E0205" w:rsidRDefault="008E0205" w:rsidP="008E0205">
      <w:pPr>
        <w:spacing w:after="240"/>
        <w:outlineLvl w:val="0"/>
        <w:rPr>
          <w:i/>
          <w:lang w:val="es-ES"/>
        </w:rPr>
      </w:pPr>
      <w:r>
        <w:rPr>
          <w:i/>
          <w:iCs/>
          <w:lang w:val="es-PE"/>
        </w:rPr>
        <w:t>Actualización del plan de ejecución de la etapa I del plan de gestión de la eliminación de los HCFC</w:t>
      </w:r>
    </w:p>
    <w:p w14:paraId="57DD0186" w14:textId="4C9EEF41" w:rsidR="008E0205" w:rsidRDefault="008E0205" w:rsidP="00045A5C">
      <w:pPr>
        <w:numPr>
          <w:ilvl w:val="0"/>
          <w:numId w:val="1"/>
        </w:numPr>
        <w:tabs>
          <w:tab w:val="clear" w:pos="0"/>
          <w:tab w:val="num" w:pos="710"/>
        </w:tabs>
        <w:spacing w:after="240"/>
        <w:outlineLvl w:val="0"/>
        <w:rPr>
          <w:lang w:val="es-ES"/>
        </w:rPr>
      </w:pPr>
      <w:r>
        <w:rPr>
          <w:lang w:val="es-PE"/>
        </w:rPr>
        <w:lastRenderedPageBreak/>
        <w:t>Algunas de las actividades que todavía no se han llevado a cabo son:</w:t>
      </w:r>
    </w:p>
    <w:p w14:paraId="54905E40" w14:textId="139CF4F4" w:rsidR="008E0205" w:rsidRPr="00045A5C" w:rsidRDefault="00045A5C" w:rsidP="00045A5C">
      <w:pPr>
        <w:pStyle w:val="Heading2"/>
        <w:keepNext/>
        <w:widowControl/>
        <w:numPr>
          <w:ilvl w:val="1"/>
          <w:numId w:val="7"/>
        </w:numPr>
        <w:tabs>
          <w:tab w:val="clear" w:pos="0"/>
        </w:tabs>
        <w:rPr>
          <w:lang w:val="es-ES"/>
        </w:rPr>
      </w:pPr>
      <w:r>
        <w:rPr>
          <w:lang w:val="es-ES"/>
        </w:rPr>
        <w:t>E</w:t>
      </w:r>
      <w:r w:rsidR="008E0205" w:rsidRPr="00045A5C">
        <w:rPr>
          <w:lang w:val="es-ES"/>
        </w:rPr>
        <w:t xml:space="preserve">l seguimiento de los talleres de capacitación para técnicos de servicio y mantenimiento de equipos de refrigeración y aire acondicionado y oficiales de aduanas; </w:t>
      </w:r>
    </w:p>
    <w:p w14:paraId="417C9EA8" w14:textId="027CC56F" w:rsidR="008E0205" w:rsidRDefault="00045A5C" w:rsidP="00045A5C">
      <w:pPr>
        <w:pStyle w:val="Heading2"/>
        <w:keepNext/>
        <w:widowControl/>
        <w:numPr>
          <w:ilvl w:val="1"/>
          <w:numId w:val="7"/>
        </w:numPr>
        <w:tabs>
          <w:tab w:val="clear" w:pos="0"/>
        </w:tabs>
        <w:rPr>
          <w:lang w:val="es-ES"/>
        </w:rPr>
      </w:pPr>
      <w:r>
        <w:rPr>
          <w:lang w:val="es-ES"/>
        </w:rPr>
        <w:t>E</w:t>
      </w:r>
      <w:r w:rsidR="008E0205" w:rsidRPr="00045A5C">
        <w:rPr>
          <w:lang w:val="es-ES"/>
        </w:rPr>
        <w:t>l inventario de los centros de regeneración y recuperación existentes y la compra de otros equipos, y</w:t>
      </w:r>
    </w:p>
    <w:p w14:paraId="64DF71F7" w14:textId="1FB7E989" w:rsidR="008E0205" w:rsidRDefault="00045A5C" w:rsidP="00045A5C">
      <w:pPr>
        <w:pStyle w:val="Heading2"/>
        <w:keepNext/>
        <w:widowControl/>
        <w:numPr>
          <w:ilvl w:val="1"/>
          <w:numId w:val="7"/>
        </w:numPr>
        <w:tabs>
          <w:tab w:val="clear" w:pos="0"/>
        </w:tabs>
        <w:rPr>
          <w:lang w:val="es-ES"/>
        </w:rPr>
      </w:pPr>
      <w:r>
        <w:rPr>
          <w:lang w:val="es-ES"/>
        </w:rPr>
        <w:t>L</w:t>
      </w:r>
      <w:r w:rsidR="008E0205" w:rsidRPr="00045A5C">
        <w:rPr>
          <w:lang w:val="es-ES"/>
        </w:rPr>
        <w:t>a creación de la dependencia de gestión de proyectos, una vez aprobado el canal de transferencia</w:t>
      </w:r>
      <w:r w:rsidR="008E0205">
        <w:rPr>
          <w:lang w:val="es-PE"/>
        </w:rPr>
        <w:t xml:space="preserve"> de los fondos y puesto en marcha. </w:t>
      </w:r>
    </w:p>
    <w:p w14:paraId="6B23EFE3" w14:textId="6B681EE8" w:rsidR="008E0205" w:rsidRPr="00F31B3B" w:rsidRDefault="008E0205" w:rsidP="00F31B3B">
      <w:pPr>
        <w:numPr>
          <w:ilvl w:val="0"/>
          <w:numId w:val="1"/>
        </w:numPr>
        <w:tabs>
          <w:tab w:val="clear" w:pos="0"/>
          <w:tab w:val="num" w:pos="710"/>
        </w:tabs>
        <w:spacing w:after="240"/>
        <w:outlineLvl w:val="0"/>
        <w:rPr>
          <w:lang w:val="es-PE"/>
        </w:rPr>
      </w:pPr>
      <w:r>
        <w:rPr>
          <w:lang w:val="es-PE"/>
        </w:rPr>
        <w:t xml:space="preserve">Además, los equipos de espuma de poliuretano que las autoridades aduaneras de China devolvieron al proveedor no se pudieron volver a importar, ya que otra resolución (2397), expedida en 2017, prohíbe expresamente “toda la maquinaria industrial (códigos 84 y 85 del Sistema Armonizado), vehículos de transporte (códigos 86 a 89 del Sistema Armonizado), y hierro, acero y otros metales (códigos 72 a 83 del Sistema Armonizado). Con posterioridad a esa resolución, se recomendó a la ONUDI que presentara al Comité del Consejo de Seguridad de las Naciones Unidas una nueva solicitud de exención, junto con una lista actualizada de los equipos que se importarán al país. El 8 de mayo de 2019, la ONUDI presentó una solicitud de exención oficial, y el Comité del Consejo de Seguridad de las Naciones Unidas la rechazó el 18 de junio de 2019.  En vista de lo expuesto anteriormente, la ONUDI no ha podido proceder a la entrega de los equipos. </w:t>
      </w:r>
    </w:p>
    <w:p w14:paraId="5CB6CB87" w14:textId="66C0D8C1" w:rsidR="008E0205" w:rsidRPr="00F31B3B" w:rsidRDefault="008E0205" w:rsidP="00F31B3B">
      <w:pPr>
        <w:numPr>
          <w:ilvl w:val="0"/>
          <w:numId w:val="1"/>
        </w:numPr>
        <w:tabs>
          <w:tab w:val="clear" w:pos="0"/>
          <w:tab w:val="num" w:pos="710"/>
        </w:tabs>
        <w:spacing w:after="240"/>
        <w:outlineLvl w:val="0"/>
        <w:rPr>
          <w:lang w:val="es-PE"/>
        </w:rPr>
      </w:pPr>
      <w:r>
        <w:rPr>
          <w:lang w:val="es-PE"/>
        </w:rPr>
        <w:t xml:space="preserve">Las actividades sin inversión también se han visto afectadas debido a la imposibilidad de transferir fondos en el país, lo cual se ha complicado mucho más con la imposición de sanciones más estrictas, tras la aprobación de la resolución 2397 (2017). </w:t>
      </w:r>
    </w:p>
    <w:p w14:paraId="6BAAE1D1" w14:textId="552CEE97" w:rsidR="008E0205" w:rsidRDefault="008E0205" w:rsidP="00F31B3B">
      <w:pPr>
        <w:numPr>
          <w:ilvl w:val="0"/>
          <w:numId w:val="1"/>
        </w:numPr>
        <w:tabs>
          <w:tab w:val="clear" w:pos="0"/>
          <w:tab w:val="num" w:pos="710"/>
        </w:tabs>
        <w:spacing w:after="240"/>
        <w:outlineLvl w:val="0"/>
        <w:rPr>
          <w:rFonts w:eastAsiaTheme="minorEastAsia"/>
          <w:lang w:val="es-ES" w:eastAsia="en-GB"/>
        </w:rPr>
      </w:pPr>
      <w:r>
        <w:rPr>
          <w:lang w:val="es-PE"/>
        </w:rPr>
        <w:t>En vista de lo antedicho, la ONUDI señaló en su informe que no estaba en condiciones de proseguir con la ejecución</w:t>
      </w:r>
      <w:r>
        <w:rPr>
          <w:lang w:val="es-PE" w:eastAsia="en-GB"/>
        </w:rPr>
        <w:t xml:space="preserve"> del PGEH para la República Popular Democrática de Corea, y solicita orientación al Comité Ejecutivo.</w:t>
      </w:r>
    </w:p>
    <w:p w14:paraId="15A5FEB9" w14:textId="77777777" w:rsidR="008E0205" w:rsidRDefault="008E0205" w:rsidP="008E0205">
      <w:pPr>
        <w:keepNext/>
        <w:keepLines/>
        <w:spacing w:after="240"/>
        <w:outlineLvl w:val="0"/>
        <w:rPr>
          <w:rFonts w:eastAsiaTheme="minorEastAsia"/>
          <w:b/>
          <w:lang w:val="es-ES"/>
        </w:rPr>
      </w:pPr>
      <w:r>
        <w:rPr>
          <w:b/>
          <w:bCs/>
          <w:lang w:val="es-PE"/>
        </w:rPr>
        <w:t>Observaciones de la Secretaría</w:t>
      </w:r>
    </w:p>
    <w:p w14:paraId="1C29B2FC" w14:textId="3A149898" w:rsidR="008E0205" w:rsidRPr="00F31B3B" w:rsidRDefault="008E0205" w:rsidP="00F31B3B">
      <w:pPr>
        <w:numPr>
          <w:ilvl w:val="0"/>
          <w:numId w:val="1"/>
        </w:numPr>
        <w:tabs>
          <w:tab w:val="clear" w:pos="0"/>
          <w:tab w:val="num" w:pos="710"/>
        </w:tabs>
        <w:spacing w:after="240"/>
        <w:outlineLvl w:val="0"/>
        <w:rPr>
          <w:lang w:val="es-PE"/>
        </w:rPr>
      </w:pPr>
      <w:r>
        <w:rPr>
          <w:lang w:val="es-PE"/>
        </w:rPr>
        <w:t xml:space="preserve">El examen del informe presentado por la ONUDI en la 85ª reunión y, posteriormente, en la 86ª reunión, se aplazó, conforme al procedimiento acordado por el Comité Ejecutivo para la celebración de las reuniones 85ª y 86ª en tiempos de la pandemia de COVID-19. El informe se volvió a presentar a la 87ª reunión.  </w:t>
      </w:r>
    </w:p>
    <w:p w14:paraId="06C434BC" w14:textId="62C5278D" w:rsidR="008E0205" w:rsidRDefault="008E0205" w:rsidP="00F31B3B">
      <w:pPr>
        <w:numPr>
          <w:ilvl w:val="0"/>
          <w:numId w:val="1"/>
        </w:numPr>
        <w:tabs>
          <w:tab w:val="clear" w:pos="0"/>
          <w:tab w:val="num" w:pos="710"/>
        </w:tabs>
        <w:spacing w:after="240"/>
        <w:outlineLvl w:val="0"/>
        <w:rPr>
          <w:rFonts w:eastAsiaTheme="minorEastAsia"/>
          <w:lang w:val="es-ES" w:eastAsia="en-GB"/>
        </w:rPr>
      </w:pPr>
      <w:r>
        <w:rPr>
          <w:lang w:val="es-PE"/>
        </w:rPr>
        <w:t>Desde la presentación del informe a la 86ª reunión, en su 32ª reunión</w:t>
      </w:r>
      <w:r w:rsidRPr="00F31B3B">
        <w:rPr>
          <w:lang w:val="es-PE"/>
        </w:rPr>
        <w:footnoteReference w:customMarkFollows="1" w:id="51"/>
        <w:t>51</w:t>
      </w:r>
      <w:r>
        <w:rPr>
          <w:lang w:val="es-PE"/>
        </w:rPr>
        <w:t>, las Partes observaron que la República Popular Democrática de Corea no estaba cumpliendo con las medidas de control de consumo y producción establecidas con arreglo al Protocolo para los HCFC, ya que su consumo anual de 72,27 toneladas PAO de HCFC superaba el consumo máximo permitido en el país de 70,2 toneladas PAO para ese año, y su producción anual de 26,95 toneladas PAO de HCFC en 2019 excedía la producción máxima permitida en el país de 24,8 toneladas PAO. Además, las Partes tomaron nota con reconocimiento, entre otras cosas, de la explicación proporcionada por el país de su incumplimiento, así como de un plan de acción para garantizar que acataría las medidas de control de consumo y producción establecidas en el Protocolo en 2023; observaron además que, en el marco del plan de acción, sin perjuicio de la aplicabilidad del mecanismo financiero del Protocolo, la República Popular Democrática de Corea se había comprometido específicamente a realizar reducciones específicas en la producción y el consumo de HCFC; había instado al país a que colaborara estrechamente con los organismos de ejecución pertinentes para estudiar opciones</w:t>
      </w:r>
      <w:r>
        <w:rPr>
          <w:lang w:val="es-PE" w:eastAsia="en-GB"/>
        </w:rPr>
        <w:t xml:space="preserve"> de aplicación de su plan de acción para la eliminación del consumo y la producción de HCFC, con sujeción a la aplicación de las resoluciones del Comité del Consejo de Seguridad de las </w:t>
      </w:r>
      <w:r>
        <w:rPr>
          <w:lang w:val="es-PE" w:eastAsia="en-GB"/>
        </w:rPr>
        <w:lastRenderedPageBreak/>
        <w:t>Naciones Unidas pertinentes, y había alentado al país a formular otras políticas nacionales que facilitaran la eliminación de HCFC que pudiesen incluir, aunque no exclusivamente, prohibiciones de importación, la producción o nuevas instalaciones, y la certificación de técnicos de refrigeración y empresas (decisión XXXII/6).</w:t>
      </w:r>
    </w:p>
    <w:p w14:paraId="3027B2D7" w14:textId="1A898B7C" w:rsidR="008E0205" w:rsidRPr="00F31B3B" w:rsidRDefault="008E0205" w:rsidP="00F31B3B">
      <w:pPr>
        <w:numPr>
          <w:ilvl w:val="0"/>
          <w:numId w:val="1"/>
        </w:numPr>
        <w:tabs>
          <w:tab w:val="clear" w:pos="0"/>
          <w:tab w:val="num" w:pos="710"/>
        </w:tabs>
        <w:spacing w:after="240"/>
        <w:outlineLvl w:val="0"/>
        <w:rPr>
          <w:lang w:val="es-PE"/>
        </w:rPr>
      </w:pPr>
      <w:r>
        <w:rPr>
          <w:lang w:val="es-PE"/>
        </w:rPr>
        <w:t>La Secretaría toma nota de que la ONUDI ha seguido observando la debida diligencia y supervisión a lo largo de la ejecución del proyecto. Tras la aprobación de otra resolución del Comité del Consejo de Seguridad de las Naciones Unidas, en 2017 presentó a dicho Comité una solicitud de exención, en virtud de la resolución 1718, así como una lista actualizada de los equipos que se deberán importar al país, y sigue cooperando estrechamente con los Estados Miembros de las Naciones Unidas pertinentes en relación con la compra y exportación de los equipos diseñados para la eliminación del uso de sustancias controladas en el país.</w:t>
      </w:r>
    </w:p>
    <w:p w14:paraId="7E04B1D3" w14:textId="0CBF537A" w:rsidR="008E0205" w:rsidRDefault="008E0205" w:rsidP="00F31B3B">
      <w:pPr>
        <w:numPr>
          <w:ilvl w:val="0"/>
          <w:numId w:val="1"/>
        </w:numPr>
        <w:tabs>
          <w:tab w:val="clear" w:pos="0"/>
          <w:tab w:val="num" w:pos="710"/>
        </w:tabs>
        <w:spacing w:after="240"/>
        <w:outlineLvl w:val="0"/>
        <w:rPr>
          <w:rFonts w:eastAsiaTheme="minorEastAsia"/>
          <w:lang w:val="es-ES" w:eastAsia="en-GB"/>
        </w:rPr>
      </w:pPr>
      <w:r>
        <w:rPr>
          <w:lang w:val="es-PE"/>
        </w:rPr>
        <w:t>A petición de la Secretaría sobre cualquier novedad respecto de la aplicación del plan de gestión de la eliminación de los HCFC para la República Popular Democrática de Corea, la ONUDI informó de que no había más información que la suministrada en la 85ª reunión, y que la aplicación del PGEH solo sería viable para la ONUDI en caso de levantarse las sanciones del Comité del Consejo de Seguridad de las Naciones Unidas o de concederse una exención.  Sin embargo, la ONUDI no estaba en condiciones de obtener dicha exención. Por consiguiente, la ONUDI reiteró que no estaba en condiciones de proseguir con la ejecución del PGEH para la República Popular Democrática de Corea, y solicita orientación al Comité Ejecutivo.</w:t>
      </w:r>
    </w:p>
    <w:p w14:paraId="1526F60C" w14:textId="77777777" w:rsidR="008E0205" w:rsidRDefault="008E0205" w:rsidP="008E0205">
      <w:pPr>
        <w:spacing w:after="240"/>
        <w:outlineLvl w:val="0"/>
        <w:rPr>
          <w:rFonts w:eastAsiaTheme="minorEastAsia"/>
          <w:lang w:val="es-ES"/>
        </w:rPr>
      </w:pPr>
      <w:r>
        <w:rPr>
          <w:b/>
          <w:bCs/>
          <w:color w:val="000000"/>
          <w:lang w:val="es-PE"/>
        </w:rPr>
        <w:t>Recomendación</w:t>
      </w:r>
    </w:p>
    <w:p w14:paraId="12B9F0B8" w14:textId="542AB56B" w:rsidR="008E0205" w:rsidRDefault="008E0205" w:rsidP="00F31B3B">
      <w:pPr>
        <w:numPr>
          <w:ilvl w:val="0"/>
          <w:numId w:val="1"/>
        </w:numPr>
        <w:tabs>
          <w:tab w:val="clear" w:pos="0"/>
          <w:tab w:val="num" w:pos="710"/>
        </w:tabs>
        <w:spacing w:after="240"/>
        <w:outlineLvl w:val="0"/>
        <w:rPr>
          <w:color w:val="000000" w:themeColor="text1"/>
          <w:lang w:val="es-ES"/>
        </w:rPr>
      </w:pPr>
      <w:r>
        <w:rPr>
          <w:color w:val="000000"/>
          <w:lang w:val="es-PE"/>
        </w:rPr>
        <w:t xml:space="preserve">El Comité Ejecutivo tal vez desee </w:t>
      </w:r>
      <w:r>
        <w:rPr>
          <w:lang w:val="es-PE"/>
        </w:rPr>
        <w:t xml:space="preserve">examinar la información </w:t>
      </w:r>
      <w:r>
        <w:rPr>
          <w:color w:val="000000"/>
          <w:lang w:val="es-PE"/>
        </w:rPr>
        <w:t xml:space="preserve">sobre la ejecución de las actividades en el marco de la etapa I del plan de gestión de la eliminación de los HCFC (PGEH) para la </w:t>
      </w:r>
      <w:r>
        <w:rPr>
          <w:lang w:val="es-PE"/>
        </w:rPr>
        <w:t>República Popular Democrática de Corea</w:t>
      </w:r>
      <w:r>
        <w:rPr>
          <w:color w:val="000000"/>
          <w:lang w:val="es-PE"/>
        </w:rPr>
        <w:t xml:space="preserve">, suministrada por la ONUDI, prestando la debida atención a la decisión XXXII/6 de la Reunión de las Partes. </w:t>
      </w:r>
    </w:p>
    <w:p w14:paraId="70ABB185" w14:textId="59FABE3E" w:rsidR="0087455A" w:rsidRDefault="0087455A">
      <w:pPr>
        <w:pStyle w:val="StyleHeader4Para4Left0Firstline0"/>
        <w:numPr>
          <w:ilvl w:val="0"/>
          <w:numId w:val="0"/>
        </w:numPr>
        <w:rPr>
          <w:lang w:val="es-ES"/>
        </w:rPr>
      </w:pPr>
    </w:p>
    <w:p w14:paraId="0361390D" w14:textId="77777777" w:rsidR="008E0205" w:rsidRDefault="008E0205">
      <w:pPr>
        <w:pStyle w:val="StyleHeader4Para4Left0Firstline0"/>
        <w:numPr>
          <w:ilvl w:val="0"/>
          <w:numId w:val="0"/>
        </w:numPr>
        <w:rPr>
          <w:lang w:val="es-ES"/>
        </w:rPr>
      </w:pPr>
    </w:p>
    <w:p w14:paraId="05C620D9" w14:textId="77777777" w:rsidR="0087455A" w:rsidRDefault="0087455A">
      <w:pPr>
        <w:rPr>
          <w:lang w:val="es-ES"/>
        </w:rPr>
        <w:sectPr w:rsidR="0087455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5FBD1818" w14:textId="24FE0A00" w:rsidR="0087455A" w:rsidRPr="003D5B9C" w:rsidRDefault="0024162E">
      <w:pPr>
        <w:jc w:val="center"/>
        <w:rPr>
          <w:b/>
          <w:bCs/>
          <w:lang w:val="en-US"/>
        </w:rPr>
      </w:pPr>
      <w:proofErr w:type="spellStart"/>
      <w:r w:rsidRPr="003D5B9C">
        <w:rPr>
          <w:b/>
          <w:bCs/>
          <w:lang w:val="en-US"/>
        </w:rPr>
        <w:lastRenderedPageBreak/>
        <w:t>Anexo</w:t>
      </w:r>
      <w:proofErr w:type="spellEnd"/>
      <w:r w:rsidRPr="003D5B9C">
        <w:rPr>
          <w:b/>
          <w:bCs/>
          <w:lang w:val="en-US"/>
        </w:rPr>
        <w:t xml:space="preserve"> I</w:t>
      </w:r>
    </w:p>
    <w:p w14:paraId="40D2679C" w14:textId="77777777" w:rsidR="0028399A" w:rsidRPr="003D5B9C" w:rsidRDefault="0028399A">
      <w:pPr>
        <w:jc w:val="center"/>
        <w:rPr>
          <w:b/>
          <w:bCs/>
          <w:lang w:val="en-US"/>
        </w:rPr>
      </w:pPr>
    </w:p>
    <w:p w14:paraId="24DA6995" w14:textId="77777777" w:rsidR="0028399A" w:rsidRDefault="0028399A" w:rsidP="0028399A">
      <w:pPr>
        <w:pStyle w:val="StyleHeader4Para4Left0Firstline0"/>
        <w:numPr>
          <w:ilvl w:val="0"/>
          <w:numId w:val="0"/>
        </w:numPr>
        <w:jc w:val="center"/>
        <w:rPr>
          <w:b/>
          <w:caps/>
          <w:sz w:val="22"/>
          <w:lang w:val="en-CA"/>
        </w:rPr>
      </w:pPr>
      <w:r w:rsidRPr="00FD1CAA">
        <w:rPr>
          <w:b/>
          <w:caps/>
          <w:sz w:val="22"/>
          <w:lang w:val="en-CA"/>
        </w:rPr>
        <w:t>PROJECTS THAT ARE CLASSIFIED AS “SOME PROGRESS” and are recommended for continued monitoring</w:t>
      </w:r>
    </w:p>
    <w:tbl>
      <w:tblPr>
        <w:tblpPr w:leftFromText="180" w:rightFromText="180" w:vertAnchor="text" w:tblpX="-275"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074"/>
        <w:gridCol w:w="4677"/>
        <w:gridCol w:w="961"/>
      </w:tblGrid>
      <w:tr w:rsidR="0028399A" w:rsidRPr="00176B12" w14:paraId="0D8E7C70" w14:textId="77777777" w:rsidTr="0028399A">
        <w:trPr>
          <w:trHeight w:val="530"/>
          <w:tblHeader/>
        </w:trPr>
        <w:tc>
          <w:tcPr>
            <w:tcW w:w="1979" w:type="dxa"/>
            <w:shd w:val="clear" w:color="auto" w:fill="auto"/>
            <w:tcMar>
              <w:left w:w="58" w:type="dxa"/>
              <w:right w:w="58" w:type="dxa"/>
            </w:tcMar>
            <w:vAlign w:val="center"/>
            <w:hideMark/>
          </w:tcPr>
          <w:p w14:paraId="6A113837" w14:textId="77777777" w:rsidR="0028399A" w:rsidRPr="00176B12" w:rsidRDefault="0028399A" w:rsidP="0028399A">
            <w:pPr>
              <w:jc w:val="left"/>
              <w:rPr>
                <w:b/>
                <w:bCs/>
                <w:color w:val="000000"/>
                <w:sz w:val="20"/>
                <w:szCs w:val="20"/>
                <w:lang w:val="en-US"/>
              </w:rPr>
            </w:pPr>
            <w:r w:rsidRPr="00176B12">
              <w:rPr>
                <w:b/>
                <w:bCs/>
                <w:color w:val="000000"/>
                <w:sz w:val="20"/>
                <w:szCs w:val="20"/>
                <w:lang w:val="en-CA" w:eastAsia="en-CA"/>
              </w:rPr>
              <w:t>Country</w:t>
            </w:r>
          </w:p>
        </w:tc>
        <w:tc>
          <w:tcPr>
            <w:tcW w:w="2074" w:type="dxa"/>
            <w:shd w:val="clear" w:color="auto" w:fill="auto"/>
            <w:tcMar>
              <w:left w:w="58" w:type="dxa"/>
              <w:right w:w="58" w:type="dxa"/>
            </w:tcMar>
            <w:vAlign w:val="center"/>
            <w:hideMark/>
          </w:tcPr>
          <w:p w14:paraId="31A693F0" w14:textId="77777777" w:rsidR="0028399A" w:rsidRPr="00176B12" w:rsidRDefault="0028399A" w:rsidP="0028399A">
            <w:pPr>
              <w:jc w:val="left"/>
              <w:rPr>
                <w:b/>
                <w:bCs/>
                <w:color w:val="000000"/>
                <w:sz w:val="20"/>
                <w:szCs w:val="20"/>
                <w:lang w:val="en-US"/>
              </w:rPr>
            </w:pPr>
            <w:r w:rsidRPr="00176B12">
              <w:rPr>
                <w:b/>
                <w:bCs/>
                <w:color w:val="000000"/>
                <w:sz w:val="20"/>
                <w:szCs w:val="20"/>
                <w:lang w:val="en-CA" w:eastAsia="en-CA"/>
              </w:rPr>
              <w:t>Code</w:t>
            </w:r>
          </w:p>
        </w:tc>
        <w:tc>
          <w:tcPr>
            <w:tcW w:w="4677" w:type="dxa"/>
            <w:shd w:val="clear" w:color="auto" w:fill="auto"/>
            <w:tcMar>
              <w:left w:w="58" w:type="dxa"/>
              <w:right w:w="58" w:type="dxa"/>
            </w:tcMar>
            <w:vAlign w:val="center"/>
            <w:hideMark/>
          </w:tcPr>
          <w:p w14:paraId="5E861EA0" w14:textId="77777777" w:rsidR="0028399A" w:rsidRPr="00176B12" w:rsidRDefault="0028399A" w:rsidP="0028399A">
            <w:pPr>
              <w:jc w:val="center"/>
              <w:rPr>
                <w:b/>
                <w:bCs/>
                <w:color w:val="000000"/>
                <w:sz w:val="20"/>
                <w:szCs w:val="20"/>
                <w:lang w:val="en-US"/>
              </w:rPr>
            </w:pPr>
            <w:r w:rsidRPr="00176B12">
              <w:rPr>
                <w:b/>
                <w:bCs/>
                <w:color w:val="000000"/>
                <w:sz w:val="20"/>
                <w:szCs w:val="20"/>
                <w:lang w:val="en-CA" w:eastAsia="en-CA"/>
              </w:rPr>
              <w:t>Project title</w:t>
            </w:r>
          </w:p>
        </w:tc>
        <w:tc>
          <w:tcPr>
            <w:tcW w:w="961" w:type="dxa"/>
            <w:shd w:val="clear" w:color="auto" w:fill="auto"/>
            <w:tcMar>
              <w:left w:w="58" w:type="dxa"/>
              <w:right w:w="58" w:type="dxa"/>
            </w:tcMar>
            <w:vAlign w:val="center"/>
            <w:hideMark/>
          </w:tcPr>
          <w:p w14:paraId="5A51C20E" w14:textId="77777777" w:rsidR="0028399A" w:rsidRPr="00176B12" w:rsidRDefault="0028399A" w:rsidP="0028399A">
            <w:pPr>
              <w:jc w:val="center"/>
              <w:rPr>
                <w:b/>
                <w:bCs/>
                <w:color w:val="000000"/>
                <w:sz w:val="20"/>
                <w:szCs w:val="20"/>
                <w:lang w:val="en-US"/>
              </w:rPr>
            </w:pPr>
            <w:r w:rsidRPr="00176B12">
              <w:rPr>
                <w:b/>
                <w:bCs/>
                <w:color w:val="000000"/>
                <w:sz w:val="20"/>
                <w:szCs w:val="20"/>
                <w:lang w:val="en-CA" w:eastAsia="en-CA"/>
              </w:rPr>
              <w:t>Agency</w:t>
            </w:r>
          </w:p>
        </w:tc>
      </w:tr>
      <w:tr w:rsidR="0028399A" w:rsidRPr="00176B12" w14:paraId="42FAF233" w14:textId="77777777" w:rsidTr="0028399A">
        <w:trPr>
          <w:trHeight w:val="323"/>
        </w:trPr>
        <w:tc>
          <w:tcPr>
            <w:tcW w:w="1979" w:type="dxa"/>
            <w:shd w:val="clear" w:color="auto" w:fill="auto"/>
            <w:tcMar>
              <w:left w:w="58" w:type="dxa"/>
              <w:right w:w="58" w:type="dxa"/>
            </w:tcMar>
            <w:vAlign w:val="center"/>
            <w:hideMark/>
          </w:tcPr>
          <w:p w14:paraId="2E48970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Algeria</w:t>
            </w:r>
          </w:p>
        </w:tc>
        <w:tc>
          <w:tcPr>
            <w:tcW w:w="2074" w:type="dxa"/>
            <w:shd w:val="clear" w:color="auto" w:fill="auto"/>
            <w:tcMar>
              <w:left w:w="58" w:type="dxa"/>
              <w:right w:w="58" w:type="dxa"/>
            </w:tcMar>
            <w:vAlign w:val="center"/>
            <w:hideMark/>
          </w:tcPr>
          <w:p w14:paraId="31D5AB53"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ALG/PHA/66/INV/76</w:t>
            </w:r>
          </w:p>
        </w:tc>
        <w:tc>
          <w:tcPr>
            <w:tcW w:w="4677" w:type="dxa"/>
            <w:shd w:val="clear" w:color="auto" w:fill="auto"/>
            <w:tcMar>
              <w:left w:w="58" w:type="dxa"/>
              <w:right w:w="58" w:type="dxa"/>
            </w:tcMar>
            <w:hideMark/>
          </w:tcPr>
          <w:p w14:paraId="6D1A5E33"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first tranche) (conversion from HCFC-22 in the manufacture of room air conditioners at Condor)</w:t>
            </w:r>
          </w:p>
        </w:tc>
        <w:tc>
          <w:tcPr>
            <w:tcW w:w="961" w:type="dxa"/>
            <w:shd w:val="clear" w:color="auto" w:fill="auto"/>
            <w:tcMar>
              <w:left w:w="58" w:type="dxa"/>
              <w:right w:w="58" w:type="dxa"/>
            </w:tcMar>
            <w:vAlign w:val="center"/>
            <w:hideMark/>
          </w:tcPr>
          <w:p w14:paraId="279CBC92"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787C6D33" w14:textId="77777777" w:rsidTr="0028399A">
        <w:trPr>
          <w:trHeight w:val="890"/>
        </w:trPr>
        <w:tc>
          <w:tcPr>
            <w:tcW w:w="1979" w:type="dxa"/>
            <w:shd w:val="clear" w:color="auto" w:fill="auto"/>
            <w:tcMar>
              <w:left w:w="58" w:type="dxa"/>
              <w:right w:w="58" w:type="dxa"/>
            </w:tcMar>
            <w:vAlign w:val="center"/>
            <w:hideMark/>
          </w:tcPr>
          <w:p w14:paraId="302A5B1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Algeria</w:t>
            </w:r>
          </w:p>
        </w:tc>
        <w:tc>
          <w:tcPr>
            <w:tcW w:w="2074" w:type="dxa"/>
            <w:shd w:val="clear" w:color="auto" w:fill="auto"/>
            <w:tcMar>
              <w:left w:w="58" w:type="dxa"/>
              <w:right w:w="58" w:type="dxa"/>
            </w:tcMar>
            <w:vAlign w:val="center"/>
            <w:hideMark/>
          </w:tcPr>
          <w:p w14:paraId="63F5E6B6"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ALG/PHA/66/INV/77</w:t>
            </w:r>
          </w:p>
        </w:tc>
        <w:tc>
          <w:tcPr>
            <w:tcW w:w="4677" w:type="dxa"/>
            <w:shd w:val="clear" w:color="auto" w:fill="auto"/>
            <w:tcMar>
              <w:left w:w="58" w:type="dxa"/>
              <w:right w:w="58" w:type="dxa"/>
            </w:tcMar>
            <w:hideMark/>
          </w:tcPr>
          <w:p w14:paraId="6BA0AE0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first tranche) (activities in the refrigeration servicing sector including phase-out of HCFC-141b used for flushing, and project monitoring)</w:t>
            </w:r>
          </w:p>
        </w:tc>
        <w:tc>
          <w:tcPr>
            <w:tcW w:w="961" w:type="dxa"/>
            <w:shd w:val="clear" w:color="auto" w:fill="auto"/>
            <w:tcMar>
              <w:left w:w="58" w:type="dxa"/>
              <w:right w:w="58" w:type="dxa"/>
            </w:tcMar>
            <w:vAlign w:val="center"/>
            <w:hideMark/>
          </w:tcPr>
          <w:p w14:paraId="0E41418D"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155B9DBE" w14:textId="77777777" w:rsidTr="0028399A">
        <w:trPr>
          <w:trHeight w:val="134"/>
        </w:trPr>
        <w:tc>
          <w:tcPr>
            <w:tcW w:w="1979" w:type="dxa"/>
            <w:shd w:val="clear" w:color="auto" w:fill="auto"/>
            <w:tcMar>
              <w:left w:w="58" w:type="dxa"/>
              <w:right w:w="58" w:type="dxa"/>
            </w:tcMar>
            <w:vAlign w:val="center"/>
            <w:hideMark/>
          </w:tcPr>
          <w:p w14:paraId="5876397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Bahamas (the)</w:t>
            </w:r>
          </w:p>
        </w:tc>
        <w:tc>
          <w:tcPr>
            <w:tcW w:w="2074" w:type="dxa"/>
            <w:shd w:val="clear" w:color="auto" w:fill="auto"/>
            <w:tcMar>
              <w:left w:w="58" w:type="dxa"/>
              <w:right w:w="58" w:type="dxa"/>
            </w:tcMar>
            <w:vAlign w:val="center"/>
            <w:hideMark/>
          </w:tcPr>
          <w:p w14:paraId="4A87282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BHA/PHA/80/TAS/26</w:t>
            </w:r>
          </w:p>
        </w:tc>
        <w:tc>
          <w:tcPr>
            <w:tcW w:w="4677" w:type="dxa"/>
            <w:shd w:val="clear" w:color="auto" w:fill="auto"/>
            <w:tcMar>
              <w:left w:w="58" w:type="dxa"/>
              <w:right w:w="58" w:type="dxa"/>
            </w:tcMar>
            <w:hideMark/>
          </w:tcPr>
          <w:p w14:paraId="3E1B3FA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3666807A"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UNEP</w:t>
            </w:r>
          </w:p>
        </w:tc>
      </w:tr>
      <w:tr w:rsidR="0028399A" w:rsidRPr="00176B12" w14:paraId="3C209943" w14:textId="77777777" w:rsidTr="0028399A">
        <w:trPr>
          <w:trHeight w:val="197"/>
        </w:trPr>
        <w:tc>
          <w:tcPr>
            <w:tcW w:w="1979" w:type="dxa"/>
            <w:shd w:val="clear" w:color="auto" w:fill="auto"/>
            <w:tcMar>
              <w:left w:w="58" w:type="dxa"/>
              <w:right w:w="58" w:type="dxa"/>
            </w:tcMar>
            <w:vAlign w:val="center"/>
            <w:hideMark/>
          </w:tcPr>
          <w:p w14:paraId="76BF3832"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Cameroon </w:t>
            </w:r>
          </w:p>
        </w:tc>
        <w:tc>
          <w:tcPr>
            <w:tcW w:w="2074" w:type="dxa"/>
            <w:shd w:val="clear" w:color="auto" w:fill="auto"/>
            <w:tcMar>
              <w:left w:w="58" w:type="dxa"/>
              <w:right w:w="58" w:type="dxa"/>
            </w:tcMar>
            <w:vAlign w:val="center"/>
            <w:hideMark/>
          </w:tcPr>
          <w:p w14:paraId="20DBBC8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CMR/PHA/82/INV/45</w:t>
            </w:r>
          </w:p>
        </w:tc>
        <w:tc>
          <w:tcPr>
            <w:tcW w:w="4677" w:type="dxa"/>
            <w:shd w:val="clear" w:color="auto" w:fill="auto"/>
            <w:tcMar>
              <w:left w:w="58" w:type="dxa"/>
              <w:right w:w="58" w:type="dxa"/>
            </w:tcMar>
            <w:hideMark/>
          </w:tcPr>
          <w:p w14:paraId="28DBF29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first tranche)</w:t>
            </w:r>
          </w:p>
        </w:tc>
        <w:tc>
          <w:tcPr>
            <w:tcW w:w="961" w:type="dxa"/>
            <w:shd w:val="clear" w:color="auto" w:fill="auto"/>
            <w:tcMar>
              <w:left w:w="58" w:type="dxa"/>
              <w:right w:w="58" w:type="dxa"/>
            </w:tcMar>
            <w:vAlign w:val="center"/>
            <w:hideMark/>
          </w:tcPr>
          <w:p w14:paraId="18F64E25"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3EC78F36" w14:textId="77777777" w:rsidTr="0028399A">
        <w:trPr>
          <w:trHeight w:val="458"/>
        </w:trPr>
        <w:tc>
          <w:tcPr>
            <w:tcW w:w="1979" w:type="dxa"/>
            <w:shd w:val="clear" w:color="auto" w:fill="auto"/>
            <w:tcMar>
              <w:left w:w="58" w:type="dxa"/>
              <w:right w:w="58" w:type="dxa"/>
            </w:tcMar>
            <w:vAlign w:val="center"/>
            <w:hideMark/>
          </w:tcPr>
          <w:p w14:paraId="49A4858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47A3F60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CPR/PHA/64/INV/513</w:t>
            </w:r>
          </w:p>
        </w:tc>
        <w:tc>
          <w:tcPr>
            <w:tcW w:w="4677" w:type="dxa"/>
            <w:shd w:val="clear" w:color="auto" w:fill="auto"/>
            <w:tcMar>
              <w:left w:w="58" w:type="dxa"/>
              <w:right w:w="58" w:type="dxa"/>
            </w:tcMar>
            <w:hideMark/>
          </w:tcPr>
          <w:p w14:paraId="7822E7F3"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(room air-conditioner manufacturing sector plan) (stage I, first tranche)</w:t>
            </w:r>
          </w:p>
        </w:tc>
        <w:tc>
          <w:tcPr>
            <w:tcW w:w="961" w:type="dxa"/>
            <w:shd w:val="clear" w:color="auto" w:fill="auto"/>
            <w:tcMar>
              <w:left w:w="58" w:type="dxa"/>
              <w:right w:w="58" w:type="dxa"/>
            </w:tcMar>
            <w:vAlign w:val="center"/>
            <w:hideMark/>
          </w:tcPr>
          <w:p w14:paraId="6E293AF4"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0C8CB502" w14:textId="77777777" w:rsidTr="0028399A">
        <w:trPr>
          <w:trHeight w:val="287"/>
        </w:trPr>
        <w:tc>
          <w:tcPr>
            <w:tcW w:w="1979" w:type="dxa"/>
            <w:shd w:val="clear" w:color="auto" w:fill="auto"/>
            <w:tcMar>
              <w:left w:w="58" w:type="dxa"/>
              <w:right w:w="58" w:type="dxa"/>
            </w:tcMar>
            <w:vAlign w:val="center"/>
            <w:hideMark/>
          </w:tcPr>
          <w:p w14:paraId="08CDEC1A"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5EE760F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CPR/PHA/68/INV/524</w:t>
            </w:r>
          </w:p>
        </w:tc>
        <w:tc>
          <w:tcPr>
            <w:tcW w:w="4677" w:type="dxa"/>
            <w:shd w:val="clear" w:color="auto" w:fill="auto"/>
            <w:tcMar>
              <w:left w:w="58" w:type="dxa"/>
              <w:right w:w="58" w:type="dxa"/>
            </w:tcMar>
            <w:hideMark/>
          </w:tcPr>
          <w:p w14:paraId="6D807E9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second tranche) (room air conditioner manufacturing sector plan)</w:t>
            </w:r>
          </w:p>
        </w:tc>
        <w:tc>
          <w:tcPr>
            <w:tcW w:w="961" w:type="dxa"/>
            <w:shd w:val="clear" w:color="auto" w:fill="auto"/>
            <w:tcMar>
              <w:left w:w="58" w:type="dxa"/>
              <w:right w:w="58" w:type="dxa"/>
            </w:tcMar>
            <w:vAlign w:val="center"/>
            <w:hideMark/>
          </w:tcPr>
          <w:p w14:paraId="75850E91"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51142F7A" w14:textId="77777777" w:rsidTr="0028399A">
        <w:trPr>
          <w:trHeight w:val="404"/>
        </w:trPr>
        <w:tc>
          <w:tcPr>
            <w:tcW w:w="1979" w:type="dxa"/>
            <w:shd w:val="clear" w:color="auto" w:fill="auto"/>
            <w:tcMar>
              <w:left w:w="58" w:type="dxa"/>
              <w:right w:w="58" w:type="dxa"/>
            </w:tcMar>
            <w:vAlign w:val="center"/>
            <w:hideMark/>
          </w:tcPr>
          <w:p w14:paraId="0D08C999"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252AAB1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CPR/PHA/71/INV/536</w:t>
            </w:r>
          </w:p>
        </w:tc>
        <w:tc>
          <w:tcPr>
            <w:tcW w:w="4677" w:type="dxa"/>
            <w:shd w:val="clear" w:color="auto" w:fill="auto"/>
            <w:tcMar>
              <w:left w:w="58" w:type="dxa"/>
              <w:right w:w="58" w:type="dxa"/>
            </w:tcMar>
            <w:hideMark/>
          </w:tcPr>
          <w:p w14:paraId="70F1F67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third tranche) (room air conditioner manufacturing sector plan)</w:t>
            </w:r>
          </w:p>
        </w:tc>
        <w:tc>
          <w:tcPr>
            <w:tcW w:w="961" w:type="dxa"/>
            <w:shd w:val="clear" w:color="auto" w:fill="auto"/>
            <w:tcMar>
              <w:left w:w="58" w:type="dxa"/>
              <w:right w:w="58" w:type="dxa"/>
            </w:tcMar>
            <w:vAlign w:val="center"/>
            <w:hideMark/>
          </w:tcPr>
          <w:p w14:paraId="0D88B854"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36810050" w14:textId="77777777" w:rsidTr="0028399A">
        <w:trPr>
          <w:trHeight w:val="332"/>
        </w:trPr>
        <w:tc>
          <w:tcPr>
            <w:tcW w:w="1979" w:type="dxa"/>
            <w:shd w:val="clear" w:color="auto" w:fill="auto"/>
            <w:tcMar>
              <w:left w:w="58" w:type="dxa"/>
              <w:right w:w="58" w:type="dxa"/>
            </w:tcMar>
            <w:vAlign w:val="center"/>
            <w:hideMark/>
          </w:tcPr>
          <w:p w14:paraId="0E6E47A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37C037A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CPR/PHA/73/INV/548</w:t>
            </w:r>
          </w:p>
        </w:tc>
        <w:tc>
          <w:tcPr>
            <w:tcW w:w="4677" w:type="dxa"/>
            <w:shd w:val="clear" w:color="auto" w:fill="auto"/>
            <w:tcMar>
              <w:left w:w="58" w:type="dxa"/>
              <w:right w:w="58" w:type="dxa"/>
            </w:tcMar>
            <w:hideMark/>
          </w:tcPr>
          <w:p w14:paraId="6422BA0F"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fourth tranche) (room air conditioner manufacturing sector plan)</w:t>
            </w:r>
          </w:p>
        </w:tc>
        <w:tc>
          <w:tcPr>
            <w:tcW w:w="961" w:type="dxa"/>
            <w:shd w:val="clear" w:color="auto" w:fill="auto"/>
            <w:tcMar>
              <w:left w:w="58" w:type="dxa"/>
              <w:right w:w="58" w:type="dxa"/>
            </w:tcMar>
            <w:vAlign w:val="center"/>
            <w:hideMark/>
          </w:tcPr>
          <w:p w14:paraId="2348AF7C"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0B13EB20" w14:textId="77777777" w:rsidTr="0028399A">
        <w:trPr>
          <w:trHeight w:val="440"/>
        </w:trPr>
        <w:tc>
          <w:tcPr>
            <w:tcW w:w="1979" w:type="dxa"/>
            <w:shd w:val="clear" w:color="auto" w:fill="auto"/>
            <w:tcMar>
              <w:left w:w="58" w:type="dxa"/>
              <w:right w:w="58" w:type="dxa"/>
            </w:tcMar>
            <w:vAlign w:val="center"/>
            <w:hideMark/>
          </w:tcPr>
          <w:p w14:paraId="0DF5D5D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2B19EF6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CPR/PHA/75/INV/564</w:t>
            </w:r>
          </w:p>
        </w:tc>
        <w:tc>
          <w:tcPr>
            <w:tcW w:w="4677" w:type="dxa"/>
            <w:shd w:val="clear" w:color="auto" w:fill="auto"/>
            <w:tcMar>
              <w:left w:w="58" w:type="dxa"/>
              <w:right w:w="58" w:type="dxa"/>
            </w:tcMar>
            <w:hideMark/>
          </w:tcPr>
          <w:p w14:paraId="1D0208C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fifth tranche) (room air conditioner manufacturing sector plan)</w:t>
            </w:r>
          </w:p>
        </w:tc>
        <w:tc>
          <w:tcPr>
            <w:tcW w:w="961" w:type="dxa"/>
            <w:shd w:val="clear" w:color="auto" w:fill="auto"/>
            <w:tcMar>
              <w:left w:w="58" w:type="dxa"/>
              <w:right w:w="58" w:type="dxa"/>
            </w:tcMar>
            <w:vAlign w:val="center"/>
            <w:hideMark/>
          </w:tcPr>
          <w:p w14:paraId="72178345"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5F8A142E" w14:textId="77777777" w:rsidTr="0028399A">
        <w:trPr>
          <w:trHeight w:val="287"/>
        </w:trPr>
        <w:tc>
          <w:tcPr>
            <w:tcW w:w="1979" w:type="dxa"/>
            <w:shd w:val="clear" w:color="auto" w:fill="auto"/>
            <w:tcMar>
              <w:left w:w="58" w:type="dxa"/>
              <w:right w:w="58" w:type="dxa"/>
            </w:tcMar>
            <w:vAlign w:val="center"/>
            <w:hideMark/>
          </w:tcPr>
          <w:p w14:paraId="162FE43F"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Dominica </w:t>
            </w:r>
          </w:p>
        </w:tc>
        <w:tc>
          <w:tcPr>
            <w:tcW w:w="2074" w:type="dxa"/>
            <w:shd w:val="clear" w:color="auto" w:fill="auto"/>
            <w:tcMar>
              <w:left w:w="58" w:type="dxa"/>
              <w:right w:w="58" w:type="dxa"/>
            </w:tcMar>
            <w:vAlign w:val="center"/>
            <w:hideMark/>
          </w:tcPr>
          <w:p w14:paraId="46541283"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DMI/PHA/62/TAS/19</w:t>
            </w:r>
          </w:p>
        </w:tc>
        <w:tc>
          <w:tcPr>
            <w:tcW w:w="4677" w:type="dxa"/>
            <w:shd w:val="clear" w:color="auto" w:fill="auto"/>
            <w:tcMar>
              <w:left w:w="58" w:type="dxa"/>
              <w:right w:w="58" w:type="dxa"/>
            </w:tcMar>
            <w:hideMark/>
          </w:tcPr>
          <w:p w14:paraId="22570C53"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first tranche)</w:t>
            </w:r>
          </w:p>
        </w:tc>
        <w:tc>
          <w:tcPr>
            <w:tcW w:w="961" w:type="dxa"/>
            <w:shd w:val="clear" w:color="auto" w:fill="auto"/>
            <w:tcMar>
              <w:left w:w="58" w:type="dxa"/>
              <w:right w:w="58" w:type="dxa"/>
            </w:tcMar>
            <w:vAlign w:val="center"/>
            <w:hideMark/>
          </w:tcPr>
          <w:p w14:paraId="008092BD"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UNEP</w:t>
            </w:r>
          </w:p>
        </w:tc>
      </w:tr>
      <w:tr w:rsidR="0028399A" w:rsidRPr="00176B12" w14:paraId="4CFEA561" w14:textId="77777777" w:rsidTr="0028399A">
        <w:trPr>
          <w:trHeight w:val="80"/>
        </w:trPr>
        <w:tc>
          <w:tcPr>
            <w:tcW w:w="1979" w:type="dxa"/>
            <w:shd w:val="clear" w:color="auto" w:fill="auto"/>
            <w:tcMar>
              <w:left w:w="58" w:type="dxa"/>
              <w:right w:w="58" w:type="dxa"/>
            </w:tcMar>
            <w:vAlign w:val="center"/>
            <w:hideMark/>
          </w:tcPr>
          <w:p w14:paraId="4F35196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Dominica </w:t>
            </w:r>
          </w:p>
        </w:tc>
        <w:tc>
          <w:tcPr>
            <w:tcW w:w="2074" w:type="dxa"/>
            <w:shd w:val="clear" w:color="auto" w:fill="auto"/>
            <w:tcMar>
              <w:left w:w="58" w:type="dxa"/>
              <w:right w:w="58" w:type="dxa"/>
            </w:tcMar>
            <w:vAlign w:val="center"/>
            <w:hideMark/>
          </w:tcPr>
          <w:p w14:paraId="431C70EA"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DMI/SEV/80/TAS/01+</w:t>
            </w:r>
          </w:p>
        </w:tc>
        <w:tc>
          <w:tcPr>
            <w:tcW w:w="4677" w:type="dxa"/>
            <w:shd w:val="clear" w:color="auto" w:fill="auto"/>
            <w:tcMar>
              <w:left w:w="58" w:type="dxa"/>
              <w:right w:w="58" w:type="dxa"/>
            </w:tcMar>
            <w:hideMark/>
          </w:tcPr>
          <w:p w14:paraId="35249B72"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Enabling activities for HFC phase down</w:t>
            </w:r>
          </w:p>
        </w:tc>
        <w:tc>
          <w:tcPr>
            <w:tcW w:w="961" w:type="dxa"/>
            <w:shd w:val="clear" w:color="auto" w:fill="auto"/>
            <w:tcMar>
              <w:left w:w="58" w:type="dxa"/>
              <w:right w:w="58" w:type="dxa"/>
            </w:tcMar>
            <w:vAlign w:val="center"/>
            <w:hideMark/>
          </w:tcPr>
          <w:p w14:paraId="586C4778"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UNEP</w:t>
            </w:r>
          </w:p>
        </w:tc>
      </w:tr>
      <w:tr w:rsidR="0028399A" w:rsidRPr="00176B12" w14:paraId="07B73F98" w14:textId="77777777" w:rsidTr="0028399A">
        <w:trPr>
          <w:trHeight w:val="116"/>
        </w:trPr>
        <w:tc>
          <w:tcPr>
            <w:tcW w:w="1979" w:type="dxa"/>
            <w:shd w:val="clear" w:color="auto" w:fill="auto"/>
            <w:tcMar>
              <w:left w:w="58" w:type="dxa"/>
              <w:right w:w="58" w:type="dxa"/>
            </w:tcMar>
            <w:vAlign w:val="center"/>
            <w:hideMark/>
          </w:tcPr>
          <w:p w14:paraId="601B4B7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Gabon </w:t>
            </w:r>
          </w:p>
        </w:tc>
        <w:tc>
          <w:tcPr>
            <w:tcW w:w="2074" w:type="dxa"/>
            <w:shd w:val="clear" w:color="auto" w:fill="auto"/>
            <w:tcMar>
              <w:left w:w="58" w:type="dxa"/>
              <w:right w:w="58" w:type="dxa"/>
            </w:tcMar>
            <w:vAlign w:val="center"/>
            <w:hideMark/>
          </w:tcPr>
          <w:p w14:paraId="122AC3D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GAB/PHA/79/INV/34</w:t>
            </w:r>
          </w:p>
        </w:tc>
        <w:tc>
          <w:tcPr>
            <w:tcW w:w="4677" w:type="dxa"/>
            <w:shd w:val="clear" w:color="auto" w:fill="auto"/>
            <w:tcMar>
              <w:left w:w="58" w:type="dxa"/>
              <w:right w:w="58" w:type="dxa"/>
            </w:tcMar>
            <w:hideMark/>
          </w:tcPr>
          <w:p w14:paraId="0DA6C32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519978AC"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598167C5" w14:textId="77777777" w:rsidTr="0028399A">
        <w:trPr>
          <w:trHeight w:val="179"/>
        </w:trPr>
        <w:tc>
          <w:tcPr>
            <w:tcW w:w="1979" w:type="dxa"/>
            <w:shd w:val="clear" w:color="auto" w:fill="auto"/>
            <w:tcMar>
              <w:left w:w="58" w:type="dxa"/>
              <w:right w:w="58" w:type="dxa"/>
            </w:tcMar>
            <w:vAlign w:val="center"/>
            <w:hideMark/>
          </w:tcPr>
          <w:p w14:paraId="1C0F6D48"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Haiti</w:t>
            </w:r>
          </w:p>
        </w:tc>
        <w:tc>
          <w:tcPr>
            <w:tcW w:w="2074" w:type="dxa"/>
            <w:shd w:val="clear" w:color="auto" w:fill="auto"/>
            <w:tcMar>
              <w:left w:w="58" w:type="dxa"/>
              <w:right w:w="58" w:type="dxa"/>
            </w:tcMar>
            <w:vAlign w:val="center"/>
            <w:hideMark/>
          </w:tcPr>
          <w:p w14:paraId="16E02C7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HAI/PHA/76/TAS/21</w:t>
            </w:r>
          </w:p>
        </w:tc>
        <w:tc>
          <w:tcPr>
            <w:tcW w:w="4677" w:type="dxa"/>
            <w:shd w:val="clear" w:color="auto" w:fill="auto"/>
            <w:tcMar>
              <w:left w:w="58" w:type="dxa"/>
              <w:right w:w="58" w:type="dxa"/>
            </w:tcMar>
            <w:hideMark/>
          </w:tcPr>
          <w:p w14:paraId="311590E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second tranche)</w:t>
            </w:r>
          </w:p>
        </w:tc>
        <w:tc>
          <w:tcPr>
            <w:tcW w:w="961" w:type="dxa"/>
            <w:shd w:val="clear" w:color="auto" w:fill="auto"/>
            <w:tcMar>
              <w:left w:w="58" w:type="dxa"/>
              <w:right w:w="58" w:type="dxa"/>
            </w:tcMar>
            <w:vAlign w:val="center"/>
            <w:hideMark/>
          </w:tcPr>
          <w:p w14:paraId="23644A41"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UNEP</w:t>
            </w:r>
          </w:p>
        </w:tc>
      </w:tr>
      <w:tr w:rsidR="0028399A" w:rsidRPr="00176B12" w14:paraId="11FCE77A" w14:textId="77777777" w:rsidTr="0028399A">
        <w:trPr>
          <w:trHeight w:val="44"/>
        </w:trPr>
        <w:tc>
          <w:tcPr>
            <w:tcW w:w="1979" w:type="dxa"/>
            <w:shd w:val="clear" w:color="auto" w:fill="auto"/>
            <w:tcMar>
              <w:left w:w="58" w:type="dxa"/>
              <w:right w:w="58" w:type="dxa"/>
            </w:tcMar>
            <w:vAlign w:val="center"/>
            <w:hideMark/>
          </w:tcPr>
          <w:p w14:paraId="5476C75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Indonesia</w:t>
            </w:r>
          </w:p>
        </w:tc>
        <w:tc>
          <w:tcPr>
            <w:tcW w:w="2074" w:type="dxa"/>
            <w:shd w:val="clear" w:color="auto" w:fill="auto"/>
            <w:tcMar>
              <w:left w:w="58" w:type="dxa"/>
              <w:right w:w="58" w:type="dxa"/>
            </w:tcMar>
            <w:vAlign w:val="center"/>
            <w:hideMark/>
          </w:tcPr>
          <w:p w14:paraId="6BC9EEC1"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IDS/PHA/76/INV/211</w:t>
            </w:r>
          </w:p>
        </w:tc>
        <w:tc>
          <w:tcPr>
            <w:tcW w:w="4677" w:type="dxa"/>
            <w:shd w:val="clear" w:color="auto" w:fill="auto"/>
            <w:tcMar>
              <w:left w:w="58" w:type="dxa"/>
              <w:right w:w="58" w:type="dxa"/>
            </w:tcMar>
            <w:hideMark/>
          </w:tcPr>
          <w:p w14:paraId="3CD94B03"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first tranche) (fire fighting sector)</w:t>
            </w:r>
          </w:p>
        </w:tc>
        <w:tc>
          <w:tcPr>
            <w:tcW w:w="961" w:type="dxa"/>
            <w:shd w:val="clear" w:color="auto" w:fill="auto"/>
            <w:tcMar>
              <w:left w:w="58" w:type="dxa"/>
              <w:right w:w="58" w:type="dxa"/>
            </w:tcMar>
            <w:vAlign w:val="center"/>
            <w:hideMark/>
          </w:tcPr>
          <w:p w14:paraId="771F9751"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UNDP</w:t>
            </w:r>
          </w:p>
        </w:tc>
      </w:tr>
      <w:tr w:rsidR="0028399A" w:rsidRPr="00176B12" w14:paraId="6BD2D8B3" w14:textId="77777777" w:rsidTr="0028399A">
        <w:trPr>
          <w:trHeight w:val="179"/>
        </w:trPr>
        <w:tc>
          <w:tcPr>
            <w:tcW w:w="1979" w:type="dxa"/>
            <w:shd w:val="clear" w:color="auto" w:fill="auto"/>
            <w:tcMar>
              <w:left w:w="58" w:type="dxa"/>
              <w:right w:w="58" w:type="dxa"/>
            </w:tcMar>
            <w:vAlign w:val="center"/>
            <w:hideMark/>
          </w:tcPr>
          <w:p w14:paraId="2E490046"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Iraq</w:t>
            </w:r>
          </w:p>
        </w:tc>
        <w:tc>
          <w:tcPr>
            <w:tcW w:w="2074" w:type="dxa"/>
            <w:shd w:val="clear" w:color="auto" w:fill="auto"/>
            <w:tcMar>
              <w:left w:w="58" w:type="dxa"/>
              <w:right w:w="58" w:type="dxa"/>
            </w:tcMar>
            <w:vAlign w:val="center"/>
            <w:hideMark/>
          </w:tcPr>
          <w:p w14:paraId="419C45D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IRQ/PHA/58/INV/09</w:t>
            </w:r>
          </w:p>
        </w:tc>
        <w:tc>
          <w:tcPr>
            <w:tcW w:w="4677" w:type="dxa"/>
            <w:shd w:val="clear" w:color="auto" w:fill="auto"/>
            <w:tcMar>
              <w:left w:w="58" w:type="dxa"/>
              <w:right w:w="58" w:type="dxa"/>
            </w:tcMar>
            <w:hideMark/>
          </w:tcPr>
          <w:p w14:paraId="232F01E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National phase-out plan (first tranche)</w:t>
            </w:r>
          </w:p>
        </w:tc>
        <w:tc>
          <w:tcPr>
            <w:tcW w:w="961" w:type="dxa"/>
            <w:shd w:val="clear" w:color="auto" w:fill="auto"/>
            <w:tcMar>
              <w:left w:w="58" w:type="dxa"/>
              <w:right w:w="58" w:type="dxa"/>
            </w:tcMar>
            <w:vAlign w:val="center"/>
            <w:hideMark/>
          </w:tcPr>
          <w:p w14:paraId="5D67A286"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27085855" w14:textId="77777777" w:rsidTr="0028399A">
        <w:trPr>
          <w:trHeight w:val="44"/>
        </w:trPr>
        <w:tc>
          <w:tcPr>
            <w:tcW w:w="1979" w:type="dxa"/>
            <w:shd w:val="clear" w:color="auto" w:fill="auto"/>
            <w:tcMar>
              <w:left w:w="58" w:type="dxa"/>
              <w:right w:w="58" w:type="dxa"/>
            </w:tcMar>
            <w:vAlign w:val="center"/>
            <w:hideMark/>
          </w:tcPr>
          <w:p w14:paraId="12D04C0F"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5C0286D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KUW/PHA/66/INV/21</w:t>
            </w:r>
          </w:p>
        </w:tc>
        <w:tc>
          <w:tcPr>
            <w:tcW w:w="4677" w:type="dxa"/>
            <w:shd w:val="clear" w:color="auto" w:fill="auto"/>
            <w:tcMar>
              <w:left w:w="58" w:type="dxa"/>
              <w:right w:w="58" w:type="dxa"/>
            </w:tcMar>
            <w:hideMark/>
          </w:tcPr>
          <w:p w14:paraId="67FB79B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HCFC phase-out management plan (stage I, first tranche) (extruded polystyrene foam sector phase-out: Gulf Insulating Materials Manufacturing and Trading; </w:t>
            </w:r>
            <w:proofErr w:type="spellStart"/>
            <w:r w:rsidRPr="00176B12">
              <w:rPr>
                <w:color w:val="000000"/>
                <w:sz w:val="20"/>
                <w:szCs w:val="20"/>
                <w:lang w:val="en-CA" w:eastAsia="en-CA"/>
              </w:rPr>
              <w:t>Isofoam</w:t>
            </w:r>
            <w:proofErr w:type="spellEnd"/>
            <w:r w:rsidRPr="00176B12">
              <w:rPr>
                <w:color w:val="000000"/>
                <w:sz w:val="20"/>
                <w:szCs w:val="20"/>
                <w:lang w:val="en-CA" w:eastAsia="en-CA"/>
              </w:rPr>
              <w:t xml:space="preserve"> Insulating Materials Plants; and Al </w:t>
            </w:r>
            <w:proofErr w:type="spellStart"/>
            <w:r w:rsidRPr="00176B12">
              <w:rPr>
                <w:color w:val="000000"/>
                <w:sz w:val="20"/>
                <w:szCs w:val="20"/>
                <w:lang w:val="en-CA" w:eastAsia="en-CA"/>
              </w:rPr>
              <w:t>Masaha</w:t>
            </w:r>
            <w:proofErr w:type="spellEnd"/>
            <w:r w:rsidRPr="00176B12">
              <w:rPr>
                <w:color w:val="000000"/>
                <w:sz w:val="20"/>
                <w:szCs w:val="20"/>
                <w:lang w:val="en-CA" w:eastAsia="en-CA"/>
              </w:rPr>
              <w:t xml:space="preserve"> Company)</w:t>
            </w:r>
          </w:p>
        </w:tc>
        <w:tc>
          <w:tcPr>
            <w:tcW w:w="961" w:type="dxa"/>
            <w:shd w:val="clear" w:color="auto" w:fill="auto"/>
            <w:tcMar>
              <w:left w:w="58" w:type="dxa"/>
              <w:right w:w="58" w:type="dxa"/>
            </w:tcMar>
            <w:vAlign w:val="center"/>
            <w:hideMark/>
          </w:tcPr>
          <w:p w14:paraId="357A11C4"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1072AD50" w14:textId="77777777" w:rsidTr="0028399A">
        <w:trPr>
          <w:trHeight w:val="44"/>
        </w:trPr>
        <w:tc>
          <w:tcPr>
            <w:tcW w:w="1979" w:type="dxa"/>
            <w:shd w:val="clear" w:color="auto" w:fill="auto"/>
            <w:tcMar>
              <w:left w:w="58" w:type="dxa"/>
              <w:right w:w="58" w:type="dxa"/>
            </w:tcMar>
            <w:vAlign w:val="center"/>
            <w:hideMark/>
          </w:tcPr>
          <w:p w14:paraId="06317D5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33A2188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KUW/PHA/74/INV/24</w:t>
            </w:r>
          </w:p>
        </w:tc>
        <w:tc>
          <w:tcPr>
            <w:tcW w:w="4677" w:type="dxa"/>
            <w:shd w:val="clear" w:color="auto" w:fill="auto"/>
            <w:tcMar>
              <w:left w:w="58" w:type="dxa"/>
              <w:right w:w="58" w:type="dxa"/>
            </w:tcMar>
            <w:hideMark/>
          </w:tcPr>
          <w:p w14:paraId="6C937CB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second tranche) (polyurethane foam sector phase-out: Kuwait polyurethane Industry Co.; Kirby Building Systems, technical assistance to spray foam users and other small users)</w:t>
            </w:r>
          </w:p>
        </w:tc>
        <w:tc>
          <w:tcPr>
            <w:tcW w:w="961" w:type="dxa"/>
            <w:shd w:val="clear" w:color="auto" w:fill="auto"/>
            <w:tcMar>
              <w:left w:w="58" w:type="dxa"/>
              <w:right w:w="58" w:type="dxa"/>
            </w:tcMar>
            <w:vAlign w:val="center"/>
            <w:hideMark/>
          </w:tcPr>
          <w:p w14:paraId="71241626"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4C65CD98" w14:textId="77777777" w:rsidTr="0028399A">
        <w:trPr>
          <w:trHeight w:val="44"/>
        </w:trPr>
        <w:tc>
          <w:tcPr>
            <w:tcW w:w="1979" w:type="dxa"/>
            <w:shd w:val="clear" w:color="auto" w:fill="auto"/>
            <w:tcMar>
              <w:left w:w="58" w:type="dxa"/>
              <w:right w:w="58" w:type="dxa"/>
            </w:tcMar>
            <w:vAlign w:val="center"/>
            <w:hideMark/>
          </w:tcPr>
          <w:p w14:paraId="1A6F9322"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456C3440"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KUW/PHA/74/INV/25</w:t>
            </w:r>
          </w:p>
        </w:tc>
        <w:tc>
          <w:tcPr>
            <w:tcW w:w="4677" w:type="dxa"/>
            <w:shd w:val="clear" w:color="auto" w:fill="auto"/>
            <w:tcMar>
              <w:left w:w="58" w:type="dxa"/>
              <w:right w:w="58" w:type="dxa"/>
            </w:tcMar>
            <w:hideMark/>
          </w:tcPr>
          <w:p w14:paraId="631D5E3A"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HCFC phase-out management plan (stage I, second tranche) (extruded polystyrene foam sector phase-out: Gulf Insulating Materials Manufacturing and Trading; </w:t>
            </w:r>
            <w:proofErr w:type="spellStart"/>
            <w:r w:rsidRPr="00176B12">
              <w:rPr>
                <w:color w:val="000000"/>
                <w:sz w:val="20"/>
                <w:szCs w:val="20"/>
                <w:lang w:val="en-CA" w:eastAsia="en-CA"/>
              </w:rPr>
              <w:lastRenderedPageBreak/>
              <w:t>Isofoam</w:t>
            </w:r>
            <w:proofErr w:type="spellEnd"/>
            <w:r w:rsidRPr="00176B12">
              <w:rPr>
                <w:color w:val="000000"/>
                <w:sz w:val="20"/>
                <w:szCs w:val="20"/>
                <w:lang w:val="en-CA" w:eastAsia="en-CA"/>
              </w:rPr>
              <w:t xml:space="preserve"> Insulating Materials Plants; and Al </w:t>
            </w:r>
            <w:proofErr w:type="spellStart"/>
            <w:r w:rsidRPr="00176B12">
              <w:rPr>
                <w:color w:val="000000"/>
                <w:sz w:val="20"/>
                <w:szCs w:val="20"/>
                <w:lang w:val="en-CA" w:eastAsia="en-CA"/>
              </w:rPr>
              <w:t>Masaha</w:t>
            </w:r>
            <w:proofErr w:type="spellEnd"/>
            <w:r w:rsidRPr="00176B12">
              <w:rPr>
                <w:color w:val="000000"/>
                <w:sz w:val="20"/>
                <w:szCs w:val="20"/>
                <w:lang w:val="en-CA" w:eastAsia="en-CA"/>
              </w:rPr>
              <w:t xml:space="preserve"> Company)</w:t>
            </w:r>
          </w:p>
        </w:tc>
        <w:tc>
          <w:tcPr>
            <w:tcW w:w="961" w:type="dxa"/>
            <w:shd w:val="clear" w:color="auto" w:fill="auto"/>
            <w:tcMar>
              <w:left w:w="58" w:type="dxa"/>
              <w:right w:w="58" w:type="dxa"/>
            </w:tcMar>
            <w:vAlign w:val="center"/>
            <w:hideMark/>
          </w:tcPr>
          <w:p w14:paraId="78B4D53F"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lastRenderedPageBreak/>
              <w:t>UNIDO</w:t>
            </w:r>
          </w:p>
        </w:tc>
      </w:tr>
      <w:tr w:rsidR="0028399A" w:rsidRPr="00176B12" w14:paraId="6BC0550F" w14:textId="77777777" w:rsidTr="0028399A">
        <w:trPr>
          <w:trHeight w:val="134"/>
        </w:trPr>
        <w:tc>
          <w:tcPr>
            <w:tcW w:w="1979" w:type="dxa"/>
            <w:shd w:val="clear" w:color="auto" w:fill="auto"/>
            <w:tcMar>
              <w:left w:w="58" w:type="dxa"/>
              <w:right w:w="58" w:type="dxa"/>
            </w:tcMar>
            <w:vAlign w:val="center"/>
            <w:hideMark/>
          </w:tcPr>
          <w:p w14:paraId="788D15D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lastRenderedPageBreak/>
              <w:t>Libya</w:t>
            </w:r>
          </w:p>
        </w:tc>
        <w:tc>
          <w:tcPr>
            <w:tcW w:w="2074" w:type="dxa"/>
            <w:shd w:val="clear" w:color="auto" w:fill="auto"/>
            <w:tcMar>
              <w:left w:w="58" w:type="dxa"/>
              <w:right w:w="58" w:type="dxa"/>
            </w:tcMar>
            <w:vAlign w:val="center"/>
            <w:hideMark/>
          </w:tcPr>
          <w:p w14:paraId="578C8A5D"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LIB/PHA/75/INV/37</w:t>
            </w:r>
          </w:p>
        </w:tc>
        <w:tc>
          <w:tcPr>
            <w:tcW w:w="4677" w:type="dxa"/>
            <w:shd w:val="clear" w:color="auto" w:fill="auto"/>
            <w:tcMar>
              <w:left w:w="58" w:type="dxa"/>
              <w:right w:w="58" w:type="dxa"/>
            </w:tcMar>
            <w:hideMark/>
          </w:tcPr>
          <w:p w14:paraId="45A4EBED"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first tranche) (refrigeration servicing sector)</w:t>
            </w:r>
          </w:p>
        </w:tc>
        <w:tc>
          <w:tcPr>
            <w:tcW w:w="961" w:type="dxa"/>
            <w:shd w:val="clear" w:color="auto" w:fill="auto"/>
            <w:tcMar>
              <w:left w:w="58" w:type="dxa"/>
              <w:right w:w="58" w:type="dxa"/>
            </w:tcMar>
            <w:vAlign w:val="center"/>
            <w:hideMark/>
          </w:tcPr>
          <w:p w14:paraId="62FBAA47"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116C953A" w14:textId="77777777" w:rsidTr="0028399A">
        <w:trPr>
          <w:trHeight w:val="296"/>
        </w:trPr>
        <w:tc>
          <w:tcPr>
            <w:tcW w:w="1979" w:type="dxa"/>
            <w:shd w:val="clear" w:color="auto" w:fill="auto"/>
            <w:tcMar>
              <w:left w:w="58" w:type="dxa"/>
              <w:right w:w="58" w:type="dxa"/>
            </w:tcMar>
            <w:vAlign w:val="center"/>
            <w:hideMark/>
          </w:tcPr>
          <w:p w14:paraId="4C8C1689"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Libya</w:t>
            </w:r>
          </w:p>
        </w:tc>
        <w:tc>
          <w:tcPr>
            <w:tcW w:w="2074" w:type="dxa"/>
            <w:shd w:val="clear" w:color="auto" w:fill="auto"/>
            <w:tcMar>
              <w:left w:w="58" w:type="dxa"/>
              <w:right w:w="58" w:type="dxa"/>
            </w:tcMar>
            <w:vAlign w:val="center"/>
            <w:hideMark/>
          </w:tcPr>
          <w:p w14:paraId="354969CD"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LIB/PHA/82/INV/42</w:t>
            </w:r>
          </w:p>
        </w:tc>
        <w:tc>
          <w:tcPr>
            <w:tcW w:w="4677" w:type="dxa"/>
            <w:shd w:val="clear" w:color="auto" w:fill="auto"/>
            <w:tcMar>
              <w:left w:w="58" w:type="dxa"/>
              <w:right w:w="58" w:type="dxa"/>
            </w:tcMar>
            <w:hideMark/>
          </w:tcPr>
          <w:p w14:paraId="5C6CA3C1"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second tranche) (refrigeration servicing sector)</w:t>
            </w:r>
          </w:p>
        </w:tc>
        <w:tc>
          <w:tcPr>
            <w:tcW w:w="961" w:type="dxa"/>
            <w:shd w:val="clear" w:color="auto" w:fill="auto"/>
            <w:tcMar>
              <w:left w:w="58" w:type="dxa"/>
              <w:right w:w="58" w:type="dxa"/>
            </w:tcMar>
            <w:vAlign w:val="center"/>
            <w:hideMark/>
          </w:tcPr>
          <w:p w14:paraId="4ED30B7D"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6C719A09" w14:textId="77777777" w:rsidTr="0028399A">
        <w:trPr>
          <w:trHeight w:val="98"/>
        </w:trPr>
        <w:tc>
          <w:tcPr>
            <w:tcW w:w="1979" w:type="dxa"/>
            <w:shd w:val="clear" w:color="auto" w:fill="auto"/>
            <w:tcMar>
              <w:left w:w="58" w:type="dxa"/>
              <w:right w:w="58" w:type="dxa"/>
            </w:tcMar>
            <w:vAlign w:val="center"/>
            <w:hideMark/>
          </w:tcPr>
          <w:p w14:paraId="0DA58B3E"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Maldives </w:t>
            </w:r>
          </w:p>
        </w:tc>
        <w:tc>
          <w:tcPr>
            <w:tcW w:w="2074" w:type="dxa"/>
            <w:shd w:val="clear" w:color="auto" w:fill="auto"/>
            <w:tcMar>
              <w:left w:w="58" w:type="dxa"/>
              <w:right w:w="58" w:type="dxa"/>
            </w:tcMar>
            <w:vAlign w:val="center"/>
            <w:hideMark/>
          </w:tcPr>
          <w:p w14:paraId="22DB93B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MDV/SEV/80/TAS/02+</w:t>
            </w:r>
          </w:p>
        </w:tc>
        <w:tc>
          <w:tcPr>
            <w:tcW w:w="4677" w:type="dxa"/>
            <w:shd w:val="clear" w:color="auto" w:fill="auto"/>
            <w:tcMar>
              <w:left w:w="58" w:type="dxa"/>
              <w:right w:w="58" w:type="dxa"/>
            </w:tcMar>
            <w:hideMark/>
          </w:tcPr>
          <w:p w14:paraId="5CBE337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Enabling activities for HFC phase-down</w:t>
            </w:r>
          </w:p>
        </w:tc>
        <w:tc>
          <w:tcPr>
            <w:tcW w:w="961" w:type="dxa"/>
            <w:shd w:val="clear" w:color="auto" w:fill="auto"/>
            <w:tcMar>
              <w:left w:w="58" w:type="dxa"/>
              <w:right w:w="58" w:type="dxa"/>
            </w:tcMar>
            <w:vAlign w:val="center"/>
            <w:hideMark/>
          </w:tcPr>
          <w:p w14:paraId="07CA06C0"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Italy</w:t>
            </w:r>
          </w:p>
        </w:tc>
      </w:tr>
      <w:tr w:rsidR="0028399A" w:rsidRPr="00176B12" w14:paraId="5D1EBE50" w14:textId="77777777" w:rsidTr="0028399A">
        <w:trPr>
          <w:trHeight w:val="116"/>
        </w:trPr>
        <w:tc>
          <w:tcPr>
            <w:tcW w:w="1979" w:type="dxa"/>
            <w:shd w:val="clear" w:color="auto" w:fill="auto"/>
            <w:tcMar>
              <w:left w:w="58" w:type="dxa"/>
              <w:right w:w="58" w:type="dxa"/>
            </w:tcMar>
            <w:vAlign w:val="center"/>
            <w:hideMark/>
          </w:tcPr>
          <w:p w14:paraId="5D2F4481"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Mauritania</w:t>
            </w:r>
          </w:p>
        </w:tc>
        <w:tc>
          <w:tcPr>
            <w:tcW w:w="2074" w:type="dxa"/>
            <w:shd w:val="clear" w:color="auto" w:fill="auto"/>
            <w:tcMar>
              <w:left w:w="58" w:type="dxa"/>
              <w:right w:w="58" w:type="dxa"/>
            </w:tcMar>
            <w:vAlign w:val="center"/>
            <w:hideMark/>
          </w:tcPr>
          <w:p w14:paraId="7963DECE"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MAU/PHA/80/INV/25</w:t>
            </w:r>
          </w:p>
        </w:tc>
        <w:tc>
          <w:tcPr>
            <w:tcW w:w="4677" w:type="dxa"/>
            <w:shd w:val="clear" w:color="auto" w:fill="auto"/>
            <w:tcMar>
              <w:left w:w="58" w:type="dxa"/>
              <w:right w:w="58" w:type="dxa"/>
            </w:tcMar>
            <w:hideMark/>
          </w:tcPr>
          <w:p w14:paraId="07676BC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first tranche)</w:t>
            </w:r>
          </w:p>
        </w:tc>
        <w:tc>
          <w:tcPr>
            <w:tcW w:w="961" w:type="dxa"/>
            <w:shd w:val="clear" w:color="auto" w:fill="auto"/>
            <w:tcMar>
              <w:left w:w="58" w:type="dxa"/>
              <w:right w:w="58" w:type="dxa"/>
            </w:tcMar>
            <w:vAlign w:val="center"/>
            <w:hideMark/>
          </w:tcPr>
          <w:p w14:paraId="259EEE0A"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UNDP</w:t>
            </w:r>
          </w:p>
        </w:tc>
      </w:tr>
      <w:tr w:rsidR="0028399A" w:rsidRPr="00176B12" w14:paraId="2D030A9A" w14:textId="77777777" w:rsidTr="0028399A">
        <w:trPr>
          <w:trHeight w:val="44"/>
        </w:trPr>
        <w:tc>
          <w:tcPr>
            <w:tcW w:w="1979" w:type="dxa"/>
            <w:shd w:val="clear" w:color="auto" w:fill="auto"/>
            <w:tcMar>
              <w:left w:w="58" w:type="dxa"/>
              <w:right w:w="58" w:type="dxa"/>
            </w:tcMar>
            <w:vAlign w:val="center"/>
            <w:hideMark/>
          </w:tcPr>
          <w:p w14:paraId="7F77E43E"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Mexico </w:t>
            </w:r>
          </w:p>
        </w:tc>
        <w:tc>
          <w:tcPr>
            <w:tcW w:w="2074" w:type="dxa"/>
            <w:shd w:val="clear" w:color="auto" w:fill="auto"/>
            <w:tcMar>
              <w:left w:w="58" w:type="dxa"/>
              <w:right w:w="58" w:type="dxa"/>
            </w:tcMar>
            <w:vAlign w:val="center"/>
            <w:hideMark/>
          </w:tcPr>
          <w:p w14:paraId="357C0EE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MEX/PHA/73/INV/171</w:t>
            </w:r>
          </w:p>
        </w:tc>
        <w:tc>
          <w:tcPr>
            <w:tcW w:w="4677" w:type="dxa"/>
            <w:shd w:val="clear" w:color="auto" w:fill="auto"/>
            <w:tcMar>
              <w:left w:w="58" w:type="dxa"/>
              <w:right w:w="58" w:type="dxa"/>
            </w:tcMar>
            <w:hideMark/>
          </w:tcPr>
          <w:p w14:paraId="73551287"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first tranche) (reclamation of HCFC refrigerants)</w:t>
            </w:r>
          </w:p>
        </w:tc>
        <w:tc>
          <w:tcPr>
            <w:tcW w:w="961" w:type="dxa"/>
            <w:shd w:val="clear" w:color="auto" w:fill="auto"/>
            <w:tcMar>
              <w:left w:w="58" w:type="dxa"/>
              <w:right w:w="58" w:type="dxa"/>
            </w:tcMar>
            <w:vAlign w:val="center"/>
            <w:hideMark/>
          </w:tcPr>
          <w:p w14:paraId="21B4B7FC"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Italy</w:t>
            </w:r>
          </w:p>
        </w:tc>
      </w:tr>
      <w:tr w:rsidR="0028399A" w:rsidRPr="00176B12" w14:paraId="7BEC25DF" w14:textId="77777777" w:rsidTr="0028399A">
        <w:trPr>
          <w:trHeight w:val="44"/>
        </w:trPr>
        <w:tc>
          <w:tcPr>
            <w:tcW w:w="1979" w:type="dxa"/>
            <w:shd w:val="clear" w:color="auto" w:fill="auto"/>
            <w:tcMar>
              <w:left w:w="58" w:type="dxa"/>
              <w:right w:w="58" w:type="dxa"/>
            </w:tcMar>
            <w:vAlign w:val="center"/>
            <w:hideMark/>
          </w:tcPr>
          <w:p w14:paraId="68BA776E"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Mexico</w:t>
            </w:r>
          </w:p>
        </w:tc>
        <w:tc>
          <w:tcPr>
            <w:tcW w:w="2074" w:type="dxa"/>
            <w:shd w:val="clear" w:color="auto" w:fill="auto"/>
            <w:tcMar>
              <w:left w:w="58" w:type="dxa"/>
              <w:right w:w="58" w:type="dxa"/>
            </w:tcMar>
            <w:vAlign w:val="center"/>
            <w:hideMark/>
          </w:tcPr>
          <w:p w14:paraId="5484ADB9"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MEX/PHA/74/INV/172</w:t>
            </w:r>
          </w:p>
        </w:tc>
        <w:tc>
          <w:tcPr>
            <w:tcW w:w="4677" w:type="dxa"/>
            <w:shd w:val="clear" w:color="auto" w:fill="auto"/>
            <w:tcMar>
              <w:left w:w="58" w:type="dxa"/>
              <w:right w:w="58" w:type="dxa"/>
            </w:tcMar>
            <w:hideMark/>
          </w:tcPr>
          <w:p w14:paraId="0109683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first tranche) (HC demonstration and training)</w:t>
            </w:r>
          </w:p>
        </w:tc>
        <w:tc>
          <w:tcPr>
            <w:tcW w:w="961" w:type="dxa"/>
            <w:shd w:val="clear" w:color="auto" w:fill="auto"/>
            <w:tcMar>
              <w:left w:w="58" w:type="dxa"/>
              <w:right w:w="58" w:type="dxa"/>
            </w:tcMar>
            <w:vAlign w:val="center"/>
            <w:hideMark/>
          </w:tcPr>
          <w:p w14:paraId="60F040A0"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Germany</w:t>
            </w:r>
          </w:p>
        </w:tc>
      </w:tr>
      <w:tr w:rsidR="0028399A" w:rsidRPr="00176B12" w14:paraId="52A7A32C" w14:textId="77777777" w:rsidTr="0028399A">
        <w:trPr>
          <w:trHeight w:val="44"/>
        </w:trPr>
        <w:tc>
          <w:tcPr>
            <w:tcW w:w="1979" w:type="dxa"/>
            <w:shd w:val="clear" w:color="auto" w:fill="auto"/>
            <w:tcMar>
              <w:left w:w="58" w:type="dxa"/>
              <w:right w:w="58" w:type="dxa"/>
            </w:tcMar>
            <w:vAlign w:val="center"/>
            <w:hideMark/>
          </w:tcPr>
          <w:p w14:paraId="2D75C8F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Mexico</w:t>
            </w:r>
          </w:p>
        </w:tc>
        <w:tc>
          <w:tcPr>
            <w:tcW w:w="2074" w:type="dxa"/>
            <w:shd w:val="clear" w:color="auto" w:fill="auto"/>
            <w:tcMar>
              <w:left w:w="58" w:type="dxa"/>
              <w:right w:w="58" w:type="dxa"/>
            </w:tcMar>
            <w:vAlign w:val="center"/>
            <w:hideMark/>
          </w:tcPr>
          <w:p w14:paraId="1AAB3D0B"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MEX/PHA/77/INV/179</w:t>
            </w:r>
          </w:p>
        </w:tc>
        <w:tc>
          <w:tcPr>
            <w:tcW w:w="4677" w:type="dxa"/>
            <w:shd w:val="clear" w:color="auto" w:fill="auto"/>
            <w:tcMar>
              <w:left w:w="58" w:type="dxa"/>
              <w:right w:w="58" w:type="dxa"/>
            </w:tcMar>
            <w:hideMark/>
          </w:tcPr>
          <w:p w14:paraId="365180E6"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second tranche) (HC demonstration and training)</w:t>
            </w:r>
          </w:p>
        </w:tc>
        <w:tc>
          <w:tcPr>
            <w:tcW w:w="961" w:type="dxa"/>
            <w:shd w:val="clear" w:color="auto" w:fill="auto"/>
            <w:tcMar>
              <w:left w:w="58" w:type="dxa"/>
              <w:right w:w="58" w:type="dxa"/>
            </w:tcMar>
            <w:vAlign w:val="center"/>
            <w:hideMark/>
          </w:tcPr>
          <w:p w14:paraId="6FCAD058"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Germany</w:t>
            </w:r>
          </w:p>
        </w:tc>
      </w:tr>
      <w:tr w:rsidR="0028399A" w:rsidRPr="00176B12" w14:paraId="6B1A08F2" w14:textId="77777777" w:rsidTr="0028399A">
        <w:trPr>
          <w:trHeight w:val="44"/>
        </w:trPr>
        <w:tc>
          <w:tcPr>
            <w:tcW w:w="1979" w:type="dxa"/>
            <w:shd w:val="clear" w:color="auto" w:fill="auto"/>
            <w:tcMar>
              <w:left w:w="58" w:type="dxa"/>
              <w:right w:w="58" w:type="dxa"/>
            </w:tcMar>
            <w:vAlign w:val="center"/>
            <w:hideMark/>
          </w:tcPr>
          <w:p w14:paraId="042BBBB6"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Seychelles </w:t>
            </w:r>
          </w:p>
        </w:tc>
        <w:tc>
          <w:tcPr>
            <w:tcW w:w="2074" w:type="dxa"/>
            <w:shd w:val="clear" w:color="auto" w:fill="auto"/>
            <w:tcMar>
              <w:left w:w="58" w:type="dxa"/>
              <w:right w:w="58" w:type="dxa"/>
            </w:tcMar>
            <w:vAlign w:val="center"/>
            <w:hideMark/>
          </w:tcPr>
          <w:p w14:paraId="1CCCD7BD"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SEY/PHA/70/INV/19</w:t>
            </w:r>
          </w:p>
        </w:tc>
        <w:tc>
          <w:tcPr>
            <w:tcW w:w="4677" w:type="dxa"/>
            <w:shd w:val="clear" w:color="auto" w:fill="auto"/>
            <w:tcMar>
              <w:left w:w="58" w:type="dxa"/>
              <w:right w:w="58" w:type="dxa"/>
            </w:tcMar>
            <w:hideMark/>
          </w:tcPr>
          <w:p w14:paraId="797D1DFC"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(second tranche)</w:t>
            </w:r>
          </w:p>
        </w:tc>
        <w:tc>
          <w:tcPr>
            <w:tcW w:w="961" w:type="dxa"/>
            <w:shd w:val="clear" w:color="auto" w:fill="auto"/>
            <w:tcMar>
              <w:left w:w="58" w:type="dxa"/>
              <w:right w:w="58" w:type="dxa"/>
            </w:tcMar>
            <w:vAlign w:val="center"/>
            <w:hideMark/>
          </w:tcPr>
          <w:p w14:paraId="4FF452D1"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Germany</w:t>
            </w:r>
          </w:p>
        </w:tc>
      </w:tr>
      <w:tr w:rsidR="0028399A" w:rsidRPr="00176B12" w14:paraId="50F3F3E9" w14:textId="77777777" w:rsidTr="0028399A">
        <w:trPr>
          <w:trHeight w:val="44"/>
        </w:trPr>
        <w:tc>
          <w:tcPr>
            <w:tcW w:w="1979" w:type="dxa"/>
            <w:shd w:val="clear" w:color="auto" w:fill="auto"/>
            <w:tcMar>
              <w:left w:w="58" w:type="dxa"/>
              <w:right w:w="58" w:type="dxa"/>
            </w:tcMar>
            <w:vAlign w:val="center"/>
            <w:hideMark/>
          </w:tcPr>
          <w:p w14:paraId="60D610C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 xml:space="preserve">Seychelles </w:t>
            </w:r>
          </w:p>
        </w:tc>
        <w:tc>
          <w:tcPr>
            <w:tcW w:w="2074" w:type="dxa"/>
            <w:shd w:val="clear" w:color="auto" w:fill="auto"/>
            <w:tcMar>
              <w:left w:w="58" w:type="dxa"/>
              <w:right w:w="58" w:type="dxa"/>
            </w:tcMar>
            <w:vAlign w:val="center"/>
            <w:hideMark/>
          </w:tcPr>
          <w:p w14:paraId="0F4E1BED"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SEY/PHA/75/INV/23</w:t>
            </w:r>
          </w:p>
        </w:tc>
        <w:tc>
          <w:tcPr>
            <w:tcW w:w="4677" w:type="dxa"/>
            <w:shd w:val="clear" w:color="auto" w:fill="auto"/>
            <w:tcMar>
              <w:left w:w="58" w:type="dxa"/>
              <w:right w:w="58" w:type="dxa"/>
            </w:tcMar>
            <w:hideMark/>
          </w:tcPr>
          <w:p w14:paraId="42921C1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7A4C01F4"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Germany</w:t>
            </w:r>
          </w:p>
        </w:tc>
      </w:tr>
      <w:tr w:rsidR="0028399A" w:rsidRPr="00176B12" w14:paraId="5B04F165" w14:textId="77777777" w:rsidTr="0028399A">
        <w:trPr>
          <w:trHeight w:val="314"/>
        </w:trPr>
        <w:tc>
          <w:tcPr>
            <w:tcW w:w="1979" w:type="dxa"/>
            <w:shd w:val="clear" w:color="auto" w:fill="auto"/>
            <w:tcMar>
              <w:left w:w="58" w:type="dxa"/>
              <w:right w:w="58" w:type="dxa"/>
            </w:tcMar>
            <w:vAlign w:val="center"/>
            <w:hideMark/>
          </w:tcPr>
          <w:p w14:paraId="39E11EAA"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South Africa</w:t>
            </w:r>
          </w:p>
        </w:tc>
        <w:tc>
          <w:tcPr>
            <w:tcW w:w="2074" w:type="dxa"/>
            <w:shd w:val="clear" w:color="auto" w:fill="auto"/>
            <w:tcMar>
              <w:left w:w="58" w:type="dxa"/>
              <w:right w:w="58" w:type="dxa"/>
            </w:tcMar>
            <w:vAlign w:val="center"/>
            <w:hideMark/>
          </w:tcPr>
          <w:p w14:paraId="0C62449D"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SOA/PHA/71/INV/06</w:t>
            </w:r>
          </w:p>
        </w:tc>
        <w:tc>
          <w:tcPr>
            <w:tcW w:w="4677" w:type="dxa"/>
            <w:shd w:val="clear" w:color="auto" w:fill="auto"/>
            <w:tcMar>
              <w:left w:w="58" w:type="dxa"/>
              <w:right w:w="58" w:type="dxa"/>
            </w:tcMar>
            <w:hideMark/>
          </w:tcPr>
          <w:p w14:paraId="30EF013F"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 second tranche) (refrigeration servicing, custom training and monitoring)</w:t>
            </w:r>
          </w:p>
        </w:tc>
        <w:tc>
          <w:tcPr>
            <w:tcW w:w="961" w:type="dxa"/>
            <w:shd w:val="clear" w:color="auto" w:fill="auto"/>
            <w:tcMar>
              <w:left w:w="58" w:type="dxa"/>
              <w:right w:w="58" w:type="dxa"/>
            </w:tcMar>
            <w:vAlign w:val="center"/>
            <w:hideMark/>
          </w:tcPr>
          <w:p w14:paraId="5C0F88EE"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22F309EE" w14:textId="77777777" w:rsidTr="0028399A">
        <w:trPr>
          <w:trHeight w:val="44"/>
        </w:trPr>
        <w:tc>
          <w:tcPr>
            <w:tcW w:w="1979" w:type="dxa"/>
            <w:shd w:val="clear" w:color="auto" w:fill="auto"/>
            <w:tcMar>
              <w:left w:w="58" w:type="dxa"/>
              <w:right w:w="58" w:type="dxa"/>
            </w:tcMar>
            <w:vAlign w:val="center"/>
            <w:hideMark/>
          </w:tcPr>
          <w:p w14:paraId="67AD8ED9"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Venezuela (Bolivarian Republic of)</w:t>
            </w:r>
          </w:p>
        </w:tc>
        <w:tc>
          <w:tcPr>
            <w:tcW w:w="2074" w:type="dxa"/>
            <w:shd w:val="clear" w:color="auto" w:fill="auto"/>
            <w:tcMar>
              <w:left w:w="58" w:type="dxa"/>
              <w:right w:w="58" w:type="dxa"/>
            </w:tcMar>
            <w:vAlign w:val="center"/>
            <w:hideMark/>
          </w:tcPr>
          <w:p w14:paraId="084E0EE6"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VEN/PHA/76/TAS/132</w:t>
            </w:r>
          </w:p>
        </w:tc>
        <w:tc>
          <w:tcPr>
            <w:tcW w:w="4677" w:type="dxa"/>
            <w:shd w:val="clear" w:color="auto" w:fill="auto"/>
            <w:tcMar>
              <w:left w:w="58" w:type="dxa"/>
              <w:right w:w="58" w:type="dxa"/>
            </w:tcMar>
            <w:hideMark/>
          </w:tcPr>
          <w:p w14:paraId="359E4EE5"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first tranche) (refrigeration servicing sector)</w:t>
            </w:r>
          </w:p>
        </w:tc>
        <w:tc>
          <w:tcPr>
            <w:tcW w:w="961" w:type="dxa"/>
            <w:shd w:val="clear" w:color="auto" w:fill="auto"/>
            <w:tcMar>
              <w:left w:w="58" w:type="dxa"/>
              <w:right w:w="58" w:type="dxa"/>
            </w:tcMar>
            <w:vAlign w:val="center"/>
            <w:hideMark/>
          </w:tcPr>
          <w:p w14:paraId="154569A8"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r w:rsidR="0028399A" w:rsidRPr="00176B12" w14:paraId="2050F1D7" w14:textId="77777777" w:rsidTr="0028399A">
        <w:trPr>
          <w:trHeight w:val="44"/>
        </w:trPr>
        <w:tc>
          <w:tcPr>
            <w:tcW w:w="1979" w:type="dxa"/>
            <w:shd w:val="clear" w:color="auto" w:fill="auto"/>
            <w:tcMar>
              <w:left w:w="58" w:type="dxa"/>
              <w:right w:w="58" w:type="dxa"/>
            </w:tcMar>
            <w:vAlign w:val="center"/>
            <w:hideMark/>
          </w:tcPr>
          <w:p w14:paraId="60D0B644"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Venezuela (Bolivarian Republic of)</w:t>
            </w:r>
          </w:p>
        </w:tc>
        <w:tc>
          <w:tcPr>
            <w:tcW w:w="2074" w:type="dxa"/>
            <w:shd w:val="clear" w:color="auto" w:fill="auto"/>
            <w:tcMar>
              <w:left w:w="58" w:type="dxa"/>
              <w:right w:w="58" w:type="dxa"/>
            </w:tcMar>
            <w:vAlign w:val="center"/>
            <w:hideMark/>
          </w:tcPr>
          <w:p w14:paraId="41ED417E"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VEN/PHA/76/INV/134</w:t>
            </w:r>
          </w:p>
        </w:tc>
        <w:tc>
          <w:tcPr>
            <w:tcW w:w="4677" w:type="dxa"/>
            <w:shd w:val="clear" w:color="auto" w:fill="auto"/>
            <w:tcMar>
              <w:left w:w="58" w:type="dxa"/>
              <w:right w:w="58" w:type="dxa"/>
            </w:tcMar>
            <w:hideMark/>
          </w:tcPr>
          <w:p w14:paraId="45F6631A" w14:textId="77777777" w:rsidR="0028399A" w:rsidRPr="00176B12" w:rsidRDefault="0028399A" w:rsidP="0028399A">
            <w:pPr>
              <w:jc w:val="left"/>
              <w:rPr>
                <w:color w:val="000000"/>
                <w:sz w:val="20"/>
                <w:szCs w:val="20"/>
                <w:lang w:val="en-US"/>
              </w:rPr>
            </w:pPr>
            <w:r w:rsidRPr="00176B12">
              <w:rPr>
                <w:color w:val="000000"/>
                <w:sz w:val="20"/>
                <w:szCs w:val="20"/>
                <w:lang w:val="en-CA" w:eastAsia="en-CA"/>
              </w:rPr>
              <w:t>HCFC phase-out management plan (stage II, first tranche) (technical assistance in refrigeration and air-conditioning manufacturing sector)</w:t>
            </w:r>
          </w:p>
        </w:tc>
        <w:tc>
          <w:tcPr>
            <w:tcW w:w="961" w:type="dxa"/>
            <w:shd w:val="clear" w:color="auto" w:fill="auto"/>
            <w:tcMar>
              <w:left w:w="58" w:type="dxa"/>
              <w:right w:w="58" w:type="dxa"/>
            </w:tcMar>
            <w:vAlign w:val="center"/>
            <w:hideMark/>
          </w:tcPr>
          <w:p w14:paraId="1844BE9B" w14:textId="77777777" w:rsidR="0028399A" w:rsidRPr="00176B12" w:rsidRDefault="0028399A" w:rsidP="0028399A">
            <w:pPr>
              <w:jc w:val="center"/>
              <w:rPr>
                <w:color w:val="000000"/>
                <w:sz w:val="20"/>
                <w:szCs w:val="20"/>
                <w:lang w:val="en-US"/>
              </w:rPr>
            </w:pPr>
            <w:r w:rsidRPr="00176B12">
              <w:rPr>
                <w:color w:val="000000"/>
                <w:sz w:val="20"/>
                <w:szCs w:val="20"/>
                <w:lang w:val="en-CA" w:eastAsia="en-CA"/>
              </w:rPr>
              <w:t>UNIDO</w:t>
            </w:r>
          </w:p>
        </w:tc>
      </w:tr>
    </w:tbl>
    <w:p w14:paraId="781F9022" w14:textId="77777777" w:rsidR="0028399A" w:rsidRDefault="0028399A" w:rsidP="0028399A">
      <w:pPr>
        <w:pStyle w:val="StyleHeader4Para4Left0Firstline0"/>
        <w:numPr>
          <w:ilvl w:val="0"/>
          <w:numId w:val="0"/>
        </w:numPr>
        <w:jc w:val="center"/>
        <w:rPr>
          <w:b/>
          <w:caps/>
          <w:sz w:val="22"/>
          <w:lang w:val="en-CA"/>
        </w:rPr>
        <w:sectPr w:rsidR="0028399A">
          <w:headerReference w:type="even" r:id="rId15"/>
          <w:footerReference w:type="even" r:id="rId16"/>
          <w:headerReference w:type="first" r:id="rId17"/>
          <w:footerReference w:type="first" r:id="rId18"/>
          <w:pgSz w:w="12240" w:h="15840" w:code="1"/>
          <w:pgMar w:top="720" w:right="1440" w:bottom="864" w:left="1440" w:header="720" w:footer="475" w:gutter="0"/>
          <w:pgNumType w:start="1"/>
          <w:cols w:space="720"/>
          <w:titlePg/>
        </w:sectPr>
      </w:pPr>
      <w:r>
        <w:rPr>
          <w:b/>
          <w:caps/>
          <w:sz w:val="22"/>
          <w:lang w:val="en-CA"/>
        </w:rPr>
        <w:br w:type="textWrapping" w:clear="all"/>
      </w:r>
    </w:p>
    <w:p w14:paraId="1BAE4350" w14:textId="77777777" w:rsidR="0028399A" w:rsidRPr="00002C46" w:rsidRDefault="0028399A" w:rsidP="0028399A">
      <w:pPr>
        <w:autoSpaceDE w:val="0"/>
        <w:autoSpaceDN w:val="0"/>
        <w:adjustRightInd w:val="0"/>
        <w:jc w:val="center"/>
        <w:rPr>
          <w:b/>
          <w:bCs/>
          <w:lang w:val="en-CA"/>
        </w:rPr>
      </w:pPr>
      <w:r w:rsidRPr="00756D59">
        <w:rPr>
          <w:b/>
          <w:bCs/>
          <w:lang w:val="en-CA"/>
        </w:rPr>
        <w:lastRenderedPageBreak/>
        <w:t>Annex II</w:t>
      </w:r>
    </w:p>
    <w:p w14:paraId="075904D8" w14:textId="77777777" w:rsidR="0028399A" w:rsidRPr="00002C46" w:rsidRDefault="0028399A" w:rsidP="0028399A">
      <w:pPr>
        <w:autoSpaceDE w:val="0"/>
        <w:autoSpaceDN w:val="0"/>
        <w:adjustRightInd w:val="0"/>
        <w:jc w:val="center"/>
        <w:rPr>
          <w:b/>
          <w:bCs/>
          <w:lang w:val="en-CA"/>
        </w:rPr>
      </w:pPr>
    </w:p>
    <w:p w14:paraId="7D1B8F75" w14:textId="77777777" w:rsidR="0028399A" w:rsidRPr="00FD1CAA" w:rsidRDefault="0028399A" w:rsidP="0028399A">
      <w:pPr>
        <w:pStyle w:val="StyleHeader4Para4Left0Firstline0"/>
        <w:numPr>
          <w:ilvl w:val="0"/>
          <w:numId w:val="0"/>
        </w:numPr>
        <w:jc w:val="center"/>
        <w:rPr>
          <w:b/>
          <w:caps/>
          <w:sz w:val="22"/>
          <w:lang w:val="en-CA"/>
        </w:rPr>
      </w:pPr>
      <w:r w:rsidRPr="005F13EC">
        <w:rPr>
          <w:b/>
          <w:caps/>
          <w:sz w:val="22"/>
          <w:lang w:val="en-CA"/>
        </w:rPr>
        <w:t>PROJECTS THAT ARE CLASSIFIED AS “NO PROGRESS” and are recommended for continued monitoring</w:t>
      </w:r>
    </w:p>
    <w:tbl>
      <w:tblPr>
        <w:tblW w:w="9609" w:type="dxa"/>
        <w:tblInd w:w="-185" w:type="dxa"/>
        <w:tblLook w:val="04A0" w:firstRow="1" w:lastRow="0" w:firstColumn="1" w:lastColumn="0" w:noHBand="0" w:noVBand="1"/>
      </w:tblPr>
      <w:tblGrid>
        <w:gridCol w:w="2070"/>
        <w:gridCol w:w="2070"/>
        <w:gridCol w:w="4680"/>
        <w:gridCol w:w="789"/>
      </w:tblGrid>
      <w:tr w:rsidR="0028399A" w:rsidRPr="00FD1CAA" w14:paraId="50B82F5D" w14:textId="77777777" w:rsidTr="00305D02">
        <w:tc>
          <w:tcPr>
            <w:tcW w:w="20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hideMark/>
          </w:tcPr>
          <w:p w14:paraId="255B762A"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Country</w:t>
            </w:r>
          </w:p>
        </w:tc>
        <w:tc>
          <w:tcPr>
            <w:tcW w:w="207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40D0EA12"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Code</w:t>
            </w:r>
          </w:p>
        </w:tc>
        <w:tc>
          <w:tcPr>
            <w:tcW w:w="468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9B092F3" w14:textId="77777777" w:rsidR="0028399A" w:rsidRPr="00FD1CAA" w:rsidRDefault="0028399A" w:rsidP="00305D02">
            <w:pPr>
              <w:jc w:val="center"/>
              <w:rPr>
                <w:b/>
                <w:bCs/>
                <w:color w:val="000000"/>
                <w:sz w:val="20"/>
                <w:szCs w:val="20"/>
                <w:lang w:val="en-CA" w:eastAsia="en-CA"/>
              </w:rPr>
            </w:pPr>
            <w:r>
              <w:rPr>
                <w:b/>
                <w:bCs/>
                <w:color w:val="000000"/>
                <w:sz w:val="20"/>
                <w:szCs w:val="20"/>
                <w:lang w:val="en-CA" w:eastAsia="en-CA"/>
              </w:rPr>
              <w:t>Project t</w:t>
            </w:r>
            <w:r w:rsidRPr="00FD1CAA">
              <w:rPr>
                <w:b/>
                <w:bCs/>
                <w:color w:val="000000"/>
                <w:sz w:val="20"/>
                <w:szCs w:val="20"/>
                <w:lang w:val="en-CA" w:eastAsia="en-CA"/>
              </w:rPr>
              <w:t>itle</w:t>
            </w:r>
          </w:p>
        </w:tc>
        <w:tc>
          <w:tcPr>
            <w:tcW w:w="78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76024905"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Agency</w:t>
            </w:r>
          </w:p>
        </w:tc>
      </w:tr>
      <w:tr w:rsidR="0028399A" w:rsidRPr="00FD1CAA" w14:paraId="6AD9AD68"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4FDE803"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Barbados </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BBAA423"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BAR/PHA/80/TAS/26</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237C5E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0AF298C"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7D0C1777"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BDE6EE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China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F51AB7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CPR/PHA/77/INV/574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5B2D129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II, first tranche) (room air-conditioner manufacturing sector plan)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B2ECA19"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Italy</w:t>
            </w:r>
          </w:p>
        </w:tc>
      </w:tr>
      <w:tr w:rsidR="0028399A" w:rsidRPr="00FD1CAA" w14:paraId="299E751F"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53ED302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Congo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D5C649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PRC/PHA/76/TAS/30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6C8BBF5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third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380ED9"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6E0F996B"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EFFFB6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D5B9F43"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DRK/PHA/73/INV/59</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EF9C42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HCFC phase-out management plan (stage I, first tranche) (phase-out of HCFC-141b in polyurethane foam sector at Pyongyang </w:t>
            </w:r>
            <w:proofErr w:type="spellStart"/>
            <w:r w:rsidRPr="00FD1CAA">
              <w:rPr>
                <w:color w:val="000000"/>
                <w:sz w:val="20"/>
                <w:szCs w:val="20"/>
                <w:lang w:val="en-CA" w:eastAsia="en-CA"/>
              </w:rPr>
              <w:t>Sonbong</w:t>
            </w:r>
            <w:proofErr w:type="spellEnd"/>
            <w:r w:rsidRPr="00FD1CAA">
              <w:rPr>
                <w:color w:val="000000"/>
                <w:sz w:val="20"/>
                <w:szCs w:val="20"/>
                <w:lang w:val="en-CA" w:eastAsia="en-CA"/>
              </w:rPr>
              <w:t xml:space="preserve"> and </w:t>
            </w:r>
            <w:proofErr w:type="spellStart"/>
            <w:r w:rsidRPr="00FD1CAA">
              <w:rPr>
                <w:color w:val="000000"/>
                <w:sz w:val="20"/>
                <w:szCs w:val="20"/>
                <w:lang w:val="en-CA" w:eastAsia="en-CA"/>
              </w:rPr>
              <w:t>Puhung</w:t>
            </w:r>
            <w:proofErr w:type="spellEnd"/>
            <w:r w:rsidRPr="00FD1CAA">
              <w:rPr>
                <w:color w:val="000000"/>
                <w:sz w:val="20"/>
                <w:szCs w:val="20"/>
                <w:lang w:val="en-CA" w:eastAsia="en-CA"/>
              </w:rPr>
              <w:t xml:space="preserve"> Building Materials)</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EE7CF7D"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r>
      <w:tr w:rsidR="0028399A" w:rsidRPr="00FD1CAA" w14:paraId="762A4FEE"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677D81C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4E7818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DRK/PHA/73/TAS/60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506135F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first tranche) (refrigeration servicing and monitoring)</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C612737"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r>
      <w:tr w:rsidR="0028399A" w:rsidRPr="00FD1CAA" w14:paraId="097E1641"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50494D54"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72870B3"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DRK/PHA/75/INV/62</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55784D0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HCFC phase-out management plan (stage I, second tranche) (phase-out of HCFC-141b in polyurethane foam sector at Pyongyang </w:t>
            </w:r>
            <w:proofErr w:type="spellStart"/>
            <w:r w:rsidRPr="00FD1CAA">
              <w:rPr>
                <w:color w:val="000000"/>
                <w:sz w:val="20"/>
                <w:szCs w:val="20"/>
                <w:lang w:val="en-CA" w:eastAsia="en-CA"/>
              </w:rPr>
              <w:t>Sonbong</w:t>
            </w:r>
            <w:proofErr w:type="spellEnd"/>
            <w:r w:rsidRPr="00FD1CAA">
              <w:rPr>
                <w:color w:val="000000"/>
                <w:sz w:val="20"/>
                <w:szCs w:val="20"/>
                <w:lang w:val="en-CA" w:eastAsia="en-CA"/>
              </w:rPr>
              <w:t xml:space="preserve"> and </w:t>
            </w:r>
            <w:proofErr w:type="spellStart"/>
            <w:r w:rsidRPr="00FD1CAA">
              <w:rPr>
                <w:color w:val="000000"/>
                <w:sz w:val="20"/>
                <w:szCs w:val="20"/>
                <w:lang w:val="en-CA" w:eastAsia="en-CA"/>
              </w:rPr>
              <w:t>Puhung</w:t>
            </w:r>
            <w:proofErr w:type="spellEnd"/>
            <w:r w:rsidRPr="00FD1CAA">
              <w:rPr>
                <w:color w:val="000000"/>
                <w:sz w:val="20"/>
                <w:szCs w:val="20"/>
                <w:lang w:val="en-CA" w:eastAsia="en-CA"/>
              </w:rPr>
              <w:t xml:space="preserve"> Building Materials)</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330FD9D"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r>
      <w:tr w:rsidR="0028399A" w:rsidRPr="00FD1CAA" w14:paraId="1B4D035C"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528612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9240614"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DRK/PHA/77/INV/64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609ED8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third tranche) (policy, refrigeration servicing and monitoring)</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5EB3495"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r>
      <w:tr w:rsidR="0028399A" w:rsidRPr="00FD1CAA" w14:paraId="2222747F"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7486A1F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Democratic Republic of the Congo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C0117E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DRC/PHA/80/TAS/44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00FF3E0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third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AFC7507"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55C616D0"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1EDC011C"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Kuwait</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92341E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KUW/PHA/66/TAS/19</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58A3ED4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first tranche) (refrigeration servicing sector and monitoring and verification)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3D24C4E"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2F88C4D9"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B66188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Kuwait</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6C7F3A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KUW/PHA/74/TAS/23</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FD9E8E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second tranche) (refrigeration servicing sector and monitoring and verification)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5C91DCB"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12BF640A"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CF472F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Libya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8EBB8D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LIB/PHA/75/INV/36</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461FBA2C"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first tranche) (foam sector)</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A35F330"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r>
      <w:tr w:rsidR="0028399A" w:rsidRPr="00FD1CAA" w14:paraId="32D53590"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536D80D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Mauritania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AF399B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MAU/PHA/80/TAS/24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5E5C8F0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first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FE86E1E"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0DE6D56B"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874A5C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Saint Kitts and Nevis</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E08ED0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STK/PHA/74/TAS/20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6779292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E2CF604"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r w:rsidR="0028399A" w:rsidRPr="00FD1CAA" w14:paraId="17B40B2A" w14:textId="77777777" w:rsidTr="00305D02">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6B9614C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South Sudan</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7A8FFB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SSD/PHA/77/TAS/04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968253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first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B689F4D"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r>
    </w:tbl>
    <w:p w14:paraId="711D1AF4" w14:textId="77777777" w:rsidR="0028399A" w:rsidRPr="00FD1CAA" w:rsidRDefault="0028399A" w:rsidP="0028399A">
      <w:pPr>
        <w:jc w:val="left"/>
        <w:rPr>
          <w:b/>
          <w:bCs/>
          <w:lang w:val="en-CA"/>
        </w:rPr>
      </w:pPr>
    </w:p>
    <w:p w14:paraId="049FF489" w14:textId="77777777" w:rsidR="0028399A" w:rsidRDefault="0028399A" w:rsidP="0028399A">
      <w:pPr>
        <w:rPr>
          <w:lang w:val="en-CA"/>
        </w:rPr>
        <w:sectPr w:rsidR="0028399A" w:rsidSect="00305D02">
          <w:headerReference w:type="even" r:id="rId19"/>
          <w:headerReference w:type="first" r:id="rId20"/>
          <w:footerReference w:type="first" r:id="rId21"/>
          <w:pgSz w:w="12240" w:h="15840" w:code="1"/>
          <w:pgMar w:top="720" w:right="1440" w:bottom="864" w:left="1440" w:header="720" w:footer="475" w:gutter="0"/>
          <w:pgNumType w:start="1"/>
          <w:cols w:space="720"/>
          <w:titlePg/>
        </w:sectPr>
      </w:pPr>
    </w:p>
    <w:p w14:paraId="0774E2D8" w14:textId="77777777" w:rsidR="0028399A" w:rsidRDefault="0028399A" w:rsidP="0028399A">
      <w:pPr>
        <w:autoSpaceDE w:val="0"/>
        <w:autoSpaceDN w:val="0"/>
        <w:adjustRightInd w:val="0"/>
        <w:spacing w:after="240"/>
        <w:jc w:val="center"/>
        <w:rPr>
          <w:b/>
          <w:bCs/>
          <w:lang w:val="en-CA"/>
        </w:rPr>
      </w:pPr>
      <w:r w:rsidRPr="00756D59">
        <w:rPr>
          <w:b/>
          <w:bCs/>
          <w:lang w:val="en-CA"/>
        </w:rPr>
        <w:lastRenderedPageBreak/>
        <w:t>Annex III</w:t>
      </w:r>
    </w:p>
    <w:p w14:paraId="2A2F3F5A" w14:textId="77777777" w:rsidR="0028399A" w:rsidRPr="00FD1CAA" w:rsidRDefault="0028399A" w:rsidP="0028399A">
      <w:pPr>
        <w:keepNext/>
        <w:spacing w:after="240"/>
        <w:jc w:val="center"/>
        <w:rPr>
          <w:b/>
          <w:bCs/>
          <w:lang w:val="en-CA"/>
        </w:rPr>
      </w:pPr>
      <w:r w:rsidRPr="00FD1CAA">
        <w:rPr>
          <w:b/>
          <w:bCs/>
          <w:lang w:val="en-CA"/>
        </w:rPr>
        <w:t xml:space="preserve">PROJECTS FOR WHICH ADDITIONAL STATUS REPORTS ARE REQUESTED </w:t>
      </w:r>
    </w:p>
    <w:tbl>
      <w:tblPr>
        <w:tblW w:w="9360" w:type="dxa"/>
        <w:jc w:val="center"/>
        <w:tblLook w:val="04A0" w:firstRow="1" w:lastRow="0" w:firstColumn="1" w:lastColumn="0" w:noHBand="0" w:noVBand="1"/>
      </w:tblPr>
      <w:tblGrid>
        <w:gridCol w:w="1401"/>
        <w:gridCol w:w="2061"/>
        <w:gridCol w:w="2534"/>
        <w:gridCol w:w="801"/>
        <w:gridCol w:w="2563"/>
      </w:tblGrid>
      <w:tr w:rsidR="0028399A" w:rsidRPr="00FD1CAA" w14:paraId="50DB5AE2" w14:textId="77777777" w:rsidTr="00305D02">
        <w:trPr>
          <w:tblHeader/>
          <w:jc w:val="center"/>
        </w:trPr>
        <w:tc>
          <w:tcPr>
            <w:tcW w:w="145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719E3316"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Country</w:t>
            </w:r>
          </w:p>
        </w:tc>
        <w:tc>
          <w:tcPr>
            <w:tcW w:w="2061"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5D1AD990"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Code</w:t>
            </w:r>
          </w:p>
        </w:tc>
        <w:tc>
          <w:tcPr>
            <w:tcW w:w="2784"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6A194BD7" w14:textId="77777777" w:rsidR="0028399A" w:rsidRPr="00FD1CAA" w:rsidRDefault="0028399A" w:rsidP="00305D02">
            <w:pPr>
              <w:jc w:val="center"/>
              <w:rPr>
                <w:b/>
                <w:bCs/>
                <w:color w:val="000000"/>
                <w:sz w:val="20"/>
                <w:szCs w:val="20"/>
                <w:lang w:val="en-CA" w:eastAsia="en-CA"/>
              </w:rPr>
            </w:pPr>
            <w:r>
              <w:rPr>
                <w:b/>
                <w:bCs/>
                <w:color w:val="000000"/>
                <w:sz w:val="20"/>
                <w:szCs w:val="20"/>
                <w:lang w:val="en-CA" w:eastAsia="en-CA"/>
              </w:rPr>
              <w:t>Project t</w:t>
            </w:r>
            <w:r w:rsidRPr="00FD1CAA">
              <w:rPr>
                <w:b/>
                <w:bCs/>
                <w:color w:val="000000"/>
                <w:sz w:val="20"/>
                <w:szCs w:val="20"/>
                <w:lang w:val="en-CA" w:eastAsia="en-CA"/>
              </w:rPr>
              <w:t>itle</w:t>
            </w:r>
          </w:p>
        </w:tc>
        <w:tc>
          <w:tcPr>
            <w:tcW w:w="81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677F71D6"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Agency</w:t>
            </w:r>
          </w:p>
        </w:tc>
        <w:tc>
          <w:tcPr>
            <w:tcW w:w="2785"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1F3F0CD0" w14:textId="77777777" w:rsidR="0028399A" w:rsidRPr="00FD1CAA" w:rsidRDefault="0028399A" w:rsidP="00305D02">
            <w:pPr>
              <w:jc w:val="center"/>
              <w:rPr>
                <w:b/>
                <w:bCs/>
                <w:color w:val="000000"/>
                <w:sz w:val="20"/>
                <w:szCs w:val="20"/>
                <w:lang w:val="en-CA" w:eastAsia="en-CA"/>
              </w:rPr>
            </w:pPr>
            <w:r w:rsidRPr="00FD1CAA">
              <w:rPr>
                <w:b/>
                <w:bCs/>
                <w:color w:val="000000"/>
                <w:sz w:val="20"/>
                <w:szCs w:val="20"/>
                <w:lang w:val="en-CA" w:eastAsia="en-CA"/>
              </w:rPr>
              <w:t>Recommendation</w:t>
            </w:r>
          </w:p>
        </w:tc>
      </w:tr>
      <w:tr w:rsidR="0028399A" w:rsidRPr="00FD1CAA" w14:paraId="191F57C2"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A3A695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Algeria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DE8154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ALG/SEV/73/INS/81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4B8458F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the institutional strengthening project (phase VI: 12/2014-11/2016)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F5613C3"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440E86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0A2C5172"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2767FB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Antigua and Barbuda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70FAD2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ANT/SEV/73/INS/16</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2F72D184"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institutional strengthening project (phase V: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2DC83B3"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40B5668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571A0003"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13D3F8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Antigua and Barbuda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5BC0CD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ANT/PHA/73/PRP/17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A448CC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2D9D336"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988907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28399A" w:rsidRPr="00FD1CAA" w14:paraId="62DB4F71"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B7F5F7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Bahamas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7D183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BHA/PHA/82/TAS/27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5A15D4BC"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Verification report on the implementation of the HCFC phase out management plan</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28F0E56"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525B69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 xml:space="preserve">the </w:t>
            </w:r>
            <w:r w:rsidRPr="00FD1CAA">
              <w:rPr>
                <w:color w:val="000000"/>
                <w:sz w:val="20"/>
                <w:szCs w:val="20"/>
                <w:lang w:val="en-CA" w:eastAsia="en-CA"/>
              </w:rPr>
              <w:t xml:space="preserve">status of preparation of </w:t>
            </w:r>
            <w:r>
              <w:rPr>
                <w:color w:val="000000"/>
                <w:sz w:val="20"/>
                <w:szCs w:val="20"/>
                <w:lang w:val="en-CA" w:eastAsia="en-CA"/>
              </w:rPr>
              <w:t xml:space="preserve">the </w:t>
            </w:r>
            <w:r w:rsidRPr="00FD1CAA">
              <w:rPr>
                <w:color w:val="000000"/>
                <w:sz w:val="20"/>
                <w:szCs w:val="20"/>
                <w:lang w:val="en-CA" w:eastAsia="en-CA"/>
              </w:rPr>
              <w:t>verification report</w:t>
            </w:r>
          </w:p>
        </w:tc>
      </w:tr>
      <w:tr w:rsidR="0028399A" w:rsidRPr="00FD1CAA" w14:paraId="3E694A5A"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2839AE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Bangladesh</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DDAB5F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BGD/PHA/81/TAS/49</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2A8365A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II, first tranche) (project management unit)</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DE7B00"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B217A9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61C868A7"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8562174"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Bangladesh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B4E594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BGD/PHA/81/INV/51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7C3AF1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w:t>
            </w:r>
            <w:r>
              <w:rPr>
                <w:color w:val="000000"/>
                <w:sz w:val="20"/>
                <w:szCs w:val="20"/>
                <w:lang w:val="en-CA" w:eastAsia="en-CA"/>
              </w:rPr>
              <w:t xml:space="preserve"> (stage II, first tranche) (air</w:t>
            </w:r>
            <w:r>
              <w:rPr>
                <w:color w:val="000000"/>
                <w:sz w:val="20"/>
                <w:szCs w:val="20"/>
                <w:lang w:val="en-CA" w:eastAsia="en-CA"/>
              </w:rPr>
              <w:noBreakHyphen/>
            </w:r>
            <w:r w:rsidRPr="00FD1CAA">
              <w:rPr>
                <w:color w:val="000000"/>
                <w:sz w:val="20"/>
                <w:szCs w:val="20"/>
                <w:lang w:val="en-CA" w:eastAsia="en-CA"/>
              </w:rPr>
              <w:t>conditioning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921DFD3"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39477E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2F902E54"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063AE0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Central African Republic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B190B53"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CAF/SEV/68/INS/23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AD470D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the institutional strengthening project (phase VI: 1/2013-12/2014)</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2FA4539"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63E500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524AD7B1"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94E0F94"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Democratic Republic of the Congo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2B86A0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DRC/PHA/79/PRP/42 </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07C91A9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90CD5BC"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C707BD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28399A" w:rsidRPr="00FD1CAA" w14:paraId="2862DF21"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C41882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Dominica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9120F4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DMI/SEV/80/INS/23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4DFC91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Additional emergency assistance for institutional strengthening</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8334695"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227B54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the small-scale funding agreement (</w:t>
            </w:r>
            <w:r w:rsidRPr="00FD1CAA">
              <w:rPr>
                <w:color w:val="000000"/>
                <w:sz w:val="20"/>
                <w:szCs w:val="20"/>
                <w:lang w:val="en-CA" w:eastAsia="en-CA"/>
              </w:rPr>
              <w:t>SSFA</w:t>
            </w:r>
            <w:r>
              <w:rPr>
                <w:color w:val="000000"/>
                <w:sz w:val="20"/>
                <w:szCs w:val="20"/>
                <w:lang w:val="en-CA" w:eastAsia="en-CA"/>
              </w:rPr>
              <w:t>)</w:t>
            </w:r>
            <w:r w:rsidRPr="00FD1CAA">
              <w:rPr>
                <w:color w:val="000000"/>
                <w:sz w:val="20"/>
                <w:szCs w:val="20"/>
                <w:lang w:val="en-CA" w:eastAsia="en-CA"/>
              </w:rPr>
              <w:t xml:space="preserve"> and progress in implementation </w:t>
            </w:r>
          </w:p>
        </w:tc>
      </w:tr>
      <w:tr w:rsidR="0028399A" w:rsidRPr="00FD1CAA" w14:paraId="6D64E130"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416C98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 xml:space="preserve">Dominica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93D55D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DMI/SEV/81/INS/24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114172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the institutional strengthening project (phase VII: 6/2018-5/2020 )</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AC98736"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055247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 xml:space="preserve">the </w:t>
            </w:r>
            <w:r w:rsidRPr="00FD1CAA">
              <w:rPr>
                <w:color w:val="000000"/>
                <w:sz w:val="20"/>
                <w:szCs w:val="20"/>
                <w:lang w:val="en-CA" w:eastAsia="en-CA"/>
              </w:rPr>
              <w:t xml:space="preserve">SSFA and progress in implementation </w:t>
            </w:r>
          </w:p>
        </w:tc>
      </w:tr>
      <w:tr w:rsidR="0028399A" w:rsidRPr="00FD1CAA" w14:paraId="301B530B"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21FE73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Haiti</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CF6480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HAI/SEV/75/INS/20</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F370C7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the institutional strengthening project (phase IV: 11/2015-10/2017)</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DE600BA"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7BB6D52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status of submission of progress and financial reports</w:t>
            </w:r>
          </w:p>
        </w:tc>
      </w:tr>
      <w:tr w:rsidR="0028399A" w:rsidRPr="00FD1CAA" w14:paraId="170E24AC"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34D90C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Haiti</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1B9176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HAI/PHA/76/INV/22</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4C4ED0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1C6923D"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9E526C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delivery of equipment</w:t>
            </w:r>
          </w:p>
        </w:tc>
      </w:tr>
      <w:tr w:rsidR="0028399A" w:rsidRPr="00FD1CAA" w14:paraId="2F85F51D"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4A195A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Kuwait</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5F7FAB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KUW/PHA/83/INV/36</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55A3BC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third tranche) (polyurethane foam sector phase-out)</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1B3764A"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CCDD58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28399A" w:rsidRPr="00FD1CAA" w14:paraId="2C5C5E88"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119154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Kuwait</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A512F8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KUW/PHA/83/TAS/37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7997B34"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third tranche) (refrigeration servicing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6184B09"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D038D9C"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28399A" w:rsidRPr="00FD1CAA" w14:paraId="6A5DE4FE"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EA35E7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lastRenderedPageBreak/>
              <w:t>Libya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C6C245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LIB/FOA/82/PRP/41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2BBB1C7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Preparation for HCFC phase-out investment activities (stage II) (foam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43FA233"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83E555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28399A" w:rsidRPr="00FD1CAA" w14:paraId="4525D43C"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F26C90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Libya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DFBDD5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LIB/PHA/82/PRP/43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42669EA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5E257D8"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750E31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28399A" w:rsidRPr="00FD1CAA" w14:paraId="075BEAF9"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74BCF92"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Mozambique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26702B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MOZ/PHA/83/INV/31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4DFBE7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HCFC phase-out management plan (stage I, third and fourth tranches)</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9A6D23"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4D59C15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28399A" w:rsidRPr="00FD1CAA" w14:paraId="464E6708"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C52124B"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South Sudan</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394BE29"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SSD/SEV/76/INS/03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C4FE89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Institutional strengthening project (phase I: 5/2016-4/2018)</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099A298"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0FF8998"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28399A" w:rsidRPr="00FD1CAA" w14:paraId="64893B7A"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8D37D71"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Syrian Arab Republic</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480223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SYR/SEV/73/INS/104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2AE0487"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institutional strengthening (phase V: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8F099D2"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149BA9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591275EF"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FBBAFB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United Republic of Tanzania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E516ECD"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URT/SEV/83/INS/39</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5148E9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the institutional strengthening project (phase VII: 7/2019-6/2021)</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0AFABDF"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E6162A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 xml:space="preserve">the </w:t>
            </w:r>
            <w:r w:rsidRPr="00FD1CAA">
              <w:rPr>
                <w:color w:val="000000"/>
                <w:sz w:val="20"/>
                <w:szCs w:val="20"/>
                <w:lang w:val="en-CA" w:eastAsia="en-CA"/>
              </w:rPr>
              <w:t xml:space="preserve">SSFA and progress in implementation </w:t>
            </w:r>
          </w:p>
        </w:tc>
      </w:tr>
      <w:tr w:rsidR="0028399A" w:rsidRPr="00FD1CAA" w14:paraId="4BC2D598"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44346CA"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Yemen</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3FF7B9E"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YEM/SEV/73/INS/43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4B3613C5"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Extension of the institutional strengthening project (phase VIII: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4A14F52"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B6CE610"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28399A" w:rsidRPr="00FD1CAA" w14:paraId="71F80AB9" w14:textId="77777777" w:rsidTr="00305D02">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C8903B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Global</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F600846"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GLO/REF/80/DEM/344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222A573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Global chiller replacement project (Argentina)</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D61E26E" w14:textId="77777777" w:rsidR="0028399A" w:rsidRPr="00FD1CAA" w:rsidRDefault="0028399A" w:rsidP="00305D02">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F3867EF" w14:textId="77777777" w:rsidR="0028399A" w:rsidRPr="00FD1CAA" w:rsidRDefault="0028399A" w:rsidP="00305D02">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8C18DF">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progress in implementation </w:t>
            </w:r>
          </w:p>
        </w:tc>
      </w:tr>
    </w:tbl>
    <w:p w14:paraId="53C03F4F" w14:textId="77777777" w:rsidR="0028399A" w:rsidRPr="008C18DF" w:rsidRDefault="0028399A" w:rsidP="0028399A">
      <w:pPr>
        <w:keepNext/>
        <w:spacing w:after="240"/>
        <w:jc w:val="center"/>
        <w:rPr>
          <w:b/>
          <w:bCs/>
        </w:rPr>
      </w:pPr>
    </w:p>
    <w:p w14:paraId="1149AD51" w14:textId="77777777" w:rsidR="0028399A" w:rsidRPr="00B53651" w:rsidRDefault="0028399A" w:rsidP="0028399A"/>
    <w:p w14:paraId="60139DB6" w14:textId="77777777" w:rsidR="0028399A" w:rsidRDefault="0028399A" w:rsidP="0028399A">
      <w:pPr>
        <w:pStyle w:val="StyleHeader4Para4Left0Firstline0"/>
        <w:numPr>
          <w:ilvl w:val="0"/>
          <w:numId w:val="0"/>
        </w:numPr>
        <w:jc w:val="center"/>
        <w:rPr>
          <w:b/>
          <w:caps/>
          <w:sz w:val="22"/>
        </w:rPr>
        <w:sectPr w:rsidR="0028399A">
          <w:headerReference w:type="even" r:id="rId22"/>
          <w:footerReference w:type="even" r:id="rId23"/>
          <w:headerReference w:type="first" r:id="rId24"/>
          <w:footerReference w:type="first" r:id="rId25"/>
          <w:pgSz w:w="12240" w:h="15840" w:code="1"/>
          <w:pgMar w:top="720" w:right="1440" w:bottom="864" w:left="1440" w:header="720" w:footer="475" w:gutter="0"/>
          <w:pgNumType w:start="1"/>
          <w:cols w:space="720"/>
          <w:titlePg/>
        </w:sectPr>
      </w:pPr>
    </w:p>
    <w:p w14:paraId="720AD500" w14:textId="77777777" w:rsidR="003D5B9C" w:rsidRPr="00305D02" w:rsidRDefault="003D5B9C" w:rsidP="003D5B9C">
      <w:pPr>
        <w:jc w:val="center"/>
        <w:rPr>
          <w:b/>
          <w:lang w:val="es-AR"/>
        </w:rPr>
      </w:pPr>
      <w:r w:rsidRPr="00305D02">
        <w:rPr>
          <w:b/>
          <w:lang w:val="es-AR"/>
        </w:rPr>
        <w:lastRenderedPageBreak/>
        <w:t>Anexo IV</w:t>
      </w:r>
    </w:p>
    <w:p w14:paraId="249A62C7" w14:textId="77777777" w:rsidR="003D5B9C" w:rsidRPr="00305D02" w:rsidRDefault="003D5B9C" w:rsidP="003D5B9C">
      <w:pPr>
        <w:jc w:val="center"/>
        <w:rPr>
          <w:lang w:val="es-AR"/>
        </w:rPr>
      </w:pPr>
    </w:p>
    <w:p w14:paraId="51CC36D9" w14:textId="77777777" w:rsidR="003D5B9C" w:rsidRPr="003D5B9C" w:rsidRDefault="003D5B9C" w:rsidP="003D5B9C">
      <w:pPr>
        <w:jc w:val="center"/>
        <w:rPr>
          <w:b/>
          <w:lang w:val="es-419"/>
        </w:rPr>
      </w:pPr>
      <w:r w:rsidRPr="003D5B9C">
        <w:rPr>
          <w:b/>
          <w:lang w:val="es-419"/>
        </w:rPr>
        <w:t>TEXTO PARA INCLUIR EN LA VERSIÓN ACTUALIZADA DEL ACUERDO ENTRE EL GOBIERNO DE FILIPINAS Y EL COMITÉ EJECUTIVO DEL FONDO MULTILATERAL PARA LA REDUCCIÓN DEL CONSUMO DE HIDROCLOROFLUOROCARBONOS</w:t>
      </w:r>
    </w:p>
    <w:p w14:paraId="2260F268" w14:textId="77777777" w:rsidR="003D5B9C" w:rsidRPr="003D5B9C" w:rsidRDefault="003D5B9C" w:rsidP="003D5B9C">
      <w:pPr>
        <w:jc w:val="center"/>
        <w:rPr>
          <w:lang w:val="es-419"/>
        </w:rPr>
      </w:pPr>
      <w:r w:rsidRPr="003D5B9C">
        <w:rPr>
          <w:b/>
          <w:lang w:val="es-419"/>
        </w:rPr>
        <w:t>(Para mayor comodidad, los cambios pertinentes están en negrita)</w:t>
      </w:r>
    </w:p>
    <w:p w14:paraId="7C4055DF" w14:textId="77777777" w:rsidR="003D5B9C" w:rsidRPr="003D5B9C" w:rsidRDefault="003D5B9C" w:rsidP="003D5B9C">
      <w:pPr>
        <w:rPr>
          <w:lang w:val="es-419"/>
        </w:rPr>
      </w:pPr>
    </w:p>
    <w:p w14:paraId="4B2B40E6" w14:textId="77777777" w:rsidR="003D5B9C" w:rsidRPr="003D5B9C" w:rsidRDefault="003D5B9C" w:rsidP="003D5B9C">
      <w:pPr>
        <w:pStyle w:val="Heading1"/>
        <w:numPr>
          <w:ilvl w:val="0"/>
          <w:numId w:val="0"/>
        </w:numPr>
        <w:rPr>
          <w:bCs/>
          <w:lang w:val="es-419"/>
        </w:rPr>
      </w:pPr>
      <w:r w:rsidRPr="003D5B9C">
        <w:rPr>
          <w:lang w:val="es-419"/>
        </w:rPr>
        <w:t>17.</w:t>
      </w:r>
      <w:r w:rsidRPr="003D5B9C">
        <w:rPr>
          <w:lang w:val="es-419"/>
        </w:rPr>
        <w:tab/>
        <w:t xml:space="preserve">En la 83ª reunión, el Banco Mundial dejó de ser el Organismo de Ejecución Principal en lo relativo a las actividades del País en virtud de este Acuerdo. Por lo tanto, las responsabilidades del Banco Mundial en virtud de este Acuerdo solo alcanzan hasta la 82ª reunión. El presente Acuerdo actualizado </w:t>
      </w:r>
      <w:r w:rsidRPr="003D5B9C">
        <w:rPr>
          <w:b/>
          <w:lang w:val="es-419"/>
        </w:rPr>
        <w:t>revisado</w:t>
      </w:r>
      <w:r w:rsidRPr="003D5B9C">
        <w:rPr>
          <w:lang w:val="es-419"/>
        </w:rPr>
        <w:t xml:space="preserve"> sustituye al Acuerdo celebrado entre el Gobierno de Filipinas y el Comité Ejecutivo en el curso de la </w:t>
      </w:r>
      <w:r w:rsidRPr="003D5B9C">
        <w:rPr>
          <w:b/>
          <w:lang w:val="es-419"/>
        </w:rPr>
        <w:t>83ª</w:t>
      </w:r>
      <w:r w:rsidRPr="003D5B9C">
        <w:rPr>
          <w:lang w:val="es-419"/>
        </w:rPr>
        <w:t xml:space="preserve"> reunión del Comité Ejecutivo.</w:t>
      </w:r>
    </w:p>
    <w:p w14:paraId="55659F2E" w14:textId="77777777" w:rsidR="003D5B9C" w:rsidRPr="00A30BA2" w:rsidRDefault="003D5B9C" w:rsidP="003D5B9C">
      <w:pPr>
        <w:widowControl w:val="0"/>
        <w:rPr>
          <w:b/>
        </w:rPr>
      </w:pPr>
      <w:r w:rsidRPr="00A30BA2">
        <w:rPr>
          <w:b/>
        </w:rPr>
        <w:t>APÉNDICE 2-A: OBJETIVOS Y FINANCIACIÓN</w:t>
      </w:r>
    </w:p>
    <w:p w14:paraId="36988991" w14:textId="77777777" w:rsidR="003D5B9C" w:rsidRPr="00A30BA2" w:rsidRDefault="003D5B9C" w:rsidP="003D5B9C">
      <w:pPr>
        <w:widowControl w:val="0"/>
        <w:rPr>
          <w:b/>
        </w:rPr>
      </w:pPr>
    </w:p>
    <w:tbl>
      <w:tblPr>
        <w:tblStyle w:val="TableGrid"/>
        <w:tblW w:w="9394" w:type="dxa"/>
        <w:tblLayout w:type="fixed"/>
        <w:tblLook w:val="04A0" w:firstRow="1" w:lastRow="0" w:firstColumn="1" w:lastColumn="0" w:noHBand="0" w:noVBand="1"/>
      </w:tblPr>
      <w:tblGrid>
        <w:gridCol w:w="625"/>
        <w:gridCol w:w="3287"/>
        <w:gridCol w:w="894"/>
        <w:gridCol w:w="894"/>
        <w:gridCol w:w="895"/>
        <w:gridCol w:w="894"/>
        <w:gridCol w:w="895"/>
        <w:gridCol w:w="20"/>
        <w:gridCol w:w="970"/>
        <w:gridCol w:w="20"/>
      </w:tblGrid>
      <w:tr w:rsidR="003D5B9C" w:rsidRPr="00A30BA2" w14:paraId="002EC566"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14E2620F" w14:textId="77777777" w:rsidR="003D5B9C" w:rsidRPr="00A30BA2" w:rsidRDefault="003D5B9C" w:rsidP="00305D02">
            <w:pPr>
              <w:widowControl w:val="0"/>
              <w:jc w:val="left"/>
              <w:rPr>
                <w:b/>
                <w:bCs/>
                <w:sz w:val="20"/>
                <w:szCs w:val="20"/>
              </w:rPr>
            </w:pPr>
            <w:r w:rsidRPr="00A30BA2">
              <w:rPr>
                <w:b/>
                <w:bCs/>
                <w:sz w:val="20"/>
                <w:szCs w:val="20"/>
              </w:rPr>
              <w:t>Fila</w:t>
            </w:r>
          </w:p>
        </w:tc>
        <w:tc>
          <w:tcPr>
            <w:tcW w:w="3287" w:type="dxa"/>
            <w:tcBorders>
              <w:top w:val="single" w:sz="4" w:space="0" w:color="auto"/>
              <w:left w:val="single" w:sz="4" w:space="0" w:color="auto"/>
              <w:bottom w:val="single" w:sz="4" w:space="0" w:color="auto"/>
              <w:right w:val="single" w:sz="4" w:space="0" w:color="auto"/>
            </w:tcBorders>
            <w:hideMark/>
          </w:tcPr>
          <w:p w14:paraId="4BD89FE2" w14:textId="77777777" w:rsidR="003D5B9C" w:rsidRPr="00A30BA2" w:rsidRDefault="003D5B9C" w:rsidP="00305D02">
            <w:pPr>
              <w:widowControl w:val="0"/>
              <w:rPr>
                <w:b/>
                <w:bCs/>
                <w:sz w:val="20"/>
                <w:szCs w:val="20"/>
              </w:rPr>
            </w:pPr>
            <w:proofErr w:type="spellStart"/>
            <w:r w:rsidRPr="00A30BA2">
              <w:rPr>
                <w:b/>
                <w:bCs/>
                <w:sz w:val="20"/>
                <w:szCs w:val="20"/>
              </w:rPr>
              <w:t>Título</w:t>
            </w:r>
            <w:proofErr w:type="spellEnd"/>
          </w:p>
        </w:tc>
        <w:tc>
          <w:tcPr>
            <w:tcW w:w="894" w:type="dxa"/>
            <w:tcBorders>
              <w:top w:val="single" w:sz="4" w:space="0" w:color="auto"/>
              <w:left w:val="single" w:sz="4" w:space="0" w:color="auto"/>
              <w:bottom w:val="single" w:sz="4" w:space="0" w:color="auto"/>
              <w:right w:val="single" w:sz="4" w:space="0" w:color="auto"/>
            </w:tcBorders>
            <w:noWrap/>
            <w:hideMark/>
          </w:tcPr>
          <w:p w14:paraId="507A710D" w14:textId="77777777" w:rsidR="003D5B9C" w:rsidRPr="00A30BA2" w:rsidRDefault="003D5B9C" w:rsidP="00305D02">
            <w:pPr>
              <w:widowControl w:val="0"/>
              <w:jc w:val="center"/>
              <w:rPr>
                <w:b/>
                <w:bCs/>
                <w:sz w:val="20"/>
                <w:szCs w:val="20"/>
              </w:rPr>
            </w:pPr>
            <w:r w:rsidRPr="00A30BA2">
              <w:rPr>
                <w:b/>
                <w:bCs/>
                <w:sz w:val="20"/>
                <w:szCs w:val="20"/>
              </w:rPr>
              <w:t>2017</w:t>
            </w:r>
          </w:p>
        </w:tc>
        <w:tc>
          <w:tcPr>
            <w:tcW w:w="894" w:type="dxa"/>
            <w:tcBorders>
              <w:top w:val="single" w:sz="4" w:space="0" w:color="auto"/>
              <w:left w:val="single" w:sz="4" w:space="0" w:color="auto"/>
              <w:bottom w:val="single" w:sz="4" w:space="0" w:color="auto"/>
              <w:right w:val="single" w:sz="4" w:space="0" w:color="auto"/>
            </w:tcBorders>
            <w:noWrap/>
            <w:hideMark/>
          </w:tcPr>
          <w:p w14:paraId="044FD24C" w14:textId="77777777" w:rsidR="003D5B9C" w:rsidRPr="00A30BA2" w:rsidRDefault="003D5B9C" w:rsidP="00305D02">
            <w:pPr>
              <w:widowControl w:val="0"/>
              <w:jc w:val="center"/>
              <w:rPr>
                <w:b/>
                <w:bCs/>
                <w:sz w:val="20"/>
                <w:szCs w:val="20"/>
              </w:rPr>
            </w:pPr>
            <w:r w:rsidRPr="00A30BA2">
              <w:rPr>
                <w:b/>
                <w:bCs/>
                <w:sz w:val="20"/>
                <w:szCs w:val="20"/>
              </w:rPr>
              <w:t>2018</w:t>
            </w:r>
          </w:p>
        </w:tc>
        <w:tc>
          <w:tcPr>
            <w:tcW w:w="895" w:type="dxa"/>
            <w:tcBorders>
              <w:top w:val="single" w:sz="4" w:space="0" w:color="auto"/>
              <w:left w:val="single" w:sz="4" w:space="0" w:color="auto"/>
              <w:bottom w:val="single" w:sz="4" w:space="0" w:color="auto"/>
              <w:right w:val="single" w:sz="4" w:space="0" w:color="auto"/>
            </w:tcBorders>
            <w:noWrap/>
            <w:hideMark/>
          </w:tcPr>
          <w:p w14:paraId="05436788" w14:textId="77777777" w:rsidR="003D5B9C" w:rsidRPr="00A30BA2" w:rsidRDefault="003D5B9C" w:rsidP="00305D02">
            <w:pPr>
              <w:widowControl w:val="0"/>
              <w:jc w:val="center"/>
              <w:rPr>
                <w:b/>
                <w:bCs/>
                <w:sz w:val="20"/>
                <w:szCs w:val="20"/>
              </w:rPr>
            </w:pPr>
            <w:r w:rsidRPr="00A30BA2">
              <w:rPr>
                <w:b/>
                <w:bCs/>
                <w:sz w:val="20"/>
                <w:szCs w:val="20"/>
              </w:rPr>
              <w:t>2019</w:t>
            </w:r>
          </w:p>
        </w:tc>
        <w:tc>
          <w:tcPr>
            <w:tcW w:w="894" w:type="dxa"/>
            <w:tcBorders>
              <w:top w:val="single" w:sz="4" w:space="0" w:color="auto"/>
              <w:left w:val="single" w:sz="4" w:space="0" w:color="auto"/>
              <w:bottom w:val="single" w:sz="4" w:space="0" w:color="auto"/>
              <w:right w:val="single" w:sz="4" w:space="0" w:color="auto"/>
            </w:tcBorders>
            <w:noWrap/>
            <w:hideMark/>
          </w:tcPr>
          <w:p w14:paraId="05E78F8C" w14:textId="77777777" w:rsidR="003D5B9C" w:rsidRPr="00A30BA2" w:rsidRDefault="003D5B9C" w:rsidP="00305D02">
            <w:pPr>
              <w:widowControl w:val="0"/>
              <w:jc w:val="center"/>
              <w:rPr>
                <w:b/>
                <w:bCs/>
                <w:sz w:val="20"/>
                <w:szCs w:val="20"/>
              </w:rPr>
            </w:pPr>
            <w:r w:rsidRPr="00A30BA2">
              <w:rPr>
                <w:b/>
                <w:bCs/>
                <w:sz w:val="20"/>
                <w:szCs w:val="20"/>
              </w:rPr>
              <w:t>2020</w:t>
            </w:r>
          </w:p>
        </w:tc>
        <w:tc>
          <w:tcPr>
            <w:tcW w:w="895" w:type="dxa"/>
            <w:tcBorders>
              <w:top w:val="single" w:sz="4" w:space="0" w:color="auto"/>
              <w:left w:val="single" w:sz="4" w:space="0" w:color="auto"/>
              <w:bottom w:val="single" w:sz="4" w:space="0" w:color="auto"/>
              <w:right w:val="single" w:sz="4" w:space="0" w:color="auto"/>
            </w:tcBorders>
            <w:noWrap/>
            <w:hideMark/>
          </w:tcPr>
          <w:p w14:paraId="1F7A97BF" w14:textId="77777777" w:rsidR="003D5B9C" w:rsidRPr="00A30BA2" w:rsidRDefault="003D5B9C" w:rsidP="00305D02">
            <w:pPr>
              <w:widowControl w:val="0"/>
              <w:jc w:val="center"/>
              <w:rPr>
                <w:b/>
                <w:bCs/>
                <w:sz w:val="20"/>
                <w:szCs w:val="20"/>
              </w:rPr>
            </w:pPr>
            <w:r w:rsidRPr="00A30BA2">
              <w:rPr>
                <w:b/>
                <w:bCs/>
                <w:sz w:val="20"/>
                <w:szCs w:val="20"/>
              </w:rPr>
              <w:t>2021</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3D1C4278" w14:textId="77777777" w:rsidR="003D5B9C" w:rsidRPr="00A30BA2" w:rsidRDefault="003D5B9C" w:rsidP="00305D02">
            <w:pPr>
              <w:widowControl w:val="0"/>
              <w:jc w:val="right"/>
              <w:rPr>
                <w:b/>
                <w:bCs/>
                <w:sz w:val="20"/>
                <w:szCs w:val="20"/>
              </w:rPr>
            </w:pPr>
            <w:r w:rsidRPr="00A30BA2">
              <w:rPr>
                <w:b/>
                <w:bCs/>
                <w:sz w:val="20"/>
                <w:szCs w:val="20"/>
              </w:rPr>
              <w:t>Total</w:t>
            </w:r>
          </w:p>
        </w:tc>
      </w:tr>
      <w:tr w:rsidR="003D5B9C" w:rsidRPr="00A30BA2" w14:paraId="4EB15BA4"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1D577854" w14:textId="77777777" w:rsidR="003D5B9C" w:rsidRPr="00A30BA2" w:rsidRDefault="003D5B9C" w:rsidP="00305D02">
            <w:pPr>
              <w:widowControl w:val="0"/>
              <w:jc w:val="left"/>
              <w:rPr>
                <w:sz w:val="20"/>
                <w:szCs w:val="20"/>
              </w:rPr>
            </w:pPr>
            <w:r w:rsidRPr="00A30BA2">
              <w:rPr>
                <w:sz w:val="20"/>
                <w:szCs w:val="20"/>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3FAFF0AE" w14:textId="77777777" w:rsidR="003D5B9C" w:rsidRPr="003D5B9C" w:rsidRDefault="003D5B9C" w:rsidP="00305D02">
            <w:pPr>
              <w:widowControl w:val="0"/>
              <w:jc w:val="left"/>
              <w:rPr>
                <w:sz w:val="20"/>
                <w:szCs w:val="20"/>
                <w:lang w:val="es-419"/>
              </w:rPr>
            </w:pPr>
            <w:r w:rsidRPr="003D5B9C">
              <w:rPr>
                <w:sz w:val="20"/>
                <w:szCs w:val="20"/>
                <w:lang w:val="es-419"/>
              </w:rPr>
              <w:t>Calendario de reducción del Protocolo de Montreal para las sustancias del Anexo C, Grupo I (toneladas PAO)</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BB113FB" w14:textId="77777777" w:rsidR="003D5B9C" w:rsidRPr="00A30BA2" w:rsidRDefault="003D5B9C" w:rsidP="00305D02">
            <w:pPr>
              <w:widowControl w:val="0"/>
              <w:jc w:val="right"/>
              <w:rPr>
                <w:sz w:val="20"/>
                <w:szCs w:val="20"/>
              </w:rPr>
            </w:pPr>
            <w:r w:rsidRPr="00A30BA2">
              <w:rPr>
                <w:sz w:val="20"/>
                <w:szCs w:val="20"/>
              </w:rPr>
              <w:t>187,56</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3587D0B" w14:textId="77777777" w:rsidR="003D5B9C" w:rsidRPr="00A30BA2" w:rsidRDefault="003D5B9C" w:rsidP="00305D02">
            <w:pPr>
              <w:widowControl w:val="0"/>
              <w:jc w:val="right"/>
              <w:rPr>
                <w:sz w:val="20"/>
                <w:szCs w:val="20"/>
              </w:rPr>
            </w:pPr>
            <w:r w:rsidRPr="00A30BA2">
              <w:rPr>
                <w:sz w:val="20"/>
                <w:szCs w:val="20"/>
              </w:rPr>
              <w:t>187,56</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4C1E84F" w14:textId="77777777" w:rsidR="003D5B9C" w:rsidRPr="00A30BA2" w:rsidRDefault="003D5B9C" w:rsidP="00305D02">
            <w:pPr>
              <w:widowControl w:val="0"/>
              <w:jc w:val="right"/>
              <w:rPr>
                <w:sz w:val="20"/>
                <w:szCs w:val="20"/>
              </w:rPr>
            </w:pPr>
            <w:r w:rsidRPr="00A30BA2">
              <w:rPr>
                <w:sz w:val="20"/>
                <w:szCs w:val="20"/>
              </w:rPr>
              <w:t>187,56</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DFA0C51" w14:textId="77777777" w:rsidR="003D5B9C" w:rsidRPr="00A30BA2" w:rsidRDefault="003D5B9C" w:rsidP="00305D02">
            <w:pPr>
              <w:widowControl w:val="0"/>
              <w:jc w:val="right"/>
              <w:rPr>
                <w:sz w:val="20"/>
                <w:szCs w:val="20"/>
              </w:rPr>
            </w:pPr>
            <w:r w:rsidRPr="00A30BA2">
              <w:rPr>
                <w:sz w:val="20"/>
                <w:szCs w:val="20"/>
              </w:rPr>
              <w:t>135,46</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CB775A9" w14:textId="77777777" w:rsidR="003D5B9C" w:rsidRPr="00A30BA2" w:rsidRDefault="003D5B9C" w:rsidP="00305D02">
            <w:pPr>
              <w:widowControl w:val="0"/>
              <w:jc w:val="right"/>
              <w:rPr>
                <w:sz w:val="20"/>
                <w:szCs w:val="20"/>
              </w:rPr>
            </w:pPr>
            <w:r w:rsidRPr="00A30BA2">
              <w:rPr>
                <w:sz w:val="20"/>
                <w:szCs w:val="20"/>
              </w:rPr>
              <w:t>135,46</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2529C683" w14:textId="77777777" w:rsidR="003D5B9C" w:rsidRPr="00A30BA2" w:rsidRDefault="003D5B9C" w:rsidP="00305D02">
            <w:pPr>
              <w:widowControl w:val="0"/>
              <w:jc w:val="right"/>
              <w:rPr>
                <w:sz w:val="20"/>
                <w:szCs w:val="20"/>
              </w:rPr>
            </w:pPr>
            <w:r w:rsidRPr="00A30BA2">
              <w:rPr>
                <w:sz w:val="20"/>
                <w:szCs w:val="20"/>
              </w:rPr>
              <w:t>n/a</w:t>
            </w:r>
          </w:p>
        </w:tc>
      </w:tr>
      <w:tr w:rsidR="003D5B9C" w:rsidRPr="00A30BA2" w14:paraId="439727FC"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05158A6F" w14:textId="77777777" w:rsidR="003D5B9C" w:rsidRPr="00A30BA2" w:rsidRDefault="003D5B9C" w:rsidP="00305D02">
            <w:pPr>
              <w:widowControl w:val="0"/>
              <w:jc w:val="left"/>
              <w:rPr>
                <w:sz w:val="20"/>
                <w:szCs w:val="20"/>
              </w:rPr>
            </w:pPr>
            <w:r w:rsidRPr="00A30BA2">
              <w:rPr>
                <w:sz w:val="20"/>
                <w:szCs w:val="20"/>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266C6E5C" w14:textId="77777777" w:rsidR="003D5B9C" w:rsidRPr="003D5B9C" w:rsidRDefault="003D5B9C" w:rsidP="00305D02">
            <w:pPr>
              <w:widowControl w:val="0"/>
              <w:jc w:val="left"/>
              <w:rPr>
                <w:sz w:val="20"/>
                <w:szCs w:val="20"/>
                <w:lang w:val="es-419"/>
              </w:rPr>
            </w:pPr>
            <w:r w:rsidRPr="003D5B9C">
              <w:rPr>
                <w:sz w:val="20"/>
                <w:szCs w:val="20"/>
                <w:lang w:val="es-419"/>
              </w:rPr>
              <w:t>Consumo total admisible máximo para las sustancias del Anexo C, Grupo I (toneladas PAO)</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8D29571" w14:textId="77777777" w:rsidR="003D5B9C" w:rsidRPr="00A30BA2" w:rsidRDefault="003D5B9C" w:rsidP="00305D02">
            <w:pPr>
              <w:widowControl w:val="0"/>
              <w:jc w:val="right"/>
              <w:rPr>
                <w:sz w:val="20"/>
                <w:szCs w:val="20"/>
              </w:rPr>
            </w:pPr>
            <w:r w:rsidRPr="00A30BA2">
              <w:rPr>
                <w:sz w:val="20"/>
                <w:szCs w:val="20"/>
              </w:rPr>
              <w:t>129,52</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1BBD79C" w14:textId="77777777" w:rsidR="003D5B9C" w:rsidRPr="00A30BA2" w:rsidRDefault="003D5B9C" w:rsidP="00305D02">
            <w:pPr>
              <w:widowControl w:val="0"/>
              <w:jc w:val="right"/>
              <w:rPr>
                <w:sz w:val="20"/>
                <w:szCs w:val="20"/>
              </w:rPr>
            </w:pPr>
            <w:r w:rsidRPr="00A30BA2">
              <w:rPr>
                <w:sz w:val="20"/>
                <w:szCs w:val="20"/>
              </w:rPr>
              <w:t>129,52</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E4B410F" w14:textId="77777777" w:rsidR="003D5B9C" w:rsidRPr="00A30BA2" w:rsidRDefault="003D5B9C" w:rsidP="00305D02">
            <w:pPr>
              <w:widowControl w:val="0"/>
              <w:jc w:val="right"/>
              <w:rPr>
                <w:sz w:val="20"/>
                <w:szCs w:val="20"/>
              </w:rPr>
            </w:pPr>
            <w:r w:rsidRPr="00A30BA2">
              <w:rPr>
                <w:sz w:val="20"/>
                <w:szCs w:val="20"/>
              </w:rPr>
              <w:t>129,52</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80B9791" w14:textId="77777777" w:rsidR="003D5B9C" w:rsidRPr="00A30BA2" w:rsidRDefault="003D5B9C" w:rsidP="00305D02">
            <w:pPr>
              <w:widowControl w:val="0"/>
              <w:jc w:val="right"/>
              <w:rPr>
                <w:sz w:val="20"/>
                <w:szCs w:val="20"/>
              </w:rPr>
            </w:pPr>
            <w:r w:rsidRPr="00A30BA2">
              <w:rPr>
                <w:sz w:val="20"/>
                <w:szCs w:val="20"/>
              </w:rPr>
              <w:t>105,87</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FC27B93" w14:textId="77777777" w:rsidR="003D5B9C" w:rsidRPr="00A30BA2" w:rsidRDefault="003D5B9C" w:rsidP="00305D02">
            <w:pPr>
              <w:widowControl w:val="0"/>
              <w:jc w:val="right"/>
              <w:rPr>
                <w:sz w:val="20"/>
                <w:szCs w:val="20"/>
              </w:rPr>
            </w:pPr>
            <w:r w:rsidRPr="00A30BA2">
              <w:rPr>
                <w:sz w:val="20"/>
                <w:szCs w:val="20"/>
              </w:rPr>
              <w:t>82,56</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30BB7CE" w14:textId="77777777" w:rsidR="003D5B9C" w:rsidRPr="00A30BA2" w:rsidRDefault="003D5B9C" w:rsidP="00305D02">
            <w:pPr>
              <w:widowControl w:val="0"/>
              <w:jc w:val="right"/>
              <w:rPr>
                <w:sz w:val="20"/>
                <w:szCs w:val="20"/>
              </w:rPr>
            </w:pPr>
            <w:r w:rsidRPr="00A30BA2">
              <w:rPr>
                <w:sz w:val="20"/>
                <w:szCs w:val="20"/>
              </w:rPr>
              <w:t>n/a</w:t>
            </w:r>
          </w:p>
        </w:tc>
      </w:tr>
      <w:tr w:rsidR="003D5B9C" w:rsidRPr="00A30BA2" w14:paraId="2180855B"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18E5D9B2" w14:textId="77777777" w:rsidR="003D5B9C" w:rsidRPr="00A30BA2" w:rsidRDefault="003D5B9C" w:rsidP="00305D02">
            <w:pPr>
              <w:widowControl w:val="0"/>
              <w:jc w:val="left"/>
              <w:rPr>
                <w:sz w:val="20"/>
                <w:szCs w:val="20"/>
              </w:rPr>
            </w:pPr>
            <w:r w:rsidRPr="00A30BA2">
              <w:rPr>
                <w:sz w:val="20"/>
                <w:szCs w:val="20"/>
              </w:rPr>
              <w:t>2.1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4DD51C3" w14:textId="77777777" w:rsidR="003D5B9C" w:rsidRPr="003D5B9C" w:rsidRDefault="003D5B9C" w:rsidP="00305D02">
            <w:pPr>
              <w:widowControl w:val="0"/>
              <w:jc w:val="left"/>
              <w:rPr>
                <w:sz w:val="20"/>
                <w:szCs w:val="20"/>
                <w:lang w:val="es-419"/>
              </w:rPr>
            </w:pPr>
            <w:r w:rsidRPr="003D5B9C">
              <w:rPr>
                <w:sz w:val="20"/>
                <w:szCs w:val="20"/>
                <w:lang w:val="es-419"/>
              </w:rPr>
              <w:t>Financiación convenida para el Organismo de Ejecución Principal (ONUDI) ($EUA)</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9968658" w14:textId="77777777" w:rsidR="003D5B9C" w:rsidRPr="00A30BA2" w:rsidRDefault="003D5B9C" w:rsidP="00305D02">
            <w:pPr>
              <w:widowControl w:val="0"/>
              <w:jc w:val="right"/>
              <w:rPr>
                <w:b/>
                <w:sz w:val="20"/>
                <w:szCs w:val="20"/>
              </w:rPr>
            </w:pPr>
            <w:r w:rsidRPr="00A30BA2">
              <w:rPr>
                <w:b/>
                <w:sz w:val="20"/>
                <w:szCs w:val="20"/>
              </w:rPr>
              <w:t>811.750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EACDC60"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88F12D5" w14:textId="77777777" w:rsidR="003D5B9C" w:rsidRPr="00A30BA2" w:rsidRDefault="003D5B9C" w:rsidP="00305D02">
            <w:pPr>
              <w:widowControl w:val="0"/>
              <w:jc w:val="right"/>
              <w:rPr>
                <w:b/>
                <w:sz w:val="20"/>
                <w:szCs w:val="20"/>
              </w:rPr>
            </w:pPr>
            <w:r w:rsidRPr="00A30BA2">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3D26BEA"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4A82D77C" w14:textId="77777777" w:rsidR="003D5B9C" w:rsidRPr="00A30BA2" w:rsidRDefault="003D5B9C" w:rsidP="00305D02">
            <w:pPr>
              <w:widowControl w:val="0"/>
              <w:jc w:val="right"/>
              <w:rPr>
                <w:b/>
                <w:sz w:val="20"/>
                <w:szCs w:val="20"/>
              </w:rPr>
            </w:pPr>
            <w:r w:rsidRPr="00A30BA2">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89183F8" w14:textId="77777777" w:rsidR="003D5B9C" w:rsidRPr="00A30BA2" w:rsidRDefault="003D5B9C" w:rsidP="00305D02">
            <w:pPr>
              <w:widowControl w:val="0"/>
              <w:jc w:val="right"/>
              <w:rPr>
                <w:b/>
                <w:sz w:val="20"/>
                <w:szCs w:val="20"/>
              </w:rPr>
            </w:pPr>
            <w:r w:rsidRPr="00A30BA2">
              <w:rPr>
                <w:b/>
                <w:sz w:val="20"/>
                <w:szCs w:val="20"/>
              </w:rPr>
              <w:t>811.750</w:t>
            </w:r>
          </w:p>
        </w:tc>
      </w:tr>
      <w:tr w:rsidR="003D5B9C" w:rsidRPr="00A30BA2" w14:paraId="093C23BB"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5A88B9BE" w14:textId="77777777" w:rsidR="003D5B9C" w:rsidRPr="00A30BA2" w:rsidRDefault="003D5B9C" w:rsidP="00305D02">
            <w:pPr>
              <w:widowControl w:val="0"/>
              <w:jc w:val="left"/>
              <w:rPr>
                <w:sz w:val="20"/>
                <w:szCs w:val="20"/>
              </w:rPr>
            </w:pPr>
            <w:r w:rsidRPr="00A30BA2">
              <w:rPr>
                <w:sz w:val="20"/>
                <w:szCs w:val="20"/>
              </w:rPr>
              <w:t>2.2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A4A8504" w14:textId="77777777" w:rsidR="003D5B9C" w:rsidRPr="003D5B9C" w:rsidRDefault="003D5B9C" w:rsidP="00305D02">
            <w:pPr>
              <w:widowControl w:val="0"/>
              <w:jc w:val="left"/>
              <w:rPr>
                <w:sz w:val="20"/>
                <w:szCs w:val="20"/>
                <w:lang w:val="es-419"/>
              </w:rPr>
            </w:pPr>
            <w:r w:rsidRPr="003D5B9C">
              <w:rPr>
                <w:sz w:val="20"/>
                <w:szCs w:val="20"/>
                <w:lang w:val="es-419"/>
              </w:rPr>
              <w:t>Gastos de apoyo para el Organismo de Ejecución Principal ($EUA)</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7DDBFE0" w14:textId="77777777" w:rsidR="003D5B9C" w:rsidRPr="00A30BA2" w:rsidRDefault="003D5B9C" w:rsidP="00305D02">
            <w:pPr>
              <w:widowControl w:val="0"/>
              <w:jc w:val="right"/>
              <w:rPr>
                <w:b/>
                <w:sz w:val="20"/>
                <w:szCs w:val="20"/>
              </w:rPr>
            </w:pPr>
            <w:r w:rsidRPr="00A30BA2">
              <w:rPr>
                <w:b/>
                <w:sz w:val="20"/>
                <w:szCs w:val="20"/>
              </w:rPr>
              <w:t>56.823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116AA8D"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D99A336" w14:textId="77777777" w:rsidR="003D5B9C" w:rsidRPr="00A30BA2" w:rsidRDefault="003D5B9C" w:rsidP="00305D02">
            <w:pPr>
              <w:widowControl w:val="0"/>
              <w:jc w:val="right"/>
              <w:rPr>
                <w:b/>
                <w:sz w:val="20"/>
                <w:szCs w:val="20"/>
              </w:rPr>
            </w:pPr>
            <w:r w:rsidRPr="00A30BA2">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A172D1A"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162A25A0" w14:textId="77777777" w:rsidR="003D5B9C" w:rsidRPr="00A30BA2" w:rsidRDefault="003D5B9C" w:rsidP="00305D02">
            <w:pPr>
              <w:widowControl w:val="0"/>
              <w:jc w:val="right"/>
              <w:rPr>
                <w:b/>
                <w:sz w:val="20"/>
                <w:szCs w:val="20"/>
              </w:rPr>
            </w:pPr>
            <w:r w:rsidRPr="00A30BA2">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69F2232B" w14:textId="77777777" w:rsidR="003D5B9C" w:rsidRPr="00A30BA2" w:rsidRDefault="003D5B9C" w:rsidP="00305D02">
            <w:pPr>
              <w:widowControl w:val="0"/>
              <w:jc w:val="right"/>
              <w:rPr>
                <w:b/>
                <w:sz w:val="20"/>
                <w:szCs w:val="20"/>
              </w:rPr>
            </w:pPr>
            <w:r w:rsidRPr="00A30BA2">
              <w:rPr>
                <w:b/>
                <w:sz w:val="20"/>
                <w:szCs w:val="20"/>
              </w:rPr>
              <w:t>56.823</w:t>
            </w:r>
          </w:p>
        </w:tc>
      </w:tr>
      <w:tr w:rsidR="003D5B9C" w:rsidRPr="00A30BA2" w14:paraId="3CAA3B73"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6333811E" w14:textId="77777777" w:rsidR="003D5B9C" w:rsidRPr="00A30BA2" w:rsidRDefault="003D5B9C" w:rsidP="00305D02">
            <w:pPr>
              <w:widowControl w:val="0"/>
              <w:jc w:val="left"/>
              <w:rPr>
                <w:sz w:val="20"/>
                <w:szCs w:val="20"/>
              </w:rPr>
            </w:pPr>
            <w:r w:rsidRPr="00A30BA2">
              <w:rPr>
                <w:sz w:val="20"/>
                <w:szCs w:val="20"/>
              </w:rPr>
              <w:t>3.1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9ED40FA" w14:textId="77777777" w:rsidR="003D5B9C" w:rsidRPr="00A30BA2" w:rsidRDefault="003D5B9C" w:rsidP="00305D02">
            <w:pPr>
              <w:widowControl w:val="0"/>
              <w:jc w:val="left"/>
              <w:rPr>
                <w:sz w:val="20"/>
                <w:szCs w:val="20"/>
              </w:rPr>
            </w:pPr>
            <w:proofErr w:type="spellStart"/>
            <w:r w:rsidRPr="00A30BA2">
              <w:rPr>
                <w:sz w:val="20"/>
                <w:szCs w:val="20"/>
              </w:rPr>
              <w:t>Financiación</w:t>
            </w:r>
            <w:proofErr w:type="spellEnd"/>
            <w:r w:rsidRPr="00A30BA2">
              <w:rPr>
                <w:sz w:val="20"/>
                <w:szCs w:val="20"/>
              </w:rPr>
              <w:t xml:space="preserve"> </w:t>
            </w:r>
            <w:proofErr w:type="spellStart"/>
            <w:r w:rsidRPr="00A30BA2">
              <w:rPr>
                <w:sz w:val="20"/>
                <w:szCs w:val="20"/>
              </w:rPr>
              <w:t>acordada</w:t>
            </w:r>
            <w:proofErr w:type="spellEnd"/>
            <w:r w:rsidRPr="00A30BA2">
              <w:rPr>
                <w:sz w:val="20"/>
                <w:szCs w:val="20"/>
              </w:rPr>
              <w:t xml:space="preserve"> total ($EUA)</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DE291EF" w14:textId="77777777" w:rsidR="003D5B9C" w:rsidRPr="00A30BA2" w:rsidRDefault="003D5B9C" w:rsidP="00305D02">
            <w:pPr>
              <w:widowControl w:val="0"/>
              <w:jc w:val="right"/>
              <w:rPr>
                <w:b/>
                <w:sz w:val="20"/>
                <w:szCs w:val="20"/>
              </w:rPr>
            </w:pPr>
            <w:r w:rsidRPr="00A30BA2">
              <w:rPr>
                <w:b/>
                <w:sz w:val="20"/>
                <w:szCs w:val="20"/>
              </w:rPr>
              <w:t>811.750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80552DE"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F48EEB5" w14:textId="77777777" w:rsidR="003D5B9C" w:rsidRPr="00A30BA2" w:rsidRDefault="003D5B9C" w:rsidP="00305D02">
            <w:pPr>
              <w:widowControl w:val="0"/>
              <w:jc w:val="right"/>
              <w:rPr>
                <w:b/>
                <w:sz w:val="20"/>
                <w:szCs w:val="20"/>
              </w:rPr>
            </w:pPr>
            <w:r w:rsidRPr="00A30BA2">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BFA6A5A"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70CEB4F1" w14:textId="77777777" w:rsidR="003D5B9C" w:rsidRPr="00A30BA2" w:rsidRDefault="003D5B9C" w:rsidP="00305D02">
            <w:pPr>
              <w:widowControl w:val="0"/>
              <w:jc w:val="right"/>
              <w:rPr>
                <w:b/>
                <w:sz w:val="20"/>
                <w:szCs w:val="20"/>
              </w:rPr>
            </w:pPr>
            <w:r w:rsidRPr="00A30BA2">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5006EDF" w14:textId="77777777" w:rsidR="003D5B9C" w:rsidRPr="00A30BA2" w:rsidRDefault="003D5B9C" w:rsidP="00305D02">
            <w:pPr>
              <w:widowControl w:val="0"/>
              <w:jc w:val="right"/>
              <w:rPr>
                <w:b/>
                <w:sz w:val="20"/>
                <w:szCs w:val="20"/>
              </w:rPr>
            </w:pPr>
            <w:r w:rsidRPr="00A30BA2">
              <w:rPr>
                <w:b/>
                <w:sz w:val="20"/>
                <w:szCs w:val="20"/>
              </w:rPr>
              <w:t>811.750</w:t>
            </w:r>
          </w:p>
        </w:tc>
      </w:tr>
      <w:tr w:rsidR="003D5B9C" w:rsidRPr="00A30BA2" w14:paraId="33EAE4ED"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69B78DD5" w14:textId="77777777" w:rsidR="003D5B9C" w:rsidRPr="00A30BA2" w:rsidRDefault="003D5B9C" w:rsidP="00305D02">
            <w:pPr>
              <w:widowControl w:val="0"/>
              <w:jc w:val="left"/>
              <w:rPr>
                <w:sz w:val="20"/>
                <w:szCs w:val="20"/>
              </w:rPr>
            </w:pPr>
            <w:r w:rsidRPr="00A30BA2">
              <w:rPr>
                <w:sz w:val="20"/>
                <w:szCs w:val="20"/>
              </w:rPr>
              <w:t>3.2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1C9032A" w14:textId="77777777" w:rsidR="003D5B9C" w:rsidRPr="003D5B9C" w:rsidRDefault="003D5B9C" w:rsidP="00305D02">
            <w:pPr>
              <w:widowControl w:val="0"/>
              <w:jc w:val="left"/>
              <w:rPr>
                <w:sz w:val="20"/>
                <w:szCs w:val="20"/>
                <w:lang w:val="es-419"/>
              </w:rPr>
            </w:pPr>
            <w:r w:rsidRPr="003D5B9C">
              <w:rPr>
                <w:sz w:val="20"/>
                <w:szCs w:val="20"/>
                <w:lang w:val="es-419"/>
              </w:rPr>
              <w:t>Total gastos de apoyo ($EUA)</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78B337B" w14:textId="77777777" w:rsidR="003D5B9C" w:rsidRPr="00A30BA2" w:rsidRDefault="003D5B9C" w:rsidP="00305D02">
            <w:pPr>
              <w:widowControl w:val="0"/>
              <w:jc w:val="right"/>
              <w:rPr>
                <w:b/>
                <w:sz w:val="20"/>
                <w:szCs w:val="20"/>
              </w:rPr>
            </w:pPr>
            <w:r w:rsidRPr="00A30BA2">
              <w:rPr>
                <w:b/>
                <w:sz w:val="20"/>
                <w:szCs w:val="20"/>
              </w:rPr>
              <w:t>56.823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242CBA1"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78AA014" w14:textId="77777777" w:rsidR="003D5B9C" w:rsidRPr="00A30BA2" w:rsidRDefault="003D5B9C" w:rsidP="00305D02">
            <w:pPr>
              <w:widowControl w:val="0"/>
              <w:jc w:val="right"/>
              <w:rPr>
                <w:b/>
                <w:sz w:val="20"/>
                <w:szCs w:val="20"/>
              </w:rPr>
            </w:pPr>
            <w:r w:rsidRPr="00A30BA2">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C2BE8C6"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0B8DAEAD" w14:textId="77777777" w:rsidR="003D5B9C" w:rsidRPr="00A30BA2" w:rsidRDefault="003D5B9C" w:rsidP="00305D02">
            <w:pPr>
              <w:widowControl w:val="0"/>
              <w:jc w:val="right"/>
              <w:rPr>
                <w:b/>
                <w:sz w:val="20"/>
                <w:szCs w:val="20"/>
              </w:rPr>
            </w:pPr>
            <w:r w:rsidRPr="00A30BA2">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572E5E8" w14:textId="77777777" w:rsidR="003D5B9C" w:rsidRPr="00A30BA2" w:rsidRDefault="003D5B9C" w:rsidP="00305D02">
            <w:pPr>
              <w:widowControl w:val="0"/>
              <w:jc w:val="right"/>
              <w:rPr>
                <w:b/>
                <w:sz w:val="20"/>
                <w:szCs w:val="20"/>
              </w:rPr>
            </w:pPr>
            <w:r w:rsidRPr="00A30BA2">
              <w:rPr>
                <w:b/>
                <w:sz w:val="20"/>
                <w:szCs w:val="20"/>
              </w:rPr>
              <w:t>56.823</w:t>
            </w:r>
          </w:p>
        </w:tc>
      </w:tr>
      <w:tr w:rsidR="003D5B9C" w:rsidRPr="00A30BA2" w14:paraId="22949024" w14:textId="77777777" w:rsidTr="00305D02">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555D244C" w14:textId="77777777" w:rsidR="003D5B9C" w:rsidRPr="00A30BA2" w:rsidRDefault="003D5B9C" w:rsidP="00305D02">
            <w:pPr>
              <w:widowControl w:val="0"/>
              <w:jc w:val="left"/>
              <w:rPr>
                <w:sz w:val="20"/>
                <w:szCs w:val="20"/>
              </w:rPr>
            </w:pPr>
            <w:r w:rsidRPr="00A30BA2">
              <w:rPr>
                <w:sz w:val="20"/>
                <w:szCs w:val="20"/>
              </w:rPr>
              <w:t>3.3</w:t>
            </w:r>
          </w:p>
        </w:tc>
        <w:tc>
          <w:tcPr>
            <w:tcW w:w="3287" w:type="dxa"/>
            <w:tcBorders>
              <w:top w:val="single" w:sz="4" w:space="0" w:color="auto"/>
              <w:left w:val="single" w:sz="4" w:space="0" w:color="auto"/>
              <w:bottom w:val="single" w:sz="4" w:space="0" w:color="auto"/>
              <w:right w:val="single" w:sz="4" w:space="0" w:color="auto"/>
            </w:tcBorders>
            <w:vAlign w:val="center"/>
            <w:hideMark/>
          </w:tcPr>
          <w:p w14:paraId="71466D65" w14:textId="77777777" w:rsidR="003D5B9C" w:rsidRPr="00A30BA2" w:rsidRDefault="003D5B9C" w:rsidP="00305D02">
            <w:pPr>
              <w:widowControl w:val="0"/>
              <w:jc w:val="left"/>
              <w:rPr>
                <w:sz w:val="20"/>
                <w:szCs w:val="20"/>
              </w:rPr>
            </w:pPr>
            <w:proofErr w:type="spellStart"/>
            <w:r w:rsidRPr="00A30BA2">
              <w:rPr>
                <w:sz w:val="20"/>
                <w:szCs w:val="20"/>
              </w:rPr>
              <w:t>Gastos</w:t>
            </w:r>
            <w:proofErr w:type="spellEnd"/>
            <w:r w:rsidRPr="00A30BA2">
              <w:rPr>
                <w:sz w:val="20"/>
                <w:szCs w:val="20"/>
              </w:rPr>
              <w:t xml:space="preserve"> </w:t>
            </w:r>
            <w:proofErr w:type="spellStart"/>
            <w:r w:rsidRPr="00A30BA2">
              <w:rPr>
                <w:sz w:val="20"/>
                <w:szCs w:val="20"/>
              </w:rPr>
              <w:t>acordados</w:t>
            </w:r>
            <w:proofErr w:type="spellEnd"/>
            <w:r w:rsidRPr="00A30BA2">
              <w:rPr>
                <w:sz w:val="20"/>
                <w:szCs w:val="20"/>
              </w:rPr>
              <w:t xml:space="preserve"> </w:t>
            </w:r>
            <w:proofErr w:type="spellStart"/>
            <w:r w:rsidRPr="00A30BA2">
              <w:rPr>
                <w:sz w:val="20"/>
                <w:szCs w:val="20"/>
              </w:rPr>
              <w:t>totales</w:t>
            </w:r>
            <w:proofErr w:type="spellEnd"/>
            <w:r w:rsidRPr="00A30BA2">
              <w:rPr>
                <w:sz w:val="20"/>
                <w:szCs w:val="20"/>
              </w:rPr>
              <w:t xml:space="preserve"> ($EUA)</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5DFAA36" w14:textId="77777777" w:rsidR="003D5B9C" w:rsidRPr="00A30BA2" w:rsidRDefault="003D5B9C" w:rsidP="00305D02">
            <w:pPr>
              <w:widowControl w:val="0"/>
              <w:jc w:val="right"/>
              <w:rPr>
                <w:b/>
                <w:sz w:val="20"/>
                <w:szCs w:val="20"/>
              </w:rPr>
            </w:pPr>
            <w:r w:rsidRPr="00A30BA2">
              <w:rPr>
                <w:b/>
                <w:sz w:val="20"/>
                <w:szCs w:val="20"/>
              </w:rPr>
              <w:t>868.573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091B075"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02B6659" w14:textId="77777777" w:rsidR="003D5B9C" w:rsidRPr="00A30BA2" w:rsidRDefault="003D5B9C" w:rsidP="00305D02">
            <w:pPr>
              <w:widowControl w:val="0"/>
              <w:jc w:val="right"/>
              <w:rPr>
                <w:b/>
                <w:sz w:val="20"/>
                <w:szCs w:val="20"/>
              </w:rPr>
            </w:pPr>
            <w:r w:rsidRPr="00A30BA2">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C02491D" w14:textId="77777777" w:rsidR="003D5B9C" w:rsidRPr="00A30BA2" w:rsidRDefault="003D5B9C" w:rsidP="00305D02">
            <w:pPr>
              <w:widowControl w:val="0"/>
              <w:jc w:val="right"/>
              <w:rPr>
                <w:sz w:val="20"/>
                <w:szCs w:val="20"/>
              </w:rPr>
            </w:pPr>
            <w:r w:rsidRPr="00A30BA2">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6EBB9CC6" w14:textId="77777777" w:rsidR="003D5B9C" w:rsidRPr="00A30BA2" w:rsidRDefault="003D5B9C" w:rsidP="00305D02">
            <w:pPr>
              <w:widowControl w:val="0"/>
              <w:jc w:val="right"/>
              <w:rPr>
                <w:b/>
                <w:sz w:val="20"/>
                <w:szCs w:val="20"/>
              </w:rPr>
            </w:pPr>
            <w:r w:rsidRPr="00A30BA2">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2E7A3D75" w14:textId="77777777" w:rsidR="003D5B9C" w:rsidRPr="00A30BA2" w:rsidRDefault="003D5B9C" w:rsidP="00305D02">
            <w:pPr>
              <w:widowControl w:val="0"/>
              <w:jc w:val="right"/>
              <w:rPr>
                <w:b/>
                <w:sz w:val="20"/>
                <w:szCs w:val="20"/>
              </w:rPr>
            </w:pPr>
            <w:r w:rsidRPr="00A30BA2">
              <w:rPr>
                <w:b/>
                <w:sz w:val="20"/>
                <w:szCs w:val="20"/>
              </w:rPr>
              <w:t>868.753</w:t>
            </w:r>
          </w:p>
        </w:tc>
      </w:tr>
      <w:tr w:rsidR="003D5B9C" w:rsidRPr="00A30BA2" w14:paraId="1EE05129"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386A785D" w14:textId="77777777" w:rsidR="003D5B9C" w:rsidRPr="00A30BA2" w:rsidRDefault="003D5B9C" w:rsidP="00305D02">
            <w:pPr>
              <w:widowControl w:val="0"/>
              <w:jc w:val="left"/>
              <w:rPr>
                <w:sz w:val="20"/>
                <w:szCs w:val="20"/>
              </w:rPr>
            </w:pPr>
            <w:r w:rsidRPr="00A30BA2">
              <w:rPr>
                <w:sz w:val="20"/>
                <w:szCs w:val="20"/>
              </w:rPr>
              <w:t>4.1.1</w:t>
            </w:r>
          </w:p>
        </w:tc>
        <w:tc>
          <w:tcPr>
            <w:tcW w:w="7779" w:type="dxa"/>
            <w:gridSpan w:val="7"/>
            <w:tcBorders>
              <w:top w:val="single" w:sz="4" w:space="0" w:color="auto"/>
              <w:left w:val="single" w:sz="4" w:space="0" w:color="auto"/>
              <w:bottom w:val="single" w:sz="4" w:space="0" w:color="auto"/>
              <w:right w:val="single" w:sz="4" w:space="0" w:color="auto"/>
            </w:tcBorders>
            <w:hideMark/>
          </w:tcPr>
          <w:p w14:paraId="679865F8" w14:textId="77777777" w:rsidR="003D5B9C" w:rsidRPr="003D5B9C" w:rsidRDefault="003D5B9C" w:rsidP="00305D02">
            <w:pPr>
              <w:widowControl w:val="0"/>
              <w:rPr>
                <w:sz w:val="20"/>
                <w:szCs w:val="20"/>
                <w:lang w:val="es-419"/>
              </w:rPr>
            </w:pPr>
            <w:r w:rsidRPr="003D5B9C">
              <w:rPr>
                <w:sz w:val="20"/>
                <w:szCs w:val="20"/>
                <w:lang w:val="es-419"/>
              </w:rPr>
              <w:t>Objetivo de eliminación total de HCFC-22 convenido en el presente Acuerdo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C8CC14B" w14:textId="77777777" w:rsidR="003D5B9C" w:rsidRPr="00A30BA2" w:rsidRDefault="003D5B9C" w:rsidP="00305D02">
            <w:pPr>
              <w:widowControl w:val="0"/>
              <w:jc w:val="right"/>
              <w:rPr>
                <w:sz w:val="20"/>
                <w:szCs w:val="20"/>
              </w:rPr>
            </w:pPr>
            <w:r w:rsidRPr="00A30BA2">
              <w:rPr>
                <w:sz w:val="20"/>
                <w:szCs w:val="20"/>
              </w:rPr>
              <w:t>23,44</w:t>
            </w:r>
          </w:p>
        </w:tc>
      </w:tr>
      <w:tr w:rsidR="003D5B9C" w:rsidRPr="00A30BA2" w14:paraId="33DA19D5"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1E964F7D" w14:textId="77777777" w:rsidR="003D5B9C" w:rsidRPr="00A30BA2" w:rsidRDefault="003D5B9C" w:rsidP="00305D02">
            <w:pPr>
              <w:widowControl w:val="0"/>
              <w:jc w:val="left"/>
              <w:rPr>
                <w:sz w:val="20"/>
                <w:szCs w:val="20"/>
              </w:rPr>
            </w:pPr>
            <w:r w:rsidRPr="00A30BA2">
              <w:rPr>
                <w:sz w:val="20"/>
                <w:szCs w:val="20"/>
              </w:rPr>
              <w:t>4.1.2</w:t>
            </w:r>
          </w:p>
        </w:tc>
        <w:tc>
          <w:tcPr>
            <w:tcW w:w="7779" w:type="dxa"/>
            <w:gridSpan w:val="7"/>
            <w:tcBorders>
              <w:top w:val="single" w:sz="4" w:space="0" w:color="auto"/>
              <w:left w:val="single" w:sz="4" w:space="0" w:color="auto"/>
              <w:bottom w:val="single" w:sz="4" w:space="0" w:color="auto"/>
              <w:right w:val="single" w:sz="4" w:space="0" w:color="auto"/>
            </w:tcBorders>
            <w:hideMark/>
          </w:tcPr>
          <w:p w14:paraId="07742DBA" w14:textId="77777777" w:rsidR="003D5B9C" w:rsidRPr="003D5B9C" w:rsidRDefault="003D5B9C" w:rsidP="00305D02">
            <w:pPr>
              <w:widowControl w:val="0"/>
              <w:rPr>
                <w:sz w:val="20"/>
                <w:szCs w:val="20"/>
                <w:lang w:val="es-419"/>
              </w:rPr>
            </w:pPr>
            <w:r w:rsidRPr="003D5B9C">
              <w:rPr>
                <w:sz w:val="20"/>
                <w:szCs w:val="20"/>
                <w:lang w:val="es-419"/>
              </w:rPr>
              <w:t>Objetivo de eliminación de HCFC-22 de proyectos aprobados anteriormente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0F0AFEB5" w14:textId="77777777" w:rsidR="003D5B9C" w:rsidRPr="00A30BA2" w:rsidRDefault="003D5B9C" w:rsidP="00305D02">
            <w:pPr>
              <w:widowControl w:val="0"/>
              <w:jc w:val="right"/>
              <w:rPr>
                <w:sz w:val="20"/>
                <w:szCs w:val="20"/>
              </w:rPr>
            </w:pPr>
            <w:r w:rsidRPr="00A30BA2">
              <w:rPr>
                <w:sz w:val="20"/>
                <w:szCs w:val="20"/>
              </w:rPr>
              <w:t>2,00</w:t>
            </w:r>
          </w:p>
        </w:tc>
      </w:tr>
      <w:tr w:rsidR="003D5B9C" w:rsidRPr="00A30BA2" w14:paraId="37705FD2"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511DBD12" w14:textId="77777777" w:rsidR="003D5B9C" w:rsidRPr="00A30BA2" w:rsidRDefault="003D5B9C" w:rsidP="00305D02">
            <w:pPr>
              <w:widowControl w:val="0"/>
              <w:jc w:val="left"/>
              <w:rPr>
                <w:sz w:val="20"/>
                <w:szCs w:val="20"/>
              </w:rPr>
            </w:pPr>
            <w:r w:rsidRPr="00A30BA2">
              <w:rPr>
                <w:sz w:val="20"/>
                <w:szCs w:val="20"/>
              </w:rPr>
              <w:t>4.1.3</w:t>
            </w:r>
          </w:p>
        </w:tc>
        <w:tc>
          <w:tcPr>
            <w:tcW w:w="7779" w:type="dxa"/>
            <w:gridSpan w:val="7"/>
            <w:tcBorders>
              <w:top w:val="single" w:sz="4" w:space="0" w:color="auto"/>
              <w:left w:val="single" w:sz="4" w:space="0" w:color="auto"/>
              <w:bottom w:val="single" w:sz="4" w:space="0" w:color="auto"/>
              <w:right w:val="single" w:sz="4" w:space="0" w:color="auto"/>
            </w:tcBorders>
            <w:hideMark/>
          </w:tcPr>
          <w:p w14:paraId="7CEB3A52" w14:textId="77777777" w:rsidR="003D5B9C" w:rsidRPr="003D5B9C" w:rsidRDefault="003D5B9C" w:rsidP="00305D02">
            <w:pPr>
              <w:widowControl w:val="0"/>
              <w:rPr>
                <w:sz w:val="20"/>
                <w:szCs w:val="20"/>
                <w:lang w:val="es-419"/>
              </w:rPr>
            </w:pPr>
            <w:r w:rsidRPr="003D5B9C">
              <w:rPr>
                <w:sz w:val="20"/>
                <w:szCs w:val="20"/>
                <w:lang w:val="es-419"/>
              </w:rPr>
              <w:t>Consumo admisible remanente de HCFC-22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6729535F" w14:textId="77777777" w:rsidR="003D5B9C" w:rsidRPr="00A30BA2" w:rsidRDefault="003D5B9C" w:rsidP="00305D02">
            <w:pPr>
              <w:widowControl w:val="0"/>
              <w:jc w:val="right"/>
              <w:rPr>
                <w:sz w:val="20"/>
                <w:szCs w:val="20"/>
              </w:rPr>
            </w:pPr>
            <w:r w:rsidRPr="00A30BA2">
              <w:rPr>
                <w:sz w:val="20"/>
                <w:szCs w:val="20"/>
              </w:rPr>
              <w:t>83,88</w:t>
            </w:r>
          </w:p>
        </w:tc>
      </w:tr>
      <w:tr w:rsidR="003D5B9C" w:rsidRPr="00A30BA2" w14:paraId="3CEB78C9"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6D18BBE0" w14:textId="77777777" w:rsidR="003D5B9C" w:rsidRPr="00A30BA2" w:rsidRDefault="003D5B9C" w:rsidP="00305D02">
            <w:pPr>
              <w:widowControl w:val="0"/>
              <w:jc w:val="left"/>
              <w:rPr>
                <w:sz w:val="20"/>
                <w:szCs w:val="20"/>
              </w:rPr>
            </w:pPr>
            <w:r w:rsidRPr="00A30BA2">
              <w:rPr>
                <w:sz w:val="20"/>
                <w:szCs w:val="20"/>
              </w:rPr>
              <w:t>4.2.1</w:t>
            </w:r>
          </w:p>
        </w:tc>
        <w:tc>
          <w:tcPr>
            <w:tcW w:w="7779" w:type="dxa"/>
            <w:gridSpan w:val="7"/>
            <w:tcBorders>
              <w:top w:val="single" w:sz="4" w:space="0" w:color="auto"/>
              <w:left w:val="single" w:sz="4" w:space="0" w:color="auto"/>
              <w:bottom w:val="single" w:sz="4" w:space="0" w:color="auto"/>
              <w:right w:val="single" w:sz="4" w:space="0" w:color="auto"/>
            </w:tcBorders>
            <w:hideMark/>
          </w:tcPr>
          <w:p w14:paraId="68EC703E" w14:textId="77777777" w:rsidR="003D5B9C" w:rsidRPr="003D5B9C" w:rsidRDefault="003D5B9C" w:rsidP="00305D02">
            <w:pPr>
              <w:widowControl w:val="0"/>
              <w:rPr>
                <w:sz w:val="20"/>
                <w:szCs w:val="20"/>
                <w:lang w:val="es-419"/>
              </w:rPr>
            </w:pPr>
            <w:r w:rsidRPr="003D5B9C">
              <w:rPr>
                <w:sz w:val="20"/>
                <w:szCs w:val="20"/>
                <w:lang w:val="es-419"/>
              </w:rPr>
              <w:t>Objetivo de eliminación total de HCFC-123 convenido en el presente Acuerdo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19ADBB4" w14:textId="77777777" w:rsidR="003D5B9C" w:rsidRPr="00A30BA2" w:rsidRDefault="003D5B9C" w:rsidP="00305D02">
            <w:pPr>
              <w:widowControl w:val="0"/>
              <w:jc w:val="right"/>
              <w:rPr>
                <w:sz w:val="20"/>
                <w:szCs w:val="20"/>
              </w:rPr>
            </w:pPr>
            <w:r w:rsidRPr="00A30BA2">
              <w:rPr>
                <w:sz w:val="20"/>
                <w:szCs w:val="20"/>
              </w:rPr>
              <w:t>0,00</w:t>
            </w:r>
          </w:p>
        </w:tc>
      </w:tr>
      <w:tr w:rsidR="003D5B9C" w:rsidRPr="00A30BA2" w14:paraId="490277EF"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30857C2E" w14:textId="77777777" w:rsidR="003D5B9C" w:rsidRPr="00A30BA2" w:rsidRDefault="003D5B9C" w:rsidP="00305D02">
            <w:pPr>
              <w:widowControl w:val="0"/>
              <w:jc w:val="left"/>
              <w:rPr>
                <w:sz w:val="20"/>
                <w:szCs w:val="20"/>
              </w:rPr>
            </w:pPr>
            <w:r w:rsidRPr="00A30BA2">
              <w:rPr>
                <w:sz w:val="20"/>
                <w:szCs w:val="20"/>
              </w:rPr>
              <w:t>4.2.2</w:t>
            </w:r>
          </w:p>
        </w:tc>
        <w:tc>
          <w:tcPr>
            <w:tcW w:w="7779" w:type="dxa"/>
            <w:gridSpan w:val="7"/>
            <w:tcBorders>
              <w:top w:val="single" w:sz="4" w:space="0" w:color="auto"/>
              <w:left w:val="single" w:sz="4" w:space="0" w:color="auto"/>
              <w:bottom w:val="single" w:sz="4" w:space="0" w:color="auto"/>
              <w:right w:val="single" w:sz="4" w:space="0" w:color="auto"/>
            </w:tcBorders>
            <w:hideMark/>
          </w:tcPr>
          <w:p w14:paraId="0BF9BD4B" w14:textId="77777777" w:rsidR="003D5B9C" w:rsidRPr="003D5B9C" w:rsidRDefault="003D5B9C" w:rsidP="00305D02">
            <w:pPr>
              <w:widowControl w:val="0"/>
              <w:rPr>
                <w:sz w:val="20"/>
                <w:szCs w:val="20"/>
                <w:lang w:val="es-419"/>
              </w:rPr>
            </w:pPr>
            <w:r w:rsidRPr="003D5B9C">
              <w:rPr>
                <w:sz w:val="20"/>
                <w:szCs w:val="20"/>
                <w:lang w:val="es-419"/>
              </w:rPr>
              <w:t>Objetivo de eliminación de HCFC-123 de proyectos aprobados anteriormente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06DF8BCA" w14:textId="77777777" w:rsidR="003D5B9C" w:rsidRPr="00A30BA2" w:rsidRDefault="003D5B9C" w:rsidP="00305D02">
            <w:pPr>
              <w:widowControl w:val="0"/>
              <w:jc w:val="right"/>
              <w:rPr>
                <w:sz w:val="20"/>
                <w:szCs w:val="20"/>
              </w:rPr>
            </w:pPr>
            <w:r w:rsidRPr="00A30BA2">
              <w:rPr>
                <w:sz w:val="20"/>
                <w:szCs w:val="20"/>
              </w:rPr>
              <w:t>0,00</w:t>
            </w:r>
          </w:p>
        </w:tc>
      </w:tr>
      <w:tr w:rsidR="003D5B9C" w:rsidRPr="00A30BA2" w14:paraId="49B8446B"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7EBFE476" w14:textId="77777777" w:rsidR="003D5B9C" w:rsidRPr="00A30BA2" w:rsidRDefault="003D5B9C" w:rsidP="00305D02">
            <w:pPr>
              <w:widowControl w:val="0"/>
              <w:jc w:val="left"/>
              <w:rPr>
                <w:sz w:val="20"/>
                <w:szCs w:val="20"/>
              </w:rPr>
            </w:pPr>
            <w:r w:rsidRPr="00A30BA2">
              <w:rPr>
                <w:sz w:val="20"/>
                <w:szCs w:val="20"/>
              </w:rPr>
              <w:t>4.2.3</w:t>
            </w:r>
          </w:p>
        </w:tc>
        <w:tc>
          <w:tcPr>
            <w:tcW w:w="7779" w:type="dxa"/>
            <w:gridSpan w:val="7"/>
            <w:tcBorders>
              <w:top w:val="single" w:sz="4" w:space="0" w:color="auto"/>
              <w:left w:val="single" w:sz="4" w:space="0" w:color="auto"/>
              <w:bottom w:val="single" w:sz="4" w:space="0" w:color="auto"/>
              <w:right w:val="single" w:sz="4" w:space="0" w:color="auto"/>
            </w:tcBorders>
            <w:hideMark/>
          </w:tcPr>
          <w:p w14:paraId="22AC7E80" w14:textId="77777777" w:rsidR="003D5B9C" w:rsidRPr="003D5B9C" w:rsidRDefault="003D5B9C" w:rsidP="00305D02">
            <w:pPr>
              <w:widowControl w:val="0"/>
              <w:rPr>
                <w:sz w:val="20"/>
                <w:szCs w:val="20"/>
                <w:lang w:val="es-419"/>
              </w:rPr>
            </w:pPr>
            <w:r w:rsidRPr="003D5B9C">
              <w:rPr>
                <w:sz w:val="20"/>
                <w:szCs w:val="20"/>
                <w:lang w:val="es-419"/>
              </w:rPr>
              <w:t>Consumo admisible remanente de HCFC-123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E7DC340" w14:textId="77777777" w:rsidR="003D5B9C" w:rsidRPr="00A30BA2" w:rsidRDefault="003D5B9C" w:rsidP="00305D02">
            <w:pPr>
              <w:widowControl w:val="0"/>
              <w:jc w:val="right"/>
              <w:rPr>
                <w:sz w:val="20"/>
                <w:szCs w:val="20"/>
              </w:rPr>
            </w:pPr>
            <w:r w:rsidRPr="00A30BA2">
              <w:rPr>
                <w:sz w:val="20"/>
                <w:szCs w:val="20"/>
              </w:rPr>
              <w:t>1,70</w:t>
            </w:r>
          </w:p>
        </w:tc>
      </w:tr>
      <w:tr w:rsidR="003D5B9C" w:rsidRPr="00A30BA2" w14:paraId="665F3164"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3D25925D" w14:textId="77777777" w:rsidR="003D5B9C" w:rsidRPr="00A30BA2" w:rsidRDefault="003D5B9C" w:rsidP="00305D02">
            <w:pPr>
              <w:widowControl w:val="0"/>
              <w:jc w:val="left"/>
              <w:rPr>
                <w:sz w:val="20"/>
                <w:szCs w:val="20"/>
              </w:rPr>
            </w:pPr>
            <w:r w:rsidRPr="00A30BA2">
              <w:rPr>
                <w:sz w:val="20"/>
                <w:szCs w:val="20"/>
              </w:rPr>
              <w:t>4.3.1</w:t>
            </w:r>
          </w:p>
        </w:tc>
        <w:tc>
          <w:tcPr>
            <w:tcW w:w="7779" w:type="dxa"/>
            <w:gridSpan w:val="7"/>
            <w:tcBorders>
              <w:top w:val="single" w:sz="4" w:space="0" w:color="auto"/>
              <w:left w:val="single" w:sz="4" w:space="0" w:color="auto"/>
              <w:bottom w:val="single" w:sz="4" w:space="0" w:color="auto"/>
              <w:right w:val="single" w:sz="4" w:space="0" w:color="auto"/>
            </w:tcBorders>
            <w:hideMark/>
          </w:tcPr>
          <w:p w14:paraId="656CDD4A" w14:textId="77777777" w:rsidR="003D5B9C" w:rsidRPr="003D5B9C" w:rsidRDefault="003D5B9C" w:rsidP="00305D02">
            <w:pPr>
              <w:widowControl w:val="0"/>
              <w:rPr>
                <w:sz w:val="20"/>
                <w:szCs w:val="20"/>
                <w:lang w:val="es-419"/>
              </w:rPr>
            </w:pPr>
            <w:r w:rsidRPr="003D5B9C">
              <w:rPr>
                <w:sz w:val="20"/>
                <w:szCs w:val="20"/>
                <w:lang w:val="es-419"/>
              </w:rPr>
              <w:t>Objetivo de eliminación total de HCFC-141b convenido en el presente Acuerdo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C72421E" w14:textId="77777777" w:rsidR="003D5B9C" w:rsidRPr="00A30BA2" w:rsidRDefault="003D5B9C" w:rsidP="00305D02">
            <w:pPr>
              <w:widowControl w:val="0"/>
              <w:jc w:val="right"/>
              <w:rPr>
                <w:sz w:val="20"/>
                <w:szCs w:val="20"/>
              </w:rPr>
            </w:pPr>
            <w:r w:rsidRPr="00A30BA2">
              <w:rPr>
                <w:sz w:val="20"/>
                <w:szCs w:val="20"/>
              </w:rPr>
              <w:t>1,15</w:t>
            </w:r>
          </w:p>
        </w:tc>
      </w:tr>
      <w:tr w:rsidR="003D5B9C" w:rsidRPr="00A30BA2" w14:paraId="76FA86CB"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6CF6C7E1" w14:textId="77777777" w:rsidR="003D5B9C" w:rsidRPr="00A30BA2" w:rsidRDefault="003D5B9C" w:rsidP="00305D02">
            <w:pPr>
              <w:widowControl w:val="0"/>
              <w:jc w:val="left"/>
              <w:rPr>
                <w:sz w:val="20"/>
                <w:szCs w:val="20"/>
              </w:rPr>
            </w:pPr>
            <w:r w:rsidRPr="00A30BA2">
              <w:rPr>
                <w:sz w:val="20"/>
                <w:szCs w:val="20"/>
              </w:rPr>
              <w:t>4.3.2</w:t>
            </w:r>
          </w:p>
        </w:tc>
        <w:tc>
          <w:tcPr>
            <w:tcW w:w="7779" w:type="dxa"/>
            <w:gridSpan w:val="7"/>
            <w:tcBorders>
              <w:top w:val="single" w:sz="4" w:space="0" w:color="auto"/>
              <w:left w:val="single" w:sz="4" w:space="0" w:color="auto"/>
              <w:bottom w:val="single" w:sz="4" w:space="0" w:color="auto"/>
              <w:right w:val="single" w:sz="4" w:space="0" w:color="auto"/>
            </w:tcBorders>
            <w:hideMark/>
          </w:tcPr>
          <w:p w14:paraId="525EFAEC" w14:textId="77777777" w:rsidR="003D5B9C" w:rsidRPr="003D5B9C" w:rsidRDefault="003D5B9C" w:rsidP="00305D02">
            <w:pPr>
              <w:widowControl w:val="0"/>
              <w:rPr>
                <w:sz w:val="20"/>
                <w:szCs w:val="20"/>
                <w:lang w:val="es-419"/>
              </w:rPr>
            </w:pPr>
            <w:r w:rsidRPr="003D5B9C">
              <w:rPr>
                <w:sz w:val="20"/>
                <w:szCs w:val="20"/>
                <w:lang w:val="es-419"/>
              </w:rPr>
              <w:t>Objetivo de eliminación de HCFC-141b de proyectos aprobados anteriormente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20CD1710" w14:textId="77777777" w:rsidR="003D5B9C" w:rsidRPr="00A30BA2" w:rsidRDefault="003D5B9C" w:rsidP="00305D02">
            <w:pPr>
              <w:widowControl w:val="0"/>
              <w:jc w:val="right"/>
              <w:rPr>
                <w:sz w:val="20"/>
                <w:szCs w:val="20"/>
              </w:rPr>
            </w:pPr>
            <w:r w:rsidRPr="00A30BA2">
              <w:rPr>
                <w:sz w:val="20"/>
                <w:szCs w:val="20"/>
              </w:rPr>
              <w:t>43,00</w:t>
            </w:r>
          </w:p>
        </w:tc>
      </w:tr>
      <w:tr w:rsidR="003D5B9C" w:rsidRPr="00A30BA2" w14:paraId="794D3B24" w14:textId="77777777" w:rsidTr="00305D02">
        <w:tc>
          <w:tcPr>
            <w:tcW w:w="625" w:type="dxa"/>
            <w:tcBorders>
              <w:top w:val="single" w:sz="4" w:space="0" w:color="auto"/>
              <w:left w:val="single" w:sz="4" w:space="0" w:color="auto"/>
              <w:bottom w:val="single" w:sz="4" w:space="0" w:color="auto"/>
              <w:right w:val="single" w:sz="4" w:space="0" w:color="auto"/>
            </w:tcBorders>
            <w:noWrap/>
            <w:hideMark/>
          </w:tcPr>
          <w:p w14:paraId="04120C9D" w14:textId="77777777" w:rsidR="003D5B9C" w:rsidRPr="00A30BA2" w:rsidRDefault="003D5B9C" w:rsidP="00305D02">
            <w:pPr>
              <w:widowControl w:val="0"/>
              <w:jc w:val="left"/>
              <w:rPr>
                <w:sz w:val="20"/>
                <w:szCs w:val="20"/>
              </w:rPr>
            </w:pPr>
            <w:r w:rsidRPr="00A30BA2">
              <w:rPr>
                <w:sz w:val="20"/>
                <w:szCs w:val="20"/>
              </w:rPr>
              <w:t>4.3.3</w:t>
            </w:r>
          </w:p>
        </w:tc>
        <w:tc>
          <w:tcPr>
            <w:tcW w:w="7779" w:type="dxa"/>
            <w:gridSpan w:val="7"/>
            <w:tcBorders>
              <w:top w:val="single" w:sz="4" w:space="0" w:color="auto"/>
              <w:left w:val="single" w:sz="4" w:space="0" w:color="auto"/>
              <w:bottom w:val="single" w:sz="4" w:space="0" w:color="auto"/>
              <w:right w:val="single" w:sz="4" w:space="0" w:color="auto"/>
            </w:tcBorders>
            <w:hideMark/>
          </w:tcPr>
          <w:p w14:paraId="437AA80B" w14:textId="77777777" w:rsidR="003D5B9C" w:rsidRPr="003D5B9C" w:rsidRDefault="003D5B9C" w:rsidP="00305D02">
            <w:pPr>
              <w:widowControl w:val="0"/>
              <w:rPr>
                <w:sz w:val="20"/>
                <w:szCs w:val="20"/>
                <w:lang w:val="es-419"/>
              </w:rPr>
            </w:pPr>
            <w:r w:rsidRPr="003D5B9C">
              <w:rPr>
                <w:sz w:val="20"/>
                <w:szCs w:val="20"/>
                <w:lang w:val="es-419"/>
              </w:rPr>
              <w:t>Consumo admisible remanente de HCFC-141b (toneladas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38D9300" w14:textId="77777777" w:rsidR="003D5B9C" w:rsidRPr="00A30BA2" w:rsidRDefault="003D5B9C" w:rsidP="00305D02">
            <w:pPr>
              <w:widowControl w:val="0"/>
              <w:jc w:val="right"/>
              <w:rPr>
                <w:sz w:val="20"/>
                <w:szCs w:val="20"/>
              </w:rPr>
            </w:pPr>
            <w:r w:rsidRPr="00A30BA2">
              <w:rPr>
                <w:sz w:val="20"/>
                <w:szCs w:val="20"/>
              </w:rPr>
              <w:t>7,70</w:t>
            </w:r>
          </w:p>
        </w:tc>
      </w:tr>
    </w:tbl>
    <w:p w14:paraId="22E2D39C" w14:textId="77777777" w:rsidR="003D5B9C" w:rsidRPr="003D5B9C" w:rsidRDefault="003D5B9C" w:rsidP="003D5B9C">
      <w:pPr>
        <w:widowControl w:val="0"/>
        <w:rPr>
          <w:sz w:val="20"/>
          <w:lang w:val="es-419"/>
        </w:rPr>
      </w:pPr>
      <w:r w:rsidRPr="003D5B9C">
        <w:rPr>
          <w:sz w:val="19"/>
          <w:szCs w:val="19"/>
          <w:lang w:val="es-419"/>
        </w:rPr>
        <w:t>* Revisado en la 87ª reunión tras la cancelación del plan para el sector de fabricación de equipos de aire acondicionado y los gastos asociados de apoyo al organismo y gestión de proyectos (2.073.988 $EUA, incluidos los gastos de apoyo del organismo).</w:t>
      </w:r>
    </w:p>
    <w:p w14:paraId="1E6B40ED" w14:textId="3209B2C1" w:rsidR="0028399A" w:rsidRPr="003D5B9C" w:rsidRDefault="0028399A" w:rsidP="0028399A">
      <w:pPr>
        <w:pStyle w:val="StyleHeader4Para4Left0Firstline0"/>
        <w:numPr>
          <w:ilvl w:val="0"/>
          <w:numId w:val="0"/>
        </w:numPr>
        <w:jc w:val="center"/>
        <w:rPr>
          <w:b/>
          <w:caps/>
          <w:sz w:val="22"/>
          <w:lang w:val="es-419"/>
        </w:rPr>
      </w:pPr>
    </w:p>
    <w:p w14:paraId="09A3293F" w14:textId="77777777" w:rsidR="0028399A" w:rsidRPr="003D5B9C" w:rsidRDefault="0028399A" w:rsidP="0028399A">
      <w:pPr>
        <w:pStyle w:val="StyleHeader4Para4Left0Firstline0"/>
        <w:numPr>
          <w:ilvl w:val="0"/>
          <w:numId w:val="0"/>
        </w:numPr>
        <w:jc w:val="center"/>
        <w:rPr>
          <w:b/>
          <w:caps/>
          <w:sz w:val="22"/>
          <w:lang w:val="es-419"/>
        </w:rPr>
        <w:sectPr w:rsidR="0028399A" w:rsidRPr="003D5B9C">
          <w:headerReference w:type="first" r:id="rId26"/>
          <w:footerReference w:type="first" r:id="rId27"/>
          <w:pgSz w:w="12240" w:h="15840" w:code="1"/>
          <w:pgMar w:top="720" w:right="1440" w:bottom="864" w:left="1440" w:header="720" w:footer="475" w:gutter="0"/>
          <w:pgNumType w:start="1"/>
          <w:cols w:space="720"/>
          <w:titlePg/>
        </w:sectPr>
      </w:pPr>
    </w:p>
    <w:p w14:paraId="09DDE02C" w14:textId="77777777" w:rsidR="003D5B9C" w:rsidRPr="00305D02" w:rsidRDefault="003D5B9C" w:rsidP="003D5B9C">
      <w:pPr>
        <w:widowControl w:val="0"/>
        <w:tabs>
          <w:tab w:val="left" w:pos="2880"/>
          <w:tab w:val="left" w:pos="5760"/>
        </w:tabs>
        <w:spacing w:after="240"/>
        <w:jc w:val="center"/>
        <w:rPr>
          <w:b/>
          <w:lang w:val="es-AR"/>
        </w:rPr>
      </w:pPr>
      <w:r w:rsidRPr="00305D02">
        <w:rPr>
          <w:b/>
          <w:lang w:val="es-AR"/>
        </w:rPr>
        <w:lastRenderedPageBreak/>
        <w:t>Anexo V</w:t>
      </w:r>
    </w:p>
    <w:p w14:paraId="1FEDAF6F" w14:textId="77777777" w:rsidR="003D5B9C" w:rsidRPr="003D5B9C" w:rsidRDefault="003D5B9C" w:rsidP="003D5B9C">
      <w:pPr>
        <w:jc w:val="center"/>
        <w:rPr>
          <w:b/>
          <w:lang w:val="es-419"/>
        </w:rPr>
      </w:pPr>
      <w:r w:rsidRPr="003D5B9C">
        <w:rPr>
          <w:b/>
          <w:lang w:val="es-419"/>
        </w:rPr>
        <w:t xml:space="preserve">TEXTO PARA INCLUIR EN EL ACUERDO </w:t>
      </w:r>
      <w:r w:rsidRPr="003D5B9C">
        <w:rPr>
          <w:b/>
          <w:u w:val="single"/>
          <w:lang w:val="es-419"/>
        </w:rPr>
        <w:t>ACTUALIZADO REVISADO</w:t>
      </w:r>
      <w:r w:rsidRPr="003D5B9C">
        <w:rPr>
          <w:b/>
          <w:lang w:val="es-419"/>
        </w:rPr>
        <w:t xml:space="preserve"> ENTRE EL GOBIERNO DE ECUADOR Y EL COMITÉ EJECUTIVO DEL FONDO MULTILATERAL PARA LA REDUCCIÓN DEL CONSUMO DE HIDROBROMOFLUOROCARBONOS</w:t>
      </w:r>
    </w:p>
    <w:p w14:paraId="7C6FF8AE" w14:textId="77777777" w:rsidR="003D5B9C" w:rsidRPr="003D5B9C" w:rsidRDefault="003D5B9C" w:rsidP="003D5B9C">
      <w:pPr>
        <w:jc w:val="center"/>
        <w:rPr>
          <w:b/>
          <w:lang w:val="es-419"/>
        </w:rPr>
      </w:pPr>
    </w:p>
    <w:p w14:paraId="6EA436BA" w14:textId="77777777" w:rsidR="003D5B9C" w:rsidRPr="003D5B9C" w:rsidRDefault="003D5B9C" w:rsidP="003D5B9C">
      <w:pPr>
        <w:jc w:val="center"/>
        <w:rPr>
          <w:lang w:val="es-419"/>
        </w:rPr>
      </w:pPr>
      <w:r w:rsidRPr="003D5B9C">
        <w:rPr>
          <w:lang w:val="es-419"/>
        </w:rPr>
        <w:t>(Para mayor comodidad, los cambios pertinentes están en negrita)</w:t>
      </w:r>
    </w:p>
    <w:p w14:paraId="2CD45FCE" w14:textId="77777777" w:rsidR="003D5B9C" w:rsidRPr="003D5B9C" w:rsidRDefault="003D5B9C" w:rsidP="003D5B9C">
      <w:pPr>
        <w:jc w:val="center"/>
        <w:rPr>
          <w:lang w:val="es-419"/>
        </w:rPr>
      </w:pPr>
    </w:p>
    <w:p w14:paraId="6A6C1A68" w14:textId="77777777" w:rsidR="003D5B9C" w:rsidRPr="003D5B9C" w:rsidRDefault="003D5B9C" w:rsidP="003D5B9C">
      <w:pPr>
        <w:rPr>
          <w:lang w:val="es-419"/>
        </w:rPr>
      </w:pPr>
      <w:r w:rsidRPr="003D5B9C">
        <w:rPr>
          <w:lang w:val="es-419"/>
        </w:rPr>
        <w:t>16.</w:t>
      </w:r>
      <w:r w:rsidRPr="003D5B9C">
        <w:rPr>
          <w:lang w:val="es-419"/>
        </w:rPr>
        <w:tab/>
        <w:t xml:space="preserve">El presente Acuerdo </w:t>
      </w:r>
      <w:r w:rsidRPr="003D5B9C">
        <w:rPr>
          <w:b/>
          <w:lang w:val="es-419"/>
        </w:rPr>
        <w:t>revisado</w:t>
      </w:r>
      <w:r w:rsidRPr="003D5B9C">
        <w:rPr>
          <w:lang w:val="es-419"/>
        </w:rPr>
        <w:t xml:space="preserve"> sustituye al Acuerdo actualizado suscrito entre el Gobierno de Ecuador y el Comité Ejecutivo en la </w:t>
      </w:r>
      <w:r w:rsidRPr="003D5B9C">
        <w:rPr>
          <w:b/>
          <w:lang w:val="es-419"/>
        </w:rPr>
        <w:t>81ª</w:t>
      </w:r>
      <w:r w:rsidRPr="003D5B9C">
        <w:rPr>
          <w:lang w:val="es-419"/>
        </w:rPr>
        <w:t xml:space="preserve"> reunión del Comité Ejecutivo.</w:t>
      </w:r>
    </w:p>
    <w:p w14:paraId="503DE6F1" w14:textId="77777777" w:rsidR="003D5B9C" w:rsidRPr="003D5B9C" w:rsidRDefault="003D5B9C" w:rsidP="003D5B9C">
      <w:pPr>
        <w:rPr>
          <w:lang w:val="es-419"/>
        </w:rPr>
      </w:pPr>
    </w:p>
    <w:p w14:paraId="71D17940" w14:textId="77777777" w:rsidR="003D5B9C" w:rsidRPr="00A30BA2" w:rsidRDefault="003D5B9C" w:rsidP="003D5B9C">
      <w:pPr>
        <w:keepNext/>
        <w:keepLines/>
        <w:suppressAutoHyphens/>
        <w:rPr>
          <w:rFonts w:eastAsia="SimSun"/>
          <w:b/>
        </w:rPr>
      </w:pPr>
      <w:r w:rsidRPr="00A30BA2">
        <w:rPr>
          <w:b/>
        </w:rPr>
        <w:t>APÉNDICE 2-A: OBJETIVOS Y FINANCIACIÓN</w:t>
      </w:r>
    </w:p>
    <w:tbl>
      <w:tblPr>
        <w:tblW w:w="5265" w:type="pct"/>
        <w:tblInd w:w="-5" w:type="dxa"/>
        <w:tblLook w:val="00A0" w:firstRow="1" w:lastRow="0" w:firstColumn="1" w:lastColumn="0" w:noHBand="0" w:noVBand="0"/>
      </w:tblPr>
      <w:tblGrid>
        <w:gridCol w:w="525"/>
        <w:gridCol w:w="1819"/>
        <w:gridCol w:w="862"/>
        <w:gridCol w:w="502"/>
        <w:gridCol w:w="727"/>
        <w:gridCol w:w="547"/>
        <w:gridCol w:w="547"/>
        <w:gridCol w:w="727"/>
        <w:gridCol w:w="547"/>
        <w:gridCol w:w="817"/>
        <w:gridCol w:w="547"/>
        <w:gridCol w:w="817"/>
        <w:gridCol w:w="862"/>
      </w:tblGrid>
      <w:tr w:rsidR="003D5B9C" w:rsidRPr="00A30BA2" w14:paraId="1CE54822"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tcMar>
              <w:left w:w="57" w:type="dxa"/>
              <w:right w:w="28" w:type="dxa"/>
            </w:tcMar>
          </w:tcPr>
          <w:p w14:paraId="0C2573F4" w14:textId="77777777" w:rsidR="003D5B9C" w:rsidRPr="00A30BA2" w:rsidRDefault="003D5B9C" w:rsidP="00305D02">
            <w:pPr>
              <w:keepNext/>
              <w:keepLines/>
              <w:jc w:val="left"/>
              <w:rPr>
                <w:rFonts w:eastAsia="SimSun"/>
                <w:color w:val="000000"/>
                <w:sz w:val="18"/>
                <w:szCs w:val="16"/>
                <w:lang w:eastAsia="en-CA"/>
              </w:rPr>
            </w:pPr>
          </w:p>
        </w:tc>
        <w:tc>
          <w:tcPr>
            <w:tcW w:w="1173" w:type="pct"/>
            <w:tcBorders>
              <w:top w:val="single" w:sz="4" w:space="0" w:color="auto"/>
              <w:left w:val="nil"/>
              <w:bottom w:val="single" w:sz="4" w:space="0" w:color="auto"/>
              <w:right w:val="single" w:sz="4" w:space="0" w:color="auto"/>
            </w:tcBorders>
            <w:tcMar>
              <w:left w:w="57" w:type="dxa"/>
              <w:right w:w="28" w:type="dxa"/>
            </w:tcMar>
          </w:tcPr>
          <w:p w14:paraId="13DE1A1B" w14:textId="77777777" w:rsidR="003D5B9C" w:rsidRPr="00A30BA2" w:rsidRDefault="003D5B9C" w:rsidP="00305D02">
            <w:pPr>
              <w:keepNext/>
              <w:keepLines/>
              <w:suppressAutoHyphens/>
              <w:jc w:val="left"/>
              <w:rPr>
                <w:rFonts w:eastAsia="SimSun"/>
                <w:b/>
                <w:color w:val="000000"/>
                <w:sz w:val="18"/>
                <w:szCs w:val="16"/>
                <w:lang w:eastAsia="en-CA"/>
              </w:rPr>
            </w:pPr>
          </w:p>
        </w:tc>
        <w:tc>
          <w:tcPr>
            <w:tcW w:w="188" w:type="pct"/>
            <w:tcBorders>
              <w:top w:val="single" w:sz="4" w:space="0" w:color="auto"/>
              <w:left w:val="nil"/>
              <w:bottom w:val="single" w:sz="4" w:space="0" w:color="auto"/>
              <w:right w:val="single" w:sz="4" w:space="0" w:color="auto"/>
            </w:tcBorders>
            <w:tcMar>
              <w:left w:w="57" w:type="dxa"/>
              <w:right w:w="85" w:type="dxa"/>
            </w:tcMar>
          </w:tcPr>
          <w:p w14:paraId="4A9C35B4"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2011</w:t>
            </w:r>
          </w:p>
        </w:tc>
        <w:tc>
          <w:tcPr>
            <w:tcW w:w="255" w:type="pct"/>
            <w:tcBorders>
              <w:top w:val="single" w:sz="4" w:space="0" w:color="auto"/>
              <w:left w:val="nil"/>
              <w:bottom w:val="single" w:sz="4" w:space="0" w:color="auto"/>
              <w:right w:val="single" w:sz="4" w:space="0" w:color="auto"/>
            </w:tcBorders>
            <w:tcMar>
              <w:left w:w="57" w:type="dxa"/>
              <w:right w:w="85" w:type="dxa"/>
            </w:tcMar>
          </w:tcPr>
          <w:p w14:paraId="65C5278F"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2012</w:t>
            </w:r>
          </w:p>
        </w:tc>
        <w:tc>
          <w:tcPr>
            <w:tcW w:w="369" w:type="pct"/>
            <w:tcBorders>
              <w:top w:val="single" w:sz="4" w:space="0" w:color="auto"/>
              <w:left w:val="nil"/>
              <w:bottom w:val="single" w:sz="4" w:space="0" w:color="auto"/>
              <w:right w:val="single" w:sz="4" w:space="0" w:color="auto"/>
            </w:tcBorders>
            <w:tcMar>
              <w:left w:w="57" w:type="dxa"/>
              <w:right w:w="85" w:type="dxa"/>
            </w:tcMar>
          </w:tcPr>
          <w:p w14:paraId="578B8BBD"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2013</w:t>
            </w:r>
          </w:p>
        </w:tc>
        <w:tc>
          <w:tcPr>
            <w:tcW w:w="278" w:type="pct"/>
            <w:tcBorders>
              <w:top w:val="single" w:sz="4" w:space="0" w:color="auto"/>
              <w:left w:val="nil"/>
              <w:bottom w:val="single" w:sz="4" w:space="0" w:color="auto"/>
              <w:right w:val="single" w:sz="4" w:space="0" w:color="auto"/>
            </w:tcBorders>
            <w:tcMar>
              <w:left w:w="57" w:type="dxa"/>
              <w:right w:w="85" w:type="dxa"/>
            </w:tcMar>
          </w:tcPr>
          <w:p w14:paraId="1F7CB5FE"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2014</w:t>
            </w:r>
          </w:p>
        </w:tc>
        <w:tc>
          <w:tcPr>
            <w:tcW w:w="278" w:type="pct"/>
            <w:tcBorders>
              <w:top w:val="single" w:sz="4" w:space="0" w:color="auto"/>
              <w:left w:val="nil"/>
              <w:bottom w:val="single" w:sz="4" w:space="0" w:color="auto"/>
              <w:right w:val="single" w:sz="4" w:space="0" w:color="auto"/>
            </w:tcBorders>
            <w:tcMar>
              <w:left w:w="57" w:type="dxa"/>
              <w:right w:w="85" w:type="dxa"/>
            </w:tcMar>
          </w:tcPr>
          <w:p w14:paraId="0E5E8D12"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2015</w:t>
            </w:r>
          </w:p>
        </w:tc>
        <w:tc>
          <w:tcPr>
            <w:tcW w:w="369" w:type="pct"/>
            <w:tcBorders>
              <w:top w:val="single" w:sz="4" w:space="0" w:color="auto"/>
              <w:left w:val="nil"/>
              <w:bottom w:val="single" w:sz="4" w:space="0" w:color="auto"/>
              <w:right w:val="single" w:sz="4" w:space="0" w:color="auto"/>
            </w:tcBorders>
            <w:tcMar>
              <w:left w:w="57" w:type="dxa"/>
              <w:right w:w="85" w:type="dxa"/>
            </w:tcMar>
          </w:tcPr>
          <w:p w14:paraId="5C569D11"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2016</w:t>
            </w:r>
          </w:p>
        </w:tc>
        <w:tc>
          <w:tcPr>
            <w:tcW w:w="278" w:type="pct"/>
            <w:tcBorders>
              <w:top w:val="single" w:sz="4" w:space="0" w:color="auto"/>
              <w:left w:val="nil"/>
              <w:bottom w:val="single" w:sz="4" w:space="0" w:color="auto"/>
              <w:right w:val="single" w:sz="4" w:space="0" w:color="auto"/>
            </w:tcBorders>
            <w:tcMar>
              <w:left w:w="57" w:type="dxa"/>
              <w:right w:w="85" w:type="dxa"/>
            </w:tcMar>
          </w:tcPr>
          <w:p w14:paraId="01D4717E"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2017</w:t>
            </w:r>
          </w:p>
        </w:tc>
        <w:tc>
          <w:tcPr>
            <w:tcW w:w="415" w:type="pct"/>
            <w:tcBorders>
              <w:top w:val="single" w:sz="4" w:space="0" w:color="auto"/>
              <w:left w:val="nil"/>
              <w:bottom w:val="single" w:sz="4" w:space="0" w:color="auto"/>
              <w:right w:val="single" w:sz="4" w:space="0" w:color="auto"/>
            </w:tcBorders>
            <w:tcMar>
              <w:left w:w="57" w:type="dxa"/>
              <w:right w:w="85" w:type="dxa"/>
            </w:tcMar>
          </w:tcPr>
          <w:p w14:paraId="4E1299DB"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2018</w:t>
            </w:r>
          </w:p>
        </w:tc>
        <w:tc>
          <w:tcPr>
            <w:tcW w:w="278" w:type="pct"/>
            <w:tcBorders>
              <w:top w:val="single" w:sz="4" w:space="0" w:color="auto"/>
              <w:left w:val="nil"/>
              <w:bottom w:val="single" w:sz="4" w:space="0" w:color="auto"/>
              <w:right w:val="single" w:sz="4" w:space="0" w:color="auto"/>
            </w:tcBorders>
            <w:tcMar>
              <w:left w:w="57" w:type="dxa"/>
              <w:right w:w="85" w:type="dxa"/>
            </w:tcMar>
          </w:tcPr>
          <w:p w14:paraId="3AA55169"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2019</w:t>
            </w:r>
          </w:p>
        </w:tc>
        <w:tc>
          <w:tcPr>
            <w:tcW w:w="415" w:type="pct"/>
            <w:tcBorders>
              <w:top w:val="single" w:sz="4" w:space="0" w:color="auto"/>
              <w:left w:val="nil"/>
              <w:bottom w:val="single" w:sz="4" w:space="0" w:color="auto"/>
              <w:right w:val="single" w:sz="4" w:space="0" w:color="auto"/>
            </w:tcBorders>
            <w:tcMar>
              <w:left w:w="57" w:type="dxa"/>
              <w:right w:w="85" w:type="dxa"/>
            </w:tcMar>
          </w:tcPr>
          <w:p w14:paraId="7330F45F"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2020</w:t>
            </w:r>
          </w:p>
        </w:tc>
        <w:tc>
          <w:tcPr>
            <w:tcW w:w="438" w:type="pct"/>
            <w:tcBorders>
              <w:top w:val="single" w:sz="4" w:space="0" w:color="auto"/>
              <w:left w:val="nil"/>
              <w:bottom w:val="single" w:sz="4" w:space="0" w:color="auto"/>
              <w:right w:val="single" w:sz="4" w:space="0" w:color="auto"/>
            </w:tcBorders>
            <w:tcMar>
              <w:left w:w="57" w:type="dxa"/>
              <w:right w:w="85" w:type="dxa"/>
            </w:tcMar>
          </w:tcPr>
          <w:p w14:paraId="381BC870" w14:textId="77777777" w:rsidR="003D5B9C" w:rsidRPr="00A30BA2" w:rsidRDefault="003D5B9C" w:rsidP="00305D02">
            <w:pPr>
              <w:keepNext/>
              <w:keepLines/>
              <w:suppressAutoHyphens/>
              <w:jc w:val="center"/>
              <w:rPr>
                <w:rFonts w:eastAsia="SimSun"/>
                <w:b/>
                <w:color w:val="000000"/>
                <w:sz w:val="18"/>
                <w:szCs w:val="16"/>
              </w:rPr>
            </w:pPr>
            <w:r w:rsidRPr="00A30BA2">
              <w:rPr>
                <w:b/>
                <w:color w:val="000000"/>
                <w:sz w:val="18"/>
                <w:szCs w:val="16"/>
              </w:rPr>
              <w:t>Total</w:t>
            </w:r>
          </w:p>
        </w:tc>
      </w:tr>
      <w:tr w:rsidR="003D5B9C" w:rsidRPr="00A30BA2" w14:paraId="0B139F54" w14:textId="77777777" w:rsidTr="00305D02">
        <w:trPr>
          <w:trHeight w:val="568"/>
        </w:trPr>
        <w:tc>
          <w:tcPr>
            <w:tcW w:w="267" w:type="pct"/>
            <w:tcBorders>
              <w:top w:val="nil"/>
              <w:left w:val="single" w:sz="4" w:space="0" w:color="auto"/>
              <w:bottom w:val="single" w:sz="4" w:space="0" w:color="auto"/>
              <w:right w:val="single" w:sz="4" w:space="0" w:color="auto"/>
            </w:tcBorders>
            <w:tcMar>
              <w:left w:w="57" w:type="dxa"/>
              <w:right w:w="28" w:type="dxa"/>
            </w:tcMar>
          </w:tcPr>
          <w:p w14:paraId="230CF2DB"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1.1</w:t>
            </w:r>
          </w:p>
        </w:tc>
        <w:tc>
          <w:tcPr>
            <w:tcW w:w="1173" w:type="pct"/>
            <w:tcBorders>
              <w:top w:val="nil"/>
              <w:left w:val="nil"/>
              <w:bottom w:val="single" w:sz="4" w:space="0" w:color="auto"/>
              <w:right w:val="single" w:sz="4" w:space="0" w:color="auto"/>
            </w:tcBorders>
            <w:tcMar>
              <w:left w:w="57" w:type="dxa"/>
              <w:right w:w="28" w:type="dxa"/>
            </w:tcMar>
          </w:tcPr>
          <w:p w14:paraId="42CD7F5E"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Calendario de reducción del Protocolo de Montreal para las sustancias del Anexo C, Grupo I (toneladas PAO)</w:t>
            </w:r>
          </w:p>
        </w:tc>
        <w:tc>
          <w:tcPr>
            <w:tcW w:w="188" w:type="pct"/>
            <w:tcBorders>
              <w:top w:val="nil"/>
              <w:left w:val="nil"/>
              <w:bottom w:val="single" w:sz="4" w:space="0" w:color="auto"/>
              <w:right w:val="single" w:sz="4" w:space="0" w:color="auto"/>
            </w:tcBorders>
            <w:tcMar>
              <w:left w:w="57" w:type="dxa"/>
              <w:right w:w="85" w:type="dxa"/>
            </w:tcMar>
          </w:tcPr>
          <w:p w14:paraId="609C21BF" w14:textId="77777777" w:rsidR="003D5B9C" w:rsidRPr="00A30BA2" w:rsidRDefault="003D5B9C" w:rsidP="00305D02">
            <w:pPr>
              <w:keepNext/>
              <w:keepLines/>
              <w:suppressAutoHyphens/>
              <w:jc w:val="center"/>
              <w:rPr>
                <w:rFonts w:eastAsia="SimSun"/>
                <w:color w:val="000000"/>
                <w:sz w:val="18"/>
                <w:szCs w:val="16"/>
              </w:rPr>
            </w:pPr>
            <w:r w:rsidRPr="00A30BA2">
              <w:rPr>
                <w:color w:val="000000"/>
                <w:sz w:val="18"/>
                <w:szCs w:val="16"/>
              </w:rPr>
              <w:t>n/a</w:t>
            </w:r>
          </w:p>
        </w:tc>
        <w:tc>
          <w:tcPr>
            <w:tcW w:w="255" w:type="pct"/>
            <w:tcBorders>
              <w:top w:val="nil"/>
              <w:left w:val="nil"/>
              <w:bottom w:val="single" w:sz="4" w:space="0" w:color="auto"/>
              <w:right w:val="single" w:sz="4" w:space="0" w:color="auto"/>
            </w:tcBorders>
            <w:tcMar>
              <w:left w:w="57" w:type="dxa"/>
              <w:right w:w="85" w:type="dxa"/>
            </w:tcMar>
          </w:tcPr>
          <w:p w14:paraId="60C78C1A" w14:textId="77777777" w:rsidR="003D5B9C" w:rsidRPr="00A30BA2" w:rsidRDefault="003D5B9C" w:rsidP="00305D02">
            <w:pPr>
              <w:keepNext/>
              <w:keepLines/>
              <w:suppressAutoHyphens/>
              <w:jc w:val="center"/>
              <w:rPr>
                <w:rFonts w:eastAsia="SimSun"/>
                <w:color w:val="000000"/>
                <w:sz w:val="18"/>
                <w:szCs w:val="16"/>
              </w:rPr>
            </w:pPr>
            <w:r w:rsidRPr="00A30BA2">
              <w:rPr>
                <w:color w:val="000000"/>
                <w:sz w:val="18"/>
                <w:szCs w:val="16"/>
              </w:rPr>
              <w:t>n/a</w:t>
            </w:r>
          </w:p>
        </w:tc>
        <w:tc>
          <w:tcPr>
            <w:tcW w:w="369" w:type="pct"/>
            <w:tcBorders>
              <w:top w:val="nil"/>
              <w:left w:val="nil"/>
              <w:bottom w:val="single" w:sz="4" w:space="0" w:color="auto"/>
              <w:right w:val="single" w:sz="4" w:space="0" w:color="auto"/>
            </w:tcBorders>
            <w:tcMar>
              <w:left w:w="57" w:type="dxa"/>
              <w:right w:w="85" w:type="dxa"/>
            </w:tcMar>
          </w:tcPr>
          <w:p w14:paraId="6256BAFA"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344FFA7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7B4955F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369" w:type="pct"/>
            <w:tcBorders>
              <w:top w:val="nil"/>
              <w:left w:val="nil"/>
              <w:bottom w:val="single" w:sz="4" w:space="0" w:color="auto"/>
              <w:right w:val="single" w:sz="4" w:space="0" w:color="auto"/>
            </w:tcBorders>
            <w:tcMar>
              <w:left w:w="57" w:type="dxa"/>
              <w:right w:w="85" w:type="dxa"/>
            </w:tcMar>
          </w:tcPr>
          <w:p w14:paraId="4772D1CC"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1AE75175"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372CC0E2"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4AF06D9A"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04A97C1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15,27</w:t>
            </w:r>
          </w:p>
        </w:tc>
        <w:tc>
          <w:tcPr>
            <w:tcW w:w="438" w:type="pct"/>
            <w:tcBorders>
              <w:top w:val="nil"/>
              <w:left w:val="nil"/>
              <w:bottom w:val="single" w:sz="4" w:space="0" w:color="auto"/>
              <w:right w:val="single" w:sz="4" w:space="0" w:color="auto"/>
            </w:tcBorders>
            <w:tcMar>
              <w:left w:w="57" w:type="dxa"/>
              <w:right w:w="85" w:type="dxa"/>
            </w:tcMar>
          </w:tcPr>
          <w:p w14:paraId="7509912F"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n/a</w:t>
            </w:r>
          </w:p>
        </w:tc>
      </w:tr>
      <w:tr w:rsidR="003D5B9C" w:rsidRPr="00A30BA2" w14:paraId="4E7969D2" w14:textId="77777777" w:rsidTr="00305D02">
        <w:trPr>
          <w:trHeight w:val="775"/>
        </w:trPr>
        <w:tc>
          <w:tcPr>
            <w:tcW w:w="267" w:type="pct"/>
            <w:tcBorders>
              <w:top w:val="nil"/>
              <w:left w:val="single" w:sz="4" w:space="0" w:color="auto"/>
              <w:bottom w:val="single" w:sz="4" w:space="0" w:color="auto"/>
              <w:right w:val="single" w:sz="4" w:space="0" w:color="auto"/>
            </w:tcBorders>
            <w:tcMar>
              <w:left w:w="57" w:type="dxa"/>
              <w:right w:w="28" w:type="dxa"/>
            </w:tcMar>
          </w:tcPr>
          <w:p w14:paraId="0AD418AF"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1.2</w:t>
            </w:r>
          </w:p>
        </w:tc>
        <w:tc>
          <w:tcPr>
            <w:tcW w:w="1173" w:type="pct"/>
            <w:tcBorders>
              <w:top w:val="nil"/>
              <w:left w:val="nil"/>
              <w:bottom w:val="single" w:sz="4" w:space="0" w:color="auto"/>
              <w:right w:val="single" w:sz="4" w:space="0" w:color="auto"/>
            </w:tcBorders>
            <w:tcMar>
              <w:left w:w="57" w:type="dxa"/>
              <w:right w:w="28" w:type="dxa"/>
            </w:tcMar>
          </w:tcPr>
          <w:p w14:paraId="05C3A9C6"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Consumo total admisible máximo para las sustancias del Anexo C, Grupo I (toneladas PAO)</w:t>
            </w:r>
          </w:p>
        </w:tc>
        <w:tc>
          <w:tcPr>
            <w:tcW w:w="188" w:type="pct"/>
            <w:tcBorders>
              <w:top w:val="nil"/>
              <w:left w:val="nil"/>
              <w:bottom w:val="single" w:sz="4" w:space="0" w:color="auto"/>
              <w:right w:val="single" w:sz="4" w:space="0" w:color="auto"/>
            </w:tcBorders>
            <w:tcMar>
              <w:left w:w="57" w:type="dxa"/>
              <w:right w:w="85" w:type="dxa"/>
            </w:tcMar>
          </w:tcPr>
          <w:p w14:paraId="3E54CD3F" w14:textId="77777777" w:rsidR="003D5B9C" w:rsidRPr="00A30BA2" w:rsidRDefault="003D5B9C" w:rsidP="00305D02">
            <w:pPr>
              <w:keepNext/>
              <w:keepLines/>
              <w:suppressAutoHyphens/>
              <w:jc w:val="center"/>
              <w:rPr>
                <w:rFonts w:eastAsia="SimSun"/>
                <w:color w:val="000000"/>
                <w:sz w:val="18"/>
                <w:szCs w:val="16"/>
              </w:rPr>
            </w:pPr>
            <w:r w:rsidRPr="00A30BA2">
              <w:rPr>
                <w:color w:val="000000"/>
                <w:sz w:val="18"/>
                <w:szCs w:val="16"/>
              </w:rPr>
              <w:t>n/a</w:t>
            </w:r>
          </w:p>
        </w:tc>
        <w:tc>
          <w:tcPr>
            <w:tcW w:w="255" w:type="pct"/>
            <w:tcBorders>
              <w:top w:val="nil"/>
              <w:left w:val="nil"/>
              <w:bottom w:val="single" w:sz="4" w:space="0" w:color="auto"/>
              <w:right w:val="single" w:sz="4" w:space="0" w:color="auto"/>
            </w:tcBorders>
            <w:tcMar>
              <w:left w:w="57" w:type="dxa"/>
              <w:right w:w="85" w:type="dxa"/>
            </w:tcMar>
          </w:tcPr>
          <w:p w14:paraId="5652CC31" w14:textId="77777777" w:rsidR="003D5B9C" w:rsidRPr="00A30BA2" w:rsidRDefault="003D5B9C" w:rsidP="00305D02">
            <w:pPr>
              <w:keepNext/>
              <w:keepLines/>
              <w:suppressAutoHyphens/>
              <w:jc w:val="center"/>
              <w:rPr>
                <w:rFonts w:eastAsia="SimSun"/>
                <w:color w:val="000000"/>
                <w:sz w:val="18"/>
                <w:szCs w:val="16"/>
              </w:rPr>
            </w:pPr>
            <w:r w:rsidRPr="00A30BA2">
              <w:rPr>
                <w:color w:val="000000"/>
                <w:sz w:val="18"/>
                <w:szCs w:val="16"/>
              </w:rPr>
              <w:t>n/a</w:t>
            </w:r>
          </w:p>
        </w:tc>
        <w:tc>
          <w:tcPr>
            <w:tcW w:w="369" w:type="pct"/>
            <w:tcBorders>
              <w:top w:val="nil"/>
              <w:left w:val="nil"/>
              <w:bottom w:val="single" w:sz="4" w:space="0" w:color="auto"/>
              <w:right w:val="single" w:sz="4" w:space="0" w:color="auto"/>
            </w:tcBorders>
            <w:tcMar>
              <w:left w:w="57" w:type="dxa"/>
              <w:right w:w="85" w:type="dxa"/>
            </w:tcMar>
          </w:tcPr>
          <w:p w14:paraId="417059A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0E2B499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2DB1C526"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369" w:type="pct"/>
            <w:tcBorders>
              <w:top w:val="nil"/>
              <w:left w:val="nil"/>
              <w:bottom w:val="single" w:sz="4" w:space="0" w:color="auto"/>
              <w:right w:val="single" w:sz="4" w:space="0" w:color="auto"/>
            </w:tcBorders>
            <w:tcMar>
              <w:left w:w="57" w:type="dxa"/>
              <w:right w:w="85" w:type="dxa"/>
            </w:tcMar>
          </w:tcPr>
          <w:p w14:paraId="17E5004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474748A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14BA16DE"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420BF5F9"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5FE83B8E"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15,27</w:t>
            </w:r>
          </w:p>
        </w:tc>
        <w:tc>
          <w:tcPr>
            <w:tcW w:w="438" w:type="pct"/>
            <w:tcBorders>
              <w:top w:val="nil"/>
              <w:left w:val="nil"/>
              <w:bottom w:val="single" w:sz="4" w:space="0" w:color="auto"/>
              <w:right w:val="single" w:sz="4" w:space="0" w:color="auto"/>
            </w:tcBorders>
            <w:tcMar>
              <w:left w:w="57" w:type="dxa"/>
              <w:right w:w="85" w:type="dxa"/>
            </w:tcMar>
          </w:tcPr>
          <w:p w14:paraId="6B41983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n/a</w:t>
            </w:r>
          </w:p>
        </w:tc>
      </w:tr>
      <w:tr w:rsidR="003D5B9C" w:rsidRPr="00A30BA2" w14:paraId="1D03DBFA" w14:textId="77777777" w:rsidTr="00305D02">
        <w:trPr>
          <w:trHeight w:val="405"/>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22DD703D"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2.1</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24278A8F"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Financiación convenida para el Organismo de Ejecución Principal (ONUDI) ($EUA)</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1BFB64D8"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1.531.940</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16588498"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5CE371B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86.500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C8D6F2A"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8EE6C4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6DBBFD2F"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86.500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FECF2C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202A9C2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*518.219</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DB45DAE"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2B7A9ED3"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**65.000</w:t>
            </w:r>
          </w:p>
        </w:tc>
        <w:tc>
          <w:tcPr>
            <w:tcW w:w="438" w:type="pct"/>
            <w:tcBorders>
              <w:top w:val="single" w:sz="4" w:space="0" w:color="auto"/>
              <w:left w:val="nil"/>
              <w:bottom w:val="single" w:sz="4" w:space="0" w:color="auto"/>
              <w:right w:val="single" w:sz="4" w:space="0" w:color="auto"/>
            </w:tcBorders>
            <w:shd w:val="clear" w:color="auto" w:fill="auto"/>
            <w:tcMar>
              <w:left w:w="57" w:type="dxa"/>
              <w:right w:w="85" w:type="dxa"/>
            </w:tcMar>
          </w:tcPr>
          <w:p w14:paraId="1A2BCA7D"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2.288.159</w:t>
            </w:r>
          </w:p>
        </w:tc>
      </w:tr>
      <w:tr w:rsidR="003D5B9C" w:rsidRPr="00A30BA2" w14:paraId="74F65F15" w14:textId="77777777" w:rsidTr="00305D02">
        <w:trPr>
          <w:trHeight w:val="405"/>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381AD2FF"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2.2</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781D5DEB"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Gastos de apoyo para el Organismo de Ejecución Principal ($EUA)</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19A9060C"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114.896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0459AFA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7FB3B94F"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6.488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CD8F546"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A4655B9"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1753652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6.487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55BBBC4"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5B3F360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*36.707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30987A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3FA535CE"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**4,825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400E0584"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169.403</w:t>
            </w:r>
          </w:p>
        </w:tc>
      </w:tr>
      <w:tr w:rsidR="003D5B9C" w:rsidRPr="00A30BA2" w14:paraId="383492C6" w14:textId="77777777" w:rsidTr="00305D02">
        <w:trPr>
          <w:trHeight w:val="405"/>
        </w:trPr>
        <w:tc>
          <w:tcPr>
            <w:tcW w:w="267" w:type="pct"/>
            <w:tcBorders>
              <w:top w:val="nil"/>
              <w:left w:val="single" w:sz="4" w:space="0" w:color="auto"/>
              <w:bottom w:val="single" w:sz="4" w:space="0" w:color="auto"/>
              <w:right w:val="single" w:sz="4" w:space="0" w:color="auto"/>
            </w:tcBorders>
            <w:tcMar>
              <w:left w:w="57" w:type="dxa"/>
              <w:right w:w="28" w:type="dxa"/>
            </w:tcMar>
          </w:tcPr>
          <w:p w14:paraId="2AAAA96F"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2.3</w:t>
            </w:r>
          </w:p>
        </w:tc>
        <w:tc>
          <w:tcPr>
            <w:tcW w:w="1173" w:type="pct"/>
            <w:tcBorders>
              <w:top w:val="nil"/>
              <w:left w:val="nil"/>
              <w:bottom w:val="single" w:sz="4" w:space="0" w:color="auto"/>
              <w:right w:val="single" w:sz="4" w:space="0" w:color="auto"/>
            </w:tcBorders>
            <w:tcMar>
              <w:left w:w="57" w:type="dxa"/>
              <w:right w:w="28" w:type="dxa"/>
            </w:tcMar>
          </w:tcPr>
          <w:p w14:paraId="7032C417"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Financiación convenida para el Organismo de Ejecución Cooperante (PNUMA) ($EUA)</w:t>
            </w:r>
          </w:p>
        </w:tc>
        <w:tc>
          <w:tcPr>
            <w:tcW w:w="188" w:type="pct"/>
            <w:tcBorders>
              <w:top w:val="nil"/>
              <w:left w:val="nil"/>
              <w:bottom w:val="single" w:sz="4" w:space="0" w:color="auto"/>
              <w:right w:val="single" w:sz="4" w:space="0" w:color="auto"/>
            </w:tcBorders>
            <w:tcMar>
              <w:left w:w="57" w:type="dxa"/>
              <w:right w:w="85" w:type="dxa"/>
            </w:tcMar>
          </w:tcPr>
          <w:p w14:paraId="66998C1B"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30.000</w:t>
            </w:r>
          </w:p>
        </w:tc>
        <w:tc>
          <w:tcPr>
            <w:tcW w:w="255" w:type="pct"/>
            <w:tcBorders>
              <w:top w:val="nil"/>
              <w:left w:val="nil"/>
              <w:bottom w:val="single" w:sz="4" w:space="0" w:color="auto"/>
              <w:right w:val="single" w:sz="4" w:space="0" w:color="auto"/>
            </w:tcBorders>
            <w:tcMar>
              <w:left w:w="57" w:type="dxa"/>
              <w:right w:w="85" w:type="dxa"/>
            </w:tcMar>
          </w:tcPr>
          <w:p w14:paraId="2BA0DB6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tcMar>
              <w:left w:w="57" w:type="dxa"/>
              <w:right w:w="85" w:type="dxa"/>
            </w:tcMar>
          </w:tcPr>
          <w:p w14:paraId="550EA27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20 000</w:t>
            </w:r>
          </w:p>
        </w:tc>
        <w:tc>
          <w:tcPr>
            <w:tcW w:w="278" w:type="pct"/>
            <w:tcBorders>
              <w:top w:val="nil"/>
              <w:left w:val="nil"/>
              <w:bottom w:val="single" w:sz="4" w:space="0" w:color="auto"/>
              <w:right w:val="single" w:sz="4" w:space="0" w:color="auto"/>
            </w:tcBorders>
            <w:tcMar>
              <w:left w:w="57" w:type="dxa"/>
              <w:right w:w="85" w:type="dxa"/>
            </w:tcMar>
          </w:tcPr>
          <w:p w14:paraId="2D7C7099"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tcMar>
              <w:left w:w="57" w:type="dxa"/>
              <w:right w:w="85" w:type="dxa"/>
            </w:tcMar>
          </w:tcPr>
          <w:p w14:paraId="19F87999" w14:textId="77777777" w:rsidR="003D5B9C" w:rsidRPr="00A30BA2" w:rsidRDefault="003D5B9C" w:rsidP="00305D02">
            <w:pPr>
              <w:keepNext/>
              <w:keepLines/>
              <w:suppressAutoHyphens/>
              <w:jc w:val="right"/>
              <w:rPr>
                <w:rFonts w:eastAsia="SimSun"/>
                <w:color w:val="000000"/>
                <w:sz w:val="18"/>
                <w:szCs w:val="16"/>
                <w:lang w:eastAsia="en-CA"/>
              </w:rPr>
            </w:pPr>
          </w:p>
        </w:tc>
        <w:tc>
          <w:tcPr>
            <w:tcW w:w="369" w:type="pct"/>
            <w:tcBorders>
              <w:top w:val="nil"/>
              <w:left w:val="nil"/>
              <w:bottom w:val="single" w:sz="4" w:space="0" w:color="auto"/>
              <w:right w:val="single" w:sz="4" w:space="0" w:color="auto"/>
            </w:tcBorders>
            <w:tcMar>
              <w:left w:w="57" w:type="dxa"/>
              <w:right w:w="85" w:type="dxa"/>
            </w:tcMar>
          </w:tcPr>
          <w:p w14:paraId="6C5D982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30.000</w:t>
            </w:r>
          </w:p>
        </w:tc>
        <w:tc>
          <w:tcPr>
            <w:tcW w:w="278" w:type="pct"/>
            <w:tcBorders>
              <w:top w:val="nil"/>
              <w:left w:val="nil"/>
              <w:bottom w:val="single" w:sz="4" w:space="0" w:color="auto"/>
              <w:right w:val="single" w:sz="4" w:space="0" w:color="auto"/>
            </w:tcBorders>
            <w:tcMar>
              <w:left w:w="57" w:type="dxa"/>
              <w:right w:w="85" w:type="dxa"/>
            </w:tcMar>
          </w:tcPr>
          <w:p w14:paraId="5DA30B8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52FD06B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25.000</w:t>
            </w:r>
          </w:p>
        </w:tc>
        <w:tc>
          <w:tcPr>
            <w:tcW w:w="278" w:type="pct"/>
            <w:tcBorders>
              <w:top w:val="nil"/>
              <w:left w:val="nil"/>
              <w:bottom w:val="single" w:sz="4" w:space="0" w:color="auto"/>
              <w:right w:val="single" w:sz="4" w:space="0" w:color="auto"/>
            </w:tcBorders>
            <w:tcMar>
              <w:left w:w="57" w:type="dxa"/>
              <w:right w:w="85" w:type="dxa"/>
            </w:tcMar>
          </w:tcPr>
          <w:p w14:paraId="4FF8675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07A03C10"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**0</w:t>
            </w:r>
          </w:p>
        </w:tc>
        <w:tc>
          <w:tcPr>
            <w:tcW w:w="438" w:type="pct"/>
            <w:tcBorders>
              <w:top w:val="nil"/>
              <w:left w:val="nil"/>
              <w:bottom w:val="single" w:sz="4" w:space="0" w:color="auto"/>
              <w:right w:val="single" w:sz="4" w:space="0" w:color="auto"/>
            </w:tcBorders>
            <w:tcMar>
              <w:left w:w="57" w:type="dxa"/>
              <w:right w:w="85" w:type="dxa"/>
            </w:tcMar>
          </w:tcPr>
          <w:p w14:paraId="292CD6AE"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105.000</w:t>
            </w:r>
          </w:p>
        </w:tc>
      </w:tr>
      <w:tr w:rsidR="003D5B9C" w:rsidRPr="00A30BA2" w14:paraId="025156AD" w14:textId="77777777" w:rsidTr="00305D02">
        <w:trPr>
          <w:trHeight w:val="405"/>
        </w:trPr>
        <w:tc>
          <w:tcPr>
            <w:tcW w:w="267" w:type="pct"/>
            <w:tcBorders>
              <w:top w:val="nil"/>
              <w:left w:val="single" w:sz="4" w:space="0" w:color="auto"/>
              <w:bottom w:val="single" w:sz="4" w:space="0" w:color="auto"/>
              <w:right w:val="single" w:sz="4" w:space="0" w:color="auto"/>
            </w:tcBorders>
            <w:tcMar>
              <w:left w:w="57" w:type="dxa"/>
              <w:right w:w="28" w:type="dxa"/>
            </w:tcMar>
          </w:tcPr>
          <w:p w14:paraId="53EF8D4C"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2.4</w:t>
            </w:r>
          </w:p>
        </w:tc>
        <w:tc>
          <w:tcPr>
            <w:tcW w:w="1173" w:type="pct"/>
            <w:tcBorders>
              <w:top w:val="nil"/>
              <w:left w:val="nil"/>
              <w:bottom w:val="single" w:sz="4" w:space="0" w:color="auto"/>
              <w:right w:val="single" w:sz="4" w:space="0" w:color="auto"/>
            </w:tcBorders>
            <w:tcMar>
              <w:left w:w="57" w:type="dxa"/>
              <w:right w:w="28" w:type="dxa"/>
            </w:tcMar>
          </w:tcPr>
          <w:p w14:paraId="280C6E82"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Gastos de apoyo para el Organismo de Ejecución Cooperante ($EUA)</w:t>
            </w:r>
          </w:p>
        </w:tc>
        <w:tc>
          <w:tcPr>
            <w:tcW w:w="188" w:type="pct"/>
            <w:tcBorders>
              <w:top w:val="nil"/>
              <w:left w:val="nil"/>
              <w:bottom w:val="single" w:sz="4" w:space="0" w:color="auto"/>
              <w:right w:val="single" w:sz="4" w:space="0" w:color="auto"/>
            </w:tcBorders>
            <w:tcMar>
              <w:left w:w="57" w:type="dxa"/>
              <w:right w:w="85" w:type="dxa"/>
            </w:tcMar>
          </w:tcPr>
          <w:p w14:paraId="7FF8392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3.900</w:t>
            </w:r>
          </w:p>
        </w:tc>
        <w:tc>
          <w:tcPr>
            <w:tcW w:w="255" w:type="pct"/>
            <w:tcBorders>
              <w:top w:val="nil"/>
              <w:left w:val="nil"/>
              <w:bottom w:val="single" w:sz="4" w:space="0" w:color="auto"/>
              <w:right w:val="single" w:sz="4" w:space="0" w:color="auto"/>
            </w:tcBorders>
            <w:tcMar>
              <w:left w:w="57" w:type="dxa"/>
              <w:right w:w="85" w:type="dxa"/>
            </w:tcMar>
          </w:tcPr>
          <w:p w14:paraId="70B59BC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tcMar>
              <w:left w:w="57" w:type="dxa"/>
              <w:right w:w="85" w:type="dxa"/>
            </w:tcMar>
          </w:tcPr>
          <w:p w14:paraId="02252E6F"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2 600</w:t>
            </w:r>
          </w:p>
        </w:tc>
        <w:tc>
          <w:tcPr>
            <w:tcW w:w="278" w:type="pct"/>
            <w:tcBorders>
              <w:top w:val="nil"/>
              <w:left w:val="nil"/>
              <w:bottom w:val="single" w:sz="4" w:space="0" w:color="auto"/>
              <w:right w:val="single" w:sz="4" w:space="0" w:color="auto"/>
            </w:tcBorders>
            <w:tcMar>
              <w:left w:w="57" w:type="dxa"/>
              <w:right w:w="85" w:type="dxa"/>
            </w:tcMar>
          </w:tcPr>
          <w:p w14:paraId="6772FA6A"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tcMar>
              <w:left w:w="57" w:type="dxa"/>
              <w:right w:w="85" w:type="dxa"/>
            </w:tcMar>
          </w:tcPr>
          <w:p w14:paraId="40FDA72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tcMar>
              <w:left w:w="57" w:type="dxa"/>
              <w:right w:w="85" w:type="dxa"/>
            </w:tcMar>
          </w:tcPr>
          <w:p w14:paraId="5E024A3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3.900</w:t>
            </w:r>
          </w:p>
        </w:tc>
        <w:tc>
          <w:tcPr>
            <w:tcW w:w="278" w:type="pct"/>
            <w:tcBorders>
              <w:top w:val="nil"/>
              <w:left w:val="nil"/>
              <w:bottom w:val="single" w:sz="4" w:space="0" w:color="auto"/>
              <w:right w:val="single" w:sz="4" w:space="0" w:color="auto"/>
            </w:tcBorders>
            <w:tcMar>
              <w:left w:w="57" w:type="dxa"/>
              <w:right w:w="85" w:type="dxa"/>
            </w:tcMar>
          </w:tcPr>
          <w:p w14:paraId="18E567D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33CE3AE4"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3.250</w:t>
            </w:r>
          </w:p>
        </w:tc>
        <w:tc>
          <w:tcPr>
            <w:tcW w:w="278" w:type="pct"/>
            <w:tcBorders>
              <w:top w:val="nil"/>
              <w:left w:val="nil"/>
              <w:bottom w:val="single" w:sz="4" w:space="0" w:color="auto"/>
              <w:right w:val="single" w:sz="4" w:space="0" w:color="auto"/>
            </w:tcBorders>
            <w:tcMar>
              <w:left w:w="57" w:type="dxa"/>
              <w:right w:w="85" w:type="dxa"/>
            </w:tcMar>
          </w:tcPr>
          <w:p w14:paraId="09B5F9C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253AE1B7"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**0</w:t>
            </w:r>
          </w:p>
        </w:tc>
        <w:tc>
          <w:tcPr>
            <w:tcW w:w="438" w:type="pct"/>
            <w:tcBorders>
              <w:top w:val="nil"/>
              <w:left w:val="nil"/>
              <w:bottom w:val="single" w:sz="4" w:space="0" w:color="auto"/>
              <w:right w:val="single" w:sz="4" w:space="0" w:color="auto"/>
            </w:tcBorders>
            <w:tcMar>
              <w:left w:w="57" w:type="dxa"/>
              <w:right w:w="85" w:type="dxa"/>
            </w:tcMar>
          </w:tcPr>
          <w:p w14:paraId="5EF1EE57"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13.650</w:t>
            </w:r>
          </w:p>
        </w:tc>
      </w:tr>
      <w:tr w:rsidR="003D5B9C" w:rsidRPr="00A30BA2" w14:paraId="1F17E7CC" w14:textId="77777777" w:rsidTr="00305D02">
        <w:trPr>
          <w:trHeight w:val="88"/>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0576E0E0"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3.1</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3C9DA36E" w14:textId="77777777" w:rsidR="003D5B9C" w:rsidRPr="00A30BA2" w:rsidRDefault="003D5B9C" w:rsidP="00305D02">
            <w:pPr>
              <w:keepNext/>
              <w:keepLines/>
              <w:suppressAutoHyphens/>
              <w:jc w:val="left"/>
              <w:rPr>
                <w:rFonts w:eastAsia="SimSun"/>
                <w:color w:val="000000"/>
                <w:sz w:val="18"/>
                <w:szCs w:val="16"/>
              </w:rPr>
            </w:pPr>
            <w:proofErr w:type="spellStart"/>
            <w:r w:rsidRPr="00A30BA2">
              <w:rPr>
                <w:color w:val="000000"/>
                <w:sz w:val="18"/>
                <w:szCs w:val="16"/>
              </w:rPr>
              <w:t>Financiación</w:t>
            </w:r>
            <w:proofErr w:type="spellEnd"/>
            <w:r w:rsidRPr="00A30BA2">
              <w:rPr>
                <w:color w:val="000000"/>
                <w:sz w:val="18"/>
                <w:szCs w:val="16"/>
              </w:rPr>
              <w:t xml:space="preserve"> </w:t>
            </w:r>
            <w:proofErr w:type="spellStart"/>
            <w:r w:rsidRPr="00A30BA2">
              <w:rPr>
                <w:color w:val="000000"/>
                <w:sz w:val="18"/>
                <w:szCs w:val="16"/>
              </w:rPr>
              <w:t>acordada</w:t>
            </w:r>
            <w:proofErr w:type="spellEnd"/>
            <w:r w:rsidRPr="00A30BA2">
              <w:rPr>
                <w:color w:val="000000"/>
                <w:sz w:val="18"/>
                <w:szCs w:val="16"/>
              </w:rPr>
              <w:t xml:space="preserve"> total ($EUA)</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06938A52"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1.561.940</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652E2E66"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37B6EB4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106.500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F6BDB2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7C440E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6EFA21E6"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116.500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CF361CE"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6FFBC904"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543.219</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95B8C99"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382DA405"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65.000</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49FA36DF"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2.393.159</w:t>
            </w:r>
          </w:p>
        </w:tc>
      </w:tr>
      <w:tr w:rsidR="003D5B9C" w:rsidRPr="00A30BA2" w14:paraId="25FE3F64" w14:textId="77777777" w:rsidTr="00305D02">
        <w:trPr>
          <w:trHeight w:val="291"/>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73244E54"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3.2</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52DDE8D2"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Total gastos de apoyo ($EUA)</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2639A75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118.796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0CD49EE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53E0BA8A"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9.088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F6129EE"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D927B94"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779BE129"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10.387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3219E099"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25CA2D6B"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39.957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83D218F"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3C3D53ED"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4.825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17C970EF"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183.053</w:t>
            </w:r>
          </w:p>
        </w:tc>
      </w:tr>
      <w:tr w:rsidR="003D5B9C" w:rsidRPr="00A30BA2" w14:paraId="304D2F5D" w14:textId="77777777" w:rsidTr="00305D02">
        <w:trPr>
          <w:trHeight w:val="280"/>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25D2AC82"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3.3</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1E30AE27" w14:textId="77777777" w:rsidR="003D5B9C" w:rsidRPr="00A30BA2" w:rsidRDefault="003D5B9C" w:rsidP="00305D02">
            <w:pPr>
              <w:keepNext/>
              <w:keepLines/>
              <w:suppressAutoHyphens/>
              <w:jc w:val="left"/>
              <w:rPr>
                <w:rFonts w:eastAsia="SimSun"/>
                <w:color w:val="000000"/>
                <w:sz w:val="18"/>
                <w:szCs w:val="16"/>
              </w:rPr>
            </w:pPr>
            <w:proofErr w:type="spellStart"/>
            <w:r w:rsidRPr="00A30BA2">
              <w:rPr>
                <w:color w:val="000000"/>
                <w:sz w:val="18"/>
                <w:szCs w:val="16"/>
              </w:rPr>
              <w:t>Gastos</w:t>
            </w:r>
            <w:proofErr w:type="spellEnd"/>
            <w:r w:rsidRPr="00A30BA2">
              <w:rPr>
                <w:color w:val="000000"/>
                <w:sz w:val="18"/>
                <w:szCs w:val="16"/>
              </w:rPr>
              <w:t xml:space="preserve"> </w:t>
            </w:r>
            <w:proofErr w:type="spellStart"/>
            <w:r w:rsidRPr="00A30BA2">
              <w:rPr>
                <w:color w:val="000000"/>
                <w:sz w:val="18"/>
                <w:szCs w:val="16"/>
              </w:rPr>
              <w:t>acordados</w:t>
            </w:r>
            <w:proofErr w:type="spellEnd"/>
            <w:r w:rsidRPr="00A30BA2">
              <w:rPr>
                <w:color w:val="000000"/>
                <w:sz w:val="18"/>
                <w:szCs w:val="16"/>
              </w:rPr>
              <w:t xml:space="preserve"> </w:t>
            </w:r>
            <w:proofErr w:type="spellStart"/>
            <w:r w:rsidRPr="00A30BA2">
              <w:rPr>
                <w:color w:val="000000"/>
                <w:sz w:val="18"/>
                <w:szCs w:val="16"/>
              </w:rPr>
              <w:t>totales</w:t>
            </w:r>
            <w:proofErr w:type="spellEnd"/>
            <w:r w:rsidRPr="00A30BA2">
              <w:rPr>
                <w:color w:val="000000"/>
                <w:sz w:val="18"/>
                <w:szCs w:val="16"/>
              </w:rPr>
              <w:t xml:space="preserve"> ($EUA)</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4C95C71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1.680.736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29047F2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2C8F9A72"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115.588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C24CAA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A7E3357"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66847AE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126.887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36CCCA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7FF34A53"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583.176</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33774C70"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02BC28F4"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69.825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077BB7F7" w14:textId="77777777" w:rsidR="003D5B9C" w:rsidRPr="00A30BA2" w:rsidRDefault="003D5B9C" w:rsidP="00305D02">
            <w:pPr>
              <w:keepNext/>
              <w:keepLines/>
              <w:suppressAutoHyphens/>
              <w:jc w:val="right"/>
              <w:rPr>
                <w:rFonts w:eastAsia="SimSun"/>
                <w:b/>
                <w:color w:val="000000"/>
                <w:sz w:val="18"/>
                <w:szCs w:val="16"/>
              </w:rPr>
            </w:pPr>
            <w:r w:rsidRPr="00A30BA2">
              <w:rPr>
                <w:b/>
                <w:color w:val="000000"/>
                <w:sz w:val="18"/>
                <w:szCs w:val="16"/>
              </w:rPr>
              <w:t>2.576.212</w:t>
            </w:r>
          </w:p>
        </w:tc>
      </w:tr>
      <w:tr w:rsidR="003D5B9C" w:rsidRPr="00A30BA2" w14:paraId="2DB1185F"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1C1EC8D6"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4.1.1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640B7DF6"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Objetivo de eliminación total de HCFC</w:t>
            </w:r>
            <w:r w:rsidRPr="003D5B9C">
              <w:rPr>
                <w:color w:val="000000"/>
                <w:sz w:val="18"/>
                <w:szCs w:val="16"/>
                <w:lang w:val="es-419"/>
              </w:rPr>
              <w:noBreakHyphen/>
              <w:t>22 convenido en el presente acuerdo (toneladas PAO)</w:t>
            </w:r>
          </w:p>
        </w:tc>
        <w:tc>
          <w:tcPr>
            <w:tcW w:w="438" w:type="pct"/>
            <w:tcBorders>
              <w:top w:val="single" w:sz="4" w:space="0" w:color="auto"/>
              <w:left w:val="nil"/>
              <w:bottom w:val="single" w:sz="4" w:space="0" w:color="auto"/>
              <w:right w:val="single" w:sz="4" w:space="0" w:color="auto"/>
            </w:tcBorders>
            <w:vAlign w:val="bottom"/>
          </w:tcPr>
          <w:p w14:paraId="27EC421D"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7,36</w:t>
            </w:r>
          </w:p>
        </w:tc>
      </w:tr>
      <w:tr w:rsidR="003D5B9C" w:rsidRPr="00A30BA2" w14:paraId="0919495F" w14:textId="77777777" w:rsidTr="00305D02">
        <w:trPr>
          <w:trHeight w:val="210"/>
        </w:trPr>
        <w:tc>
          <w:tcPr>
            <w:tcW w:w="267" w:type="pct"/>
            <w:tcBorders>
              <w:top w:val="nil"/>
              <w:left w:val="single" w:sz="4" w:space="0" w:color="auto"/>
              <w:bottom w:val="single" w:sz="4" w:space="0" w:color="auto"/>
              <w:right w:val="single" w:sz="4" w:space="0" w:color="auto"/>
            </w:tcBorders>
            <w:noWrap/>
            <w:tcMar>
              <w:left w:w="57" w:type="dxa"/>
            </w:tcMar>
            <w:vAlign w:val="bottom"/>
          </w:tcPr>
          <w:p w14:paraId="7E00B313"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4.1.2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7BE2D370"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Objetivo de eliminación de HCFC</w:t>
            </w:r>
            <w:r w:rsidRPr="003D5B9C">
              <w:rPr>
                <w:color w:val="000000"/>
                <w:sz w:val="18"/>
                <w:szCs w:val="16"/>
                <w:lang w:val="es-419"/>
              </w:rPr>
              <w:noBreakHyphen/>
              <w:t>22 de proyectos aprobados anteriormente (toneladas PAO)</w:t>
            </w:r>
          </w:p>
        </w:tc>
        <w:tc>
          <w:tcPr>
            <w:tcW w:w="438" w:type="pct"/>
            <w:tcBorders>
              <w:top w:val="nil"/>
              <w:left w:val="nil"/>
              <w:bottom w:val="single" w:sz="4" w:space="0" w:color="auto"/>
              <w:right w:val="single" w:sz="4" w:space="0" w:color="auto"/>
            </w:tcBorders>
            <w:vAlign w:val="bottom"/>
          </w:tcPr>
          <w:p w14:paraId="47D6737C"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n/a</w:t>
            </w:r>
          </w:p>
        </w:tc>
      </w:tr>
      <w:tr w:rsidR="003D5B9C" w:rsidRPr="00A30BA2" w14:paraId="63D25DF6" w14:textId="77777777" w:rsidTr="00305D02">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2A207583"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4.1.3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A48FEAD" w14:textId="77777777" w:rsidR="003D5B9C" w:rsidRPr="003D5B9C" w:rsidRDefault="003D5B9C" w:rsidP="00305D02">
            <w:pPr>
              <w:keepNext/>
              <w:keepLines/>
              <w:suppressAutoHyphens/>
              <w:jc w:val="left"/>
              <w:rPr>
                <w:rFonts w:eastAsia="SimSun"/>
                <w:bCs/>
                <w:color w:val="000000"/>
                <w:sz w:val="18"/>
                <w:szCs w:val="16"/>
                <w:lang w:val="es-419"/>
              </w:rPr>
            </w:pPr>
            <w:r w:rsidRPr="003D5B9C">
              <w:rPr>
                <w:bCs/>
                <w:color w:val="000000"/>
                <w:sz w:val="18"/>
                <w:szCs w:val="16"/>
                <w:lang w:val="es-419"/>
              </w:rPr>
              <w:t>Consumo admisible remanente de HCFC</w:t>
            </w:r>
            <w:r w:rsidRPr="003D5B9C">
              <w:rPr>
                <w:bCs/>
                <w:color w:val="000000"/>
                <w:sz w:val="18"/>
                <w:szCs w:val="16"/>
                <w:lang w:val="es-419"/>
              </w:rPr>
              <w:noBreakHyphen/>
              <w:t>22 (toneladas PAO)</w:t>
            </w:r>
          </w:p>
        </w:tc>
        <w:tc>
          <w:tcPr>
            <w:tcW w:w="438" w:type="pct"/>
            <w:tcBorders>
              <w:top w:val="nil"/>
              <w:left w:val="nil"/>
              <w:bottom w:val="single" w:sz="4" w:space="0" w:color="auto"/>
              <w:right w:val="single" w:sz="4" w:space="0" w:color="auto"/>
            </w:tcBorders>
            <w:vAlign w:val="bottom"/>
          </w:tcPr>
          <w:p w14:paraId="1D5F15C1"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13,66</w:t>
            </w:r>
          </w:p>
        </w:tc>
      </w:tr>
      <w:tr w:rsidR="003D5B9C" w:rsidRPr="00A30BA2" w14:paraId="63A1939F" w14:textId="77777777" w:rsidTr="00305D02">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186B7FD6"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4.2.1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6F13E392"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Objetivo de eliminación total de HCFC</w:t>
            </w:r>
            <w:r w:rsidRPr="003D5B9C">
              <w:rPr>
                <w:color w:val="000000"/>
                <w:sz w:val="18"/>
                <w:szCs w:val="16"/>
                <w:lang w:val="es-419"/>
              </w:rPr>
              <w:noBreakHyphen/>
              <w:t>141b convenido en el presente acuerdo (toneladas PAO)</w:t>
            </w:r>
          </w:p>
        </w:tc>
        <w:tc>
          <w:tcPr>
            <w:tcW w:w="438" w:type="pct"/>
            <w:tcBorders>
              <w:top w:val="nil"/>
              <w:left w:val="nil"/>
              <w:bottom w:val="single" w:sz="4" w:space="0" w:color="auto"/>
              <w:right w:val="single" w:sz="4" w:space="0" w:color="auto"/>
            </w:tcBorders>
            <w:vAlign w:val="bottom"/>
          </w:tcPr>
          <w:p w14:paraId="690E4608"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0,86</w:t>
            </w:r>
          </w:p>
        </w:tc>
      </w:tr>
      <w:tr w:rsidR="003D5B9C" w:rsidRPr="00A30BA2" w14:paraId="2783AC24" w14:textId="77777777" w:rsidTr="00305D02">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48A9181F"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4.2.2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A0F438B"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Objetivo de eliminación total de HCFC</w:t>
            </w:r>
            <w:r w:rsidRPr="003D5B9C">
              <w:rPr>
                <w:color w:val="000000"/>
                <w:sz w:val="18"/>
                <w:szCs w:val="16"/>
                <w:lang w:val="es-419"/>
              </w:rPr>
              <w:noBreakHyphen/>
              <w:t>141b de proyectos aprobados anteriormente (toneladas PAO)</w:t>
            </w:r>
          </w:p>
        </w:tc>
        <w:tc>
          <w:tcPr>
            <w:tcW w:w="438" w:type="pct"/>
            <w:tcBorders>
              <w:top w:val="nil"/>
              <w:left w:val="nil"/>
              <w:bottom w:val="single" w:sz="4" w:space="0" w:color="auto"/>
              <w:right w:val="single" w:sz="4" w:space="0" w:color="auto"/>
            </w:tcBorders>
            <w:vAlign w:val="bottom"/>
          </w:tcPr>
          <w:p w14:paraId="569EDCA6"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n/a</w:t>
            </w:r>
          </w:p>
        </w:tc>
      </w:tr>
      <w:tr w:rsidR="003D5B9C" w:rsidRPr="00A30BA2" w14:paraId="3C0B2EED" w14:textId="77777777" w:rsidTr="00305D02">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016FA0C5"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4.2.3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277682E" w14:textId="77777777" w:rsidR="003D5B9C" w:rsidRPr="003D5B9C" w:rsidRDefault="003D5B9C" w:rsidP="00305D02">
            <w:pPr>
              <w:keepNext/>
              <w:keepLines/>
              <w:suppressAutoHyphens/>
              <w:jc w:val="left"/>
              <w:rPr>
                <w:rFonts w:eastAsia="SimSun"/>
                <w:bCs/>
                <w:color w:val="000000"/>
                <w:sz w:val="18"/>
                <w:szCs w:val="16"/>
                <w:lang w:val="es-419"/>
              </w:rPr>
            </w:pPr>
            <w:r w:rsidRPr="003D5B9C">
              <w:rPr>
                <w:bCs/>
                <w:color w:val="000000"/>
                <w:sz w:val="18"/>
                <w:szCs w:val="16"/>
                <w:lang w:val="es-419"/>
              </w:rPr>
              <w:t>Consumo admisible remanente de HCFC-141b (toneladas PAO)</w:t>
            </w:r>
          </w:p>
        </w:tc>
        <w:tc>
          <w:tcPr>
            <w:tcW w:w="438" w:type="pct"/>
            <w:tcBorders>
              <w:top w:val="nil"/>
              <w:left w:val="nil"/>
              <w:bottom w:val="single" w:sz="4" w:space="0" w:color="auto"/>
              <w:right w:val="single" w:sz="4" w:space="0" w:color="auto"/>
            </w:tcBorders>
            <w:vAlign w:val="bottom"/>
          </w:tcPr>
          <w:p w14:paraId="29E4728C"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0,00</w:t>
            </w:r>
          </w:p>
        </w:tc>
      </w:tr>
      <w:tr w:rsidR="003D5B9C" w:rsidRPr="00A30BA2" w14:paraId="793837B6" w14:textId="77777777" w:rsidTr="00305D02">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141415ED"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4.3.1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6199DC65"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Objetivo de eliminación total convenido de HCFC</w:t>
            </w:r>
            <w:r w:rsidRPr="003D5B9C">
              <w:rPr>
                <w:color w:val="000000"/>
                <w:sz w:val="18"/>
                <w:szCs w:val="16"/>
                <w:lang w:val="es-419"/>
              </w:rPr>
              <w:noBreakHyphen/>
              <w:t>123 conforme a este acuerdo (toneladas PAO)</w:t>
            </w:r>
          </w:p>
        </w:tc>
        <w:tc>
          <w:tcPr>
            <w:tcW w:w="438" w:type="pct"/>
            <w:tcBorders>
              <w:top w:val="nil"/>
              <w:left w:val="nil"/>
              <w:bottom w:val="single" w:sz="4" w:space="0" w:color="auto"/>
              <w:right w:val="single" w:sz="4" w:space="0" w:color="auto"/>
            </w:tcBorders>
            <w:vAlign w:val="bottom"/>
          </w:tcPr>
          <w:p w14:paraId="66A8EA7A"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0,00</w:t>
            </w:r>
          </w:p>
        </w:tc>
      </w:tr>
      <w:tr w:rsidR="003D5B9C" w:rsidRPr="00A30BA2" w14:paraId="4F9B303D" w14:textId="77777777" w:rsidTr="00305D02">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7CBE48CF" w14:textId="77777777" w:rsidR="003D5B9C" w:rsidRPr="00A30BA2" w:rsidRDefault="003D5B9C" w:rsidP="00305D02">
            <w:pPr>
              <w:keepNext/>
              <w:keepLines/>
              <w:suppressAutoHyphens/>
              <w:jc w:val="left"/>
              <w:rPr>
                <w:rFonts w:eastAsia="SimSun"/>
                <w:color w:val="000000"/>
                <w:sz w:val="18"/>
                <w:szCs w:val="16"/>
              </w:rPr>
            </w:pPr>
            <w:r w:rsidRPr="00A30BA2">
              <w:rPr>
                <w:color w:val="000000"/>
                <w:sz w:val="18"/>
                <w:szCs w:val="16"/>
              </w:rPr>
              <w:t>4.3.2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2AFC2B9B" w14:textId="77777777" w:rsidR="003D5B9C" w:rsidRPr="003D5B9C" w:rsidRDefault="003D5B9C" w:rsidP="00305D02">
            <w:pPr>
              <w:keepNext/>
              <w:keepLines/>
              <w:suppressAutoHyphens/>
              <w:jc w:val="left"/>
              <w:rPr>
                <w:rFonts w:eastAsia="SimSun"/>
                <w:color w:val="000000"/>
                <w:sz w:val="18"/>
                <w:szCs w:val="16"/>
                <w:lang w:val="es-419"/>
              </w:rPr>
            </w:pPr>
            <w:r w:rsidRPr="003D5B9C">
              <w:rPr>
                <w:color w:val="000000"/>
                <w:sz w:val="18"/>
                <w:szCs w:val="16"/>
                <w:lang w:val="es-419"/>
              </w:rPr>
              <w:t>Objetivo de eliminación de HCFC</w:t>
            </w:r>
            <w:r w:rsidRPr="003D5B9C">
              <w:rPr>
                <w:color w:val="000000"/>
                <w:sz w:val="18"/>
                <w:szCs w:val="16"/>
                <w:lang w:val="es-419"/>
              </w:rPr>
              <w:noBreakHyphen/>
              <w:t>123 de proyectos aprobados anteriormente (toneladas PAO)</w:t>
            </w:r>
          </w:p>
        </w:tc>
        <w:tc>
          <w:tcPr>
            <w:tcW w:w="438" w:type="pct"/>
            <w:tcBorders>
              <w:top w:val="nil"/>
              <w:left w:val="nil"/>
              <w:bottom w:val="single" w:sz="4" w:space="0" w:color="auto"/>
              <w:right w:val="single" w:sz="4" w:space="0" w:color="auto"/>
            </w:tcBorders>
            <w:vAlign w:val="bottom"/>
          </w:tcPr>
          <w:p w14:paraId="27219D45" w14:textId="77777777" w:rsidR="003D5B9C" w:rsidRPr="00A30BA2" w:rsidRDefault="003D5B9C" w:rsidP="00305D02">
            <w:pPr>
              <w:keepNext/>
              <w:keepLines/>
              <w:suppressAutoHyphens/>
              <w:jc w:val="right"/>
              <w:rPr>
                <w:rFonts w:eastAsia="SimSun"/>
                <w:color w:val="000000"/>
                <w:sz w:val="18"/>
                <w:szCs w:val="16"/>
              </w:rPr>
            </w:pPr>
            <w:r w:rsidRPr="00A30BA2">
              <w:rPr>
                <w:color w:val="000000"/>
                <w:sz w:val="18"/>
                <w:szCs w:val="16"/>
              </w:rPr>
              <w:t>n/a</w:t>
            </w:r>
          </w:p>
        </w:tc>
      </w:tr>
      <w:tr w:rsidR="003D5B9C" w:rsidRPr="00A30BA2" w14:paraId="2C4E6681"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0F967BA4"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4.3.3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B11F023" w14:textId="77777777" w:rsidR="003D5B9C" w:rsidRPr="003D5B9C" w:rsidRDefault="003D5B9C" w:rsidP="00305D02">
            <w:pPr>
              <w:suppressAutoHyphens/>
              <w:jc w:val="left"/>
              <w:rPr>
                <w:rFonts w:eastAsia="SimSun"/>
                <w:bCs/>
                <w:color w:val="000000"/>
                <w:sz w:val="18"/>
                <w:szCs w:val="16"/>
                <w:lang w:val="es-419"/>
              </w:rPr>
            </w:pPr>
            <w:r w:rsidRPr="003D5B9C">
              <w:rPr>
                <w:bCs/>
                <w:color w:val="000000"/>
                <w:sz w:val="18"/>
                <w:szCs w:val="16"/>
                <w:lang w:val="es-419"/>
              </w:rPr>
              <w:t>Consumo admisible remanente de HCFC</w:t>
            </w:r>
            <w:r w:rsidRPr="003D5B9C">
              <w:rPr>
                <w:bCs/>
                <w:color w:val="000000"/>
                <w:sz w:val="18"/>
                <w:szCs w:val="16"/>
                <w:lang w:val="es-419"/>
              </w:rPr>
              <w:noBreakHyphen/>
              <w:t>123 (toneladas PAO)</w:t>
            </w:r>
          </w:p>
        </w:tc>
        <w:tc>
          <w:tcPr>
            <w:tcW w:w="438" w:type="pct"/>
            <w:tcBorders>
              <w:top w:val="single" w:sz="4" w:space="0" w:color="auto"/>
              <w:left w:val="nil"/>
              <w:bottom w:val="single" w:sz="4" w:space="0" w:color="auto"/>
              <w:right w:val="single" w:sz="4" w:space="0" w:color="auto"/>
            </w:tcBorders>
            <w:vAlign w:val="bottom"/>
          </w:tcPr>
          <w:p w14:paraId="1A3632FA"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0,18</w:t>
            </w:r>
          </w:p>
        </w:tc>
      </w:tr>
      <w:tr w:rsidR="003D5B9C" w:rsidRPr="00A30BA2" w14:paraId="6A5E2369" w14:textId="77777777" w:rsidTr="00305D02">
        <w:trPr>
          <w:trHeight w:val="210"/>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56BF39DB"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4.4.1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11B5BFB" w14:textId="77777777" w:rsidR="003D5B9C" w:rsidRPr="003D5B9C" w:rsidRDefault="003D5B9C" w:rsidP="00305D02">
            <w:pPr>
              <w:suppressAutoHyphens/>
              <w:jc w:val="left"/>
              <w:rPr>
                <w:rFonts w:eastAsia="SimSun"/>
                <w:color w:val="000000"/>
                <w:sz w:val="18"/>
                <w:szCs w:val="16"/>
                <w:lang w:val="es-419"/>
              </w:rPr>
            </w:pPr>
            <w:r w:rsidRPr="003D5B9C">
              <w:rPr>
                <w:color w:val="000000"/>
                <w:sz w:val="18"/>
                <w:szCs w:val="16"/>
                <w:lang w:val="es-419"/>
              </w:rPr>
              <w:t>Objetivo de eliminación total de HCFC</w:t>
            </w:r>
            <w:r w:rsidRPr="003D5B9C">
              <w:rPr>
                <w:color w:val="000000"/>
                <w:sz w:val="18"/>
                <w:szCs w:val="16"/>
                <w:lang w:val="es-419"/>
              </w:rPr>
              <w:noBreakHyphen/>
              <w:t>142b convenido en el presente acuerdo (toneladas PAO)</w:t>
            </w:r>
          </w:p>
        </w:tc>
        <w:tc>
          <w:tcPr>
            <w:tcW w:w="438" w:type="pct"/>
            <w:tcBorders>
              <w:top w:val="single" w:sz="4" w:space="0" w:color="auto"/>
              <w:left w:val="nil"/>
              <w:bottom w:val="single" w:sz="4" w:space="0" w:color="auto"/>
              <w:right w:val="single" w:sz="4" w:space="0" w:color="auto"/>
            </w:tcBorders>
            <w:vAlign w:val="bottom"/>
          </w:tcPr>
          <w:p w14:paraId="11A4625C"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0,00</w:t>
            </w:r>
          </w:p>
        </w:tc>
      </w:tr>
      <w:tr w:rsidR="003D5B9C" w:rsidRPr="00A30BA2" w14:paraId="766D5529"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38815D22"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4.4.2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55DEA563" w14:textId="77777777" w:rsidR="003D5B9C" w:rsidRPr="003D5B9C" w:rsidRDefault="003D5B9C" w:rsidP="00305D02">
            <w:pPr>
              <w:suppressAutoHyphens/>
              <w:jc w:val="left"/>
              <w:rPr>
                <w:rFonts w:eastAsia="SimSun"/>
                <w:color w:val="000000"/>
                <w:sz w:val="18"/>
                <w:szCs w:val="16"/>
                <w:lang w:val="es-419"/>
              </w:rPr>
            </w:pPr>
            <w:r w:rsidRPr="003D5B9C">
              <w:rPr>
                <w:color w:val="000000"/>
                <w:sz w:val="18"/>
                <w:szCs w:val="16"/>
                <w:lang w:val="es-419"/>
              </w:rPr>
              <w:t>Objetivo de eliminación total de HCFC</w:t>
            </w:r>
            <w:r w:rsidRPr="003D5B9C">
              <w:rPr>
                <w:color w:val="000000"/>
                <w:sz w:val="18"/>
                <w:szCs w:val="16"/>
                <w:lang w:val="es-419"/>
              </w:rPr>
              <w:noBreakHyphen/>
              <w:t>142b de proyectos aprobados anteriormente (toneladas PAO)</w:t>
            </w:r>
          </w:p>
        </w:tc>
        <w:tc>
          <w:tcPr>
            <w:tcW w:w="438" w:type="pct"/>
            <w:tcBorders>
              <w:top w:val="single" w:sz="4" w:space="0" w:color="auto"/>
              <w:left w:val="nil"/>
              <w:bottom w:val="single" w:sz="4" w:space="0" w:color="auto"/>
              <w:right w:val="single" w:sz="4" w:space="0" w:color="auto"/>
            </w:tcBorders>
            <w:vAlign w:val="bottom"/>
          </w:tcPr>
          <w:p w14:paraId="597B9E1B"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n/a</w:t>
            </w:r>
          </w:p>
        </w:tc>
      </w:tr>
      <w:tr w:rsidR="003D5B9C" w:rsidRPr="00A30BA2" w14:paraId="58D01CF9"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5B69008D"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4.4.3</w:t>
            </w:r>
          </w:p>
        </w:tc>
        <w:tc>
          <w:tcPr>
            <w:tcW w:w="4296" w:type="pct"/>
            <w:gridSpan w:val="11"/>
            <w:tcBorders>
              <w:top w:val="single" w:sz="4" w:space="0" w:color="auto"/>
              <w:left w:val="single" w:sz="4" w:space="0" w:color="auto"/>
              <w:bottom w:val="single" w:sz="4" w:space="0" w:color="auto"/>
              <w:right w:val="single" w:sz="4" w:space="0" w:color="auto"/>
            </w:tcBorders>
            <w:tcMar>
              <w:left w:w="57" w:type="dxa"/>
            </w:tcMar>
            <w:vAlign w:val="bottom"/>
          </w:tcPr>
          <w:p w14:paraId="66470866" w14:textId="77777777" w:rsidR="003D5B9C" w:rsidRPr="003D5B9C" w:rsidRDefault="003D5B9C" w:rsidP="00305D02">
            <w:pPr>
              <w:suppressAutoHyphens/>
              <w:jc w:val="left"/>
              <w:rPr>
                <w:rFonts w:eastAsia="SimSun"/>
                <w:bCs/>
                <w:color w:val="000000"/>
                <w:sz w:val="18"/>
                <w:szCs w:val="16"/>
                <w:lang w:val="es-419"/>
              </w:rPr>
            </w:pPr>
            <w:r w:rsidRPr="003D5B9C">
              <w:rPr>
                <w:bCs/>
                <w:color w:val="000000"/>
                <w:sz w:val="18"/>
                <w:szCs w:val="16"/>
                <w:lang w:val="es-419"/>
              </w:rPr>
              <w:t>Consumo admisible remanente de HCFC</w:t>
            </w:r>
            <w:r w:rsidRPr="003D5B9C">
              <w:rPr>
                <w:bCs/>
                <w:color w:val="000000"/>
                <w:sz w:val="18"/>
                <w:szCs w:val="16"/>
                <w:lang w:val="es-419"/>
              </w:rPr>
              <w:noBreakHyphen/>
              <w:t>142b (toneladas PAO)</w:t>
            </w:r>
          </w:p>
        </w:tc>
        <w:tc>
          <w:tcPr>
            <w:tcW w:w="438" w:type="pct"/>
            <w:tcBorders>
              <w:top w:val="single" w:sz="4" w:space="0" w:color="auto"/>
              <w:left w:val="single" w:sz="4" w:space="0" w:color="auto"/>
              <w:bottom w:val="single" w:sz="4" w:space="0" w:color="auto"/>
              <w:right w:val="single" w:sz="4" w:space="0" w:color="auto"/>
            </w:tcBorders>
            <w:vAlign w:val="bottom"/>
          </w:tcPr>
          <w:p w14:paraId="4E1A0F77"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1,20</w:t>
            </w:r>
          </w:p>
        </w:tc>
      </w:tr>
      <w:tr w:rsidR="003D5B9C" w:rsidRPr="00A30BA2" w14:paraId="187C284E"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42F46701"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4.5.1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5207671" w14:textId="77777777" w:rsidR="003D5B9C" w:rsidRPr="003D5B9C" w:rsidRDefault="003D5B9C" w:rsidP="00305D02">
            <w:pPr>
              <w:suppressAutoHyphens/>
              <w:jc w:val="left"/>
              <w:rPr>
                <w:rFonts w:eastAsia="SimSun"/>
                <w:color w:val="000000"/>
                <w:sz w:val="18"/>
                <w:szCs w:val="16"/>
                <w:lang w:val="es-419"/>
              </w:rPr>
            </w:pPr>
            <w:r w:rsidRPr="003D5B9C">
              <w:rPr>
                <w:color w:val="000000"/>
                <w:sz w:val="18"/>
                <w:szCs w:val="16"/>
                <w:lang w:val="es-419"/>
              </w:rPr>
              <w:t>Objetivo de eliminación total convenido de HCFC</w:t>
            </w:r>
            <w:r w:rsidRPr="003D5B9C">
              <w:rPr>
                <w:color w:val="000000"/>
                <w:sz w:val="18"/>
                <w:szCs w:val="16"/>
                <w:lang w:val="es-419"/>
              </w:rPr>
              <w:noBreakHyphen/>
              <w:t>124 conforme a este acuerdo (toneladas PAO)</w:t>
            </w:r>
          </w:p>
        </w:tc>
        <w:tc>
          <w:tcPr>
            <w:tcW w:w="438" w:type="pct"/>
            <w:tcBorders>
              <w:top w:val="single" w:sz="4" w:space="0" w:color="auto"/>
              <w:left w:val="nil"/>
              <w:bottom w:val="single" w:sz="4" w:space="0" w:color="auto"/>
              <w:right w:val="single" w:sz="4" w:space="0" w:color="auto"/>
            </w:tcBorders>
            <w:vAlign w:val="bottom"/>
          </w:tcPr>
          <w:p w14:paraId="396CA82A"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0,00</w:t>
            </w:r>
          </w:p>
        </w:tc>
      </w:tr>
      <w:tr w:rsidR="003D5B9C" w:rsidRPr="00A30BA2" w14:paraId="7347375C"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6E22F207"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4.5.2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DABF180" w14:textId="77777777" w:rsidR="003D5B9C" w:rsidRPr="003D5B9C" w:rsidRDefault="003D5B9C" w:rsidP="00305D02">
            <w:pPr>
              <w:suppressAutoHyphens/>
              <w:jc w:val="left"/>
              <w:rPr>
                <w:rFonts w:eastAsia="SimSun"/>
                <w:color w:val="000000"/>
                <w:sz w:val="18"/>
                <w:szCs w:val="16"/>
                <w:lang w:val="es-419"/>
              </w:rPr>
            </w:pPr>
            <w:r w:rsidRPr="003D5B9C">
              <w:rPr>
                <w:color w:val="000000"/>
                <w:sz w:val="18"/>
                <w:szCs w:val="16"/>
                <w:lang w:val="es-419"/>
              </w:rPr>
              <w:t>Objetivo de eliminación de HCFC</w:t>
            </w:r>
            <w:r w:rsidRPr="003D5B9C">
              <w:rPr>
                <w:color w:val="000000"/>
                <w:sz w:val="18"/>
                <w:szCs w:val="16"/>
                <w:lang w:val="es-419"/>
              </w:rPr>
              <w:noBreakHyphen/>
              <w:t>124 de proyectos aprobados anteriormente (toneladas PAO)</w:t>
            </w:r>
          </w:p>
        </w:tc>
        <w:tc>
          <w:tcPr>
            <w:tcW w:w="438" w:type="pct"/>
            <w:tcBorders>
              <w:top w:val="single" w:sz="4" w:space="0" w:color="auto"/>
              <w:left w:val="nil"/>
              <w:bottom w:val="single" w:sz="4" w:space="0" w:color="auto"/>
              <w:right w:val="single" w:sz="4" w:space="0" w:color="auto"/>
            </w:tcBorders>
            <w:vAlign w:val="bottom"/>
          </w:tcPr>
          <w:p w14:paraId="585C982F"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n/a</w:t>
            </w:r>
          </w:p>
        </w:tc>
      </w:tr>
      <w:tr w:rsidR="003D5B9C" w:rsidRPr="00A30BA2" w14:paraId="6E5472E1" w14:textId="77777777" w:rsidTr="00305D02">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0E23C108"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4.5.3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CB10615" w14:textId="77777777" w:rsidR="003D5B9C" w:rsidRPr="003D5B9C" w:rsidRDefault="003D5B9C" w:rsidP="00305D02">
            <w:pPr>
              <w:suppressAutoHyphens/>
              <w:jc w:val="left"/>
              <w:rPr>
                <w:rFonts w:eastAsia="SimSun"/>
                <w:bCs/>
                <w:color w:val="000000"/>
                <w:sz w:val="18"/>
                <w:szCs w:val="16"/>
                <w:lang w:val="es-419"/>
              </w:rPr>
            </w:pPr>
            <w:r w:rsidRPr="003D5B9C">
              <w:rPr>
                <w:bCs/>
                <w:color w:val="000000"/>
                <w:sz w:val="18"/>
                <w:szCs w:val="16"/>
                <w:lang w:val="es-419"/>
              </w:rPr>
              <w:t>Consumo admisible remanente de HCFC</w:t>
            </w:r>
            <w:r w:rsidRPr="003D5B9C">
              <w:rPr>
                <w:bCs/>
                <w:color w:val="000000"/>
                <w:sz w:val="18"/>
                <w:szCs w:val="16"/>
                <w:lang w:val="es-419"/>
              </w:rPr>
              <w:noBreakHyphen/>
              <w:t>124 (toneladas PAO)</w:t>
            </w:r>
          </w:p>
        </w:tc>
        <w:tc>
          <w:tcPr>
            <w:tcW w:w="438" w:type="pct"/>
            <w:tcBorders>
              <w:top w:val="single" w:sz="4" w:space="0" w:color="auto"/>
              <w:left w:val="nil"/>
              <w:bottom w:val="single" w:sz="4" w:space="0" w:color="auto"/>
              <w:right w:val="single" w:sz="4" w:space="0" w:color="auto"/>
            </w:tcBorders>
            <w:vAlign w:val="bottom"/>
          </w:tcPr>
          <w:p w14:paraId="7E43139D"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0,22</w:t>
            </w:r>
          </w:p>
        </w:tc>
      </w:tr>
      <w:tr w:rsidR="003D5B9C" w:rsidRPr="00A30BA2" w14:paraId="5643BC78" w14:textId="77777777" w:rsidTr="00305D02">
        <w:trPr>
          <w:trHeight w:val="13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38C823E4"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lastRenderedPageBreak/>
              <w:t>4.6.1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7115A8EF" w14:textId="77777777" w:rsidR="003D5B9C" w:rsidRPr="003D5B9C" w:rsidRDefault="003D5B9C" w:rsidP="00305D02">
            <w:pPr>
              <w:suppressAutoHyphens/>
              <w:jc w:val="left"/>
              <w:rPr>
                <w:rFonts w:eastAsia="SimSun"/>
                <w:color w:val="000000"/>
                <w:sz w:val="18"/>
                <w:szCs w:val="16"/>
                <w:lang w:val="es-419"/>
              </w:rPr>
            </w:pPr>
            <w:r w:rsidRPr="003D5B9C">
              <w:rPr>
                <w:color w:val="000000"/>
                <w:sz w:val="18"/>
                <w:szCs w:val="16"/>
                <w:lang w:val="es-419"/>
              </w:rPr>
              <w:t>Objetivo de eliminación total convenido de HCFC</w:t>
            </w:r>
            <w:r w:rsidRPr="003D5B9C">
              <w:rPr>
                <w:color w:val="000000"/>
                <w:sz w:val="18"/>
                <w:szCs w:val="16"/>
                <w:lang w:val="es-419"/>
              </w:rPr>
              <w:noBreakHyphen/>
              <w:t xml:space="preserve">141b en los </w:t>
            </w:r>
            <w:proofErr w:type="spellStart"/>
            <w:r w:rsidRPr="003D5B9C">
              <w:rPr>
                <w:color w:val="000000"/>
                <w:sz w:val="18"/>
                <w:szCs w:val="16"/>
                <w:lang w:val="es-419"/>
              </w:rPr>
              <w:t>polioles</w:t>
            </w:r>
            <w:proofErr w:type="spellEnd"/>
            <w:r w:rsidRPr="003D5B9C">
              <w:rPr>
                <w:color w:val="000000"/>
                <w:sz w:val="18"/>
                <w:szCs w:val="16"/>
                <w:lang w:val="es-419"/>
              </w:rPr>
              <w:t xml:space="preserve"> premezclados conforme a este acuerdo (toneladas PAO)</w:t>
            </w:r>
          </w:p>
        </w:tc>
        <w:tc>
          <w:tcPr>
            <w:tcW w:w="438" w:type="pct"/>
            <w:tcBorders>
              <w:top w:val="single" w:sz="4" w:space="0" w:color="auto"/>
              <w:left w:val="nil"/>
              <w:bottom w:val="single" w:sz="4" w:space="0" w:color="auto"/>
              <w:right w:val="single" w:sz="4" w:space="0" w:color="auto"/>
            </w:tcBorders>
            <w:vAlign w:val="bottom"/>
          </w:tcPr>
          <w:p w14:paraId="66FEC11F"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19,81</w:t>
            </w:r>
          </w:p>
        </w:tc>
      </w:tr>
      <w:tr w:rsidR="003D5B9C" w:rsidRPr="00A30BA2" w14:paraId="71038533" w14:textId="77777777" w:rsidTr="00305D02">
        <w:trPr>
          <w:trHeight w:val="207"/>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7FA22B3F"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4.6.2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B62000F" w14:textId="77777777" w:rsidR="003D5B9C" w:rsidRPr="003D5B9C" w:rsidRDefault="003D5B9C" w:rsidP="00305D02">
            <w:pPr>
              <w:suppressAutoHyphens/>
              <w:jc w:val="left"/>
              <w:rPr>
                <w:rFonts w:eastAsia="SimSun"/>
                <w:color w:val="000000"/>
                <w:sz w:val="18"/>
                <w:szCs w:val="16"/>
                <w:lang w:val="es-419"/>
              </w:rPr>
            </w:pPr>
            <w:r w:rsidRPr="003D5B9C">
              <w:rPr>
                <w:color w:val="000000"/>
                <w:sz w:val="18"/>
                <w:szCs w:val="16"/>
                <w:lang w:val="es-419"/>
              </w:rPr>
              <w:t>Objetivo de eliminación de HCFC</w:t>
            </w:r>
            <w:r w:rsidRPr="003D5B9C">
              <w:rPr>
                <w:color w:val="000000"/>
                <w:sz w:val="18"/>
                <w:szCs w:val="16"/>
                <w:lang w:val="es-419"/>
              </w:rPr>
              <w:noBreakHyphen/>
              <w:t xml:space="preserve">141b en </w:t>
            </w:r>
            <w:proofErr w:type="spellStart"/>
            <w:r w:rsidRPr="003D5B9C">
              <w:rPr>
                <w:color w:val="000000"/>
                <w:sz w:val="18"/>
                <w:szCs w:val="16"/>
                <w:lang w:val="es-419"/>
              </w:rPr>
              <w:t>polioles</w:t>
            </w:r>
            <w:proofErr w:type="spellEnd"/>
            <w:r w:rsidRPr="003D5B9C">
              <w:rPr>
                <w:color w:val="000000"/>
                <w:sz w:val="18"/>
                <w:szCs w:val="16"/>
                <w:lang w:val="es-419"/>
              </w:rPr>
              <w:t xml:space="preserve"> premezclados de proyectos aprobados anteriormente (toneladas PAO)</w:t>
            </w:r>
          </w:p>
        </w:tc>
        <w:tc>
          <w:tcPr>
            <w:tcW w:w="438" w:type="pct"/>
            <w:tcBorders>
              <w:top w:val="single" w:sz="4" w:space="0" w:color="auto"/>
              <w:left w:val="nil"/>
              <w:bottom w:val="single" w:sz="4" w:space="0" w:color="auto"/>
              <w:right w:val="single" w:sz="4" w:space="0" w:color="auto"/>
            </w:tcBorders>
            <w:vAlign w:val="bottom"/>
          </w:tcPr>
          <w:p w14:paraId="49A8EFC7"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n/a</w:t>
            </w:r>
          </w:p>
        </w:tc>
      </w:tr>
      <w:tr w:rsidR="003D5B9C" w:rsidRPr="00A30BA2" w14:paraId="78C0563B" w14:textId="77777777" w:rsidTr="00305D02">
        <w:trPr>
          <w:trHeight w:val="210"/>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2F19E28D" w14:textId="77777777" w:rsidR="003D5B9C" w:rsidRPr="00A30BA2" w:rsidRDefault="003D5B9C" w:rsidP="00305D02">
            <w:pPr>
              <w:suppressAutoHyphens/>
              <w:jc w:val="left"/>
              <w:rPr>
                <w:rFonts w:eastAsia="SimSun"/>
                <w:color w:val="000000"/>
                <w:sz w:val="18"/>
                <w:szCs w:val="16"/>
              </w:rPr>
            </w:pPr>
            <w:r w:rsidRPr="00A30BA2">
              <w:rPr>
                <w:color w:val="000000"/>
                <w:sz w:val="18"/>
                <w:szCs w:val="16"/>
              </w:rPr>
              <w:t>4.6.3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F14F9CB" w14:textId="77777777" w:rsidR="003D5B9C" w:rsidRPr="003D5B9C" w:rsidRDefault="003D5B9C" w:rsidP="00305D02">
            <w:pPr>
              <w:suppressAutoHyphens/>
              <w:jc w:val="left"/>
              <w:rPr>
                <w:rFonts w:eastAsia="SimSun"/>
                <w:bCs/>
                <w:color w:val="000000"/>
                <w:sz w:val="18"/>
                <w:szCs w:val="16"/>
                <w:lang w:val="es-419"/>
              </w:rPr>
            </w:pPr>
            <w:r w:rsidRPr="003D5B9C">
              <w:rPr>
                <w:bCs/>
                <w:color w:val="000000"/>
                <w:sz w:val="18"/>
                <w:szCs w:val="16"/>
                <w:lang w:val="es-419"/>
              </w:rPr>
              <w:t>Consumo admisible remanente de HCFC</w:t>
            </w:r>
            <w:r w:rsidRPr="003D5B9C">
              <w:rPr>
                <w:bCs/>
                <w:color w:val="000000"/>
                <w:sz w:val="18"/>
                <w:szCs w:val="16"/>
                <w:lang w:val="es-419"/>
              </w:rPr>
              <w:noBreakHyphen/>
              <w:t xml:space="preserve">141b en </w:t>
            </w:r>
            <w:proofErr w:type="spellStart"/>
            <w:r w:rsidRPr="003D5B9C">
              <w:rPr>
                <w:bCs/>
                <w:color w:val="000000"/>
                <w:sz w:val="18"/>
                <w:szCs w:val="16"/>
                <w:lang w:val="es-419"/>
              </w:rPr>
              <w:t>polioles</w:t>
            </w:r>
            <w:proofErr w:type="spellEnd"/>
            <w:r w:rsidRPr="003D5B9C">
              <w:rPr>
                <w:bCs/>
                <w:color w:val="000000"/>
                <w:sz w:val="18"/>
                <w:szCs w:val="16"/>
                <w:lang w:val="es-419"/>
              </w:rPr>
              <w:t xml:space="preserve"> premezclados (toneladas PAO)</w:t>
            </w:r>
          </w:p>
        </w:tc>
        <w:tc>
          <w:tcPr>
            <w:tcW w:w="438" w:type="pct"/>
            <w:tcBorders>
              <w:top w:val="single" w:sz="4" w:space="0" w:color="auto"/>
              <w:left w:val="nil"/>
              <w:bottom w:val="single" w:sz="4" w:space="0" w:color="auto"/>
              <w:right w:val="single" w:sz="4" w:space="0" w:color="auto"/>
            </w:tcBorders>
            <w:vAlign w:val="bottom"/>
          </w:tcPr>
          <w:p w14:paraId="32BF878F" w14:textId="77777777" w:rsidR="003D5B9C" w:rsidRPr="00A30BA2" w:rsidRDefault="003D5B9C" w:rsidP="00305D02">
            <w:pPr>
              <w:suppressAutoHyphens/>
              <w:jc w:val="right"/>
              <w:rPr>
                <w:rFonts w:eastAsia="SimSun"/>
                <w:color w:val="000000"/>
                <w:sz w:val="18"/>
                <w:szCs w:val="16"/>
              </w:rPr>
            </w:pPr>
            <w:r w:rsidRPr="00A30BA2">
              <w:rPr>
                <w:color w:val="000000"/>
                <w:sz w:val="18"/>
                <w:szCs w:val="16"/>
              </w:rPr>
              <w:t>0,86</w:t>
            </w:r>
          </w:p>
        </w:tc>
      </w:tr>
    </w:tbl>
    <w:p w14:paraId="05B91B1C" w14:textId="77777777" w:rsidR="003D5B9C" w:rsidRPr="003D5B9C" w:rsidRDefault="003D5B9C" w:rsidP="003D5B9C">
      <w:pPr>
        <w:suppressAutoHyphens/>
        <w:rPr>
          <w:rFonts w:eastAsia="SimSun"/>
          <w:sz w:val="18"/>
          <w:szCs w:val="18"/>
          <w:lang w:val="es-419"/>
        </w:rPr>
      </w:pPr>
      <w:r w:rsidRPr="003D5B9C">
        <w:rPr>
          <w:sz w:val="18"/>
          <w:szCs w:val="18"/>
          <w:lang w:val="es-419"/>
        </w:rPr>
        <w:t>* La financiación para la ONUDI incluye la solicitud del cuarto tramo de 86.500 $EUA, más los gastos de apoyo al organismo de 6.487 $EUA, y el proyecto de espumas de 431.719 $EUA, más los gastos de apoyo al organismo de 30.220 $EUA.</w:t>
      </w:r>
    </w:p>
    <w:p w14:paraId="162F9989" w14:textId="2951B673" w:rsidR="0028399A" w:rsidRPr="003D5B9C" w:rsidRDefault="003D5B9C" w:rsidP="003D5B9C">
      <w:pPr>
        <w:autoSpaceDE w:val="0"/>
        <w:autoSpaceDN w:val="0"/>
        <w:adjustRightInd w:val="0"/>
        <w:jc w:val="center"/>
        <w:rPr>
          <w:b/>
          <w:bCs/>
          <w:lang w:val="es-419"/>
        </w:rPr>
      </w:pPr>
      <w:r w:rsidRPr="003D5B9C">
        <w:rPr>
          <w:b/>
          <w:sz w:val="18"/>
          <w:szCs w:val="18"/>
          <w:lang w:val="es-419"/>
        </w:rPr>
        <w:t>** En la 87ª reunión, el PNUMA dejó de ser un Organismo Cooperante y se le solicitó que transfiriera a la ONUDI la financiación aprobada de 10.000 $EUA para el quinto tramo, más 700 $EUA de gastos de apoyo al organismo.</w:t>
      </w:r>
    </w:p>
    <w:p w14:paraId="497855A9" w14:textId="77777777" w:rsidR="0028399A" w:rsidRPr="003D5B9C" w:rsidRDefault="0028399A">
      <w:pPr>
        <w:jc w:val="center"/>
        <w:rPr>
          <w:b/>
          <w:bCs/>
          <w:lang w:val="es-419"/>
        </w:rPr>
        <w:sectPr w:rsidR="0028399A" w:rsidRPr="003D5B9C">
          <w:headerReference w:type="even" r:id="rId28"/>
          <w:footerReference w:type="even" r:id="rId29"/>
          <w:headerReference w:type="first" r:id="rId30"/>
          <w:footerReference w:type="first" r:id="rId31"/>
          <w:pgSz w:w="12240" w:h="15840" w:code="1"/>
          <w:pgMar w:top="720" w:right="1440" w:bottom="864" w:left="1440" w:header="720" w:footer="475" w:gutter="0"/>
          <w:pgNumType w:start="1"/>
          <w:cols w:space="720"/>
          <w:titlePg/>
        </w:sectPr>
      </w:pPr>
    </w:p>
    <w:p w14:paraId="6711F5DE" w14:textId="77777777" w:rsidR="003D5B9C" w:rsidRPr="00DA2497" w:rsidRDefault="003D5B9C" w:rsidP="003D5B9C">
      <w:pPr>
        <w:jc w:val="center"/>
        <w:rPr>
          <w:b/>
          <w:bCs/>
          <w:lang w:val="es-ES"/>
        </w:rPr>
      </w:pPr>
      <w:r w:rsidRPr="00DA2497">
        <w:rPr>
          <w:b/>
          <w:bCs/>
          <w:lang w:val="es-ES"/>
        </w:rPr>
        <w:lastRenderedPageBreak/>
        <w:t>Anexo VI</w:t>
      </w:r>
    </w:p>
    <w:p w14:paraId="371235AB" w14:textId="77777777" w:rsidR="003D5B9C" w:rsidRPr="00DA2497" w:rsidRDefault="003D5B9C" w:rsidP="003D5B9C">
      <w:pPr>
        <w:jc w:val="center"/>
        <w:rPr>
          <w:b/>
          <w:bCs/>
          <w:lang w:val="es-ES"/>
        </w:rPr>
      </w:pPr>
    </w:p>
    <w:p w14:paraId="50A1A9CD" w14:textId="77777777" w:rsidR="003D5B9C" w:rsidRPr="00610E81" w:rsidRDefault="003D5B9C" w:rsidP="003D5B9C">
      <w:pPr>
        <w:jc w:val="center"/>
        <w:rPr>
          <w:b/>
          <w:bCs/>
          <w:lang w:val="es-ES"/>
        </w:rPr>
      </w:pPr>
      <w:r w:rsidRPr="00DA2497">
        <w:rPr>
          <w:b/>
          <w:bCs/>
          <w:lang w:val="es-ES"/>
        </w:rPr>
        <w:t xml:space="preserve">ACUERDO ACTUALIZADO ENTRE EL GOBIERNO DEL </w:t>
      </w:r>
      <w:r w:rsidRPr="00DA2497">
        <w:rPr>
          <w:b/>
          <w:lang w:val="es-ES"/>
        </w:rPr>
        <w:t xml:space="preserve">ECUADOR </w:t>
      </w:r>
      <w:r w:rsidRPr="00DA2497">
        <w:rPr>
          <w:b/>
          <w:bCs/>
          <w:lang w:val="es-ES"/>
        </w:rPr>
        <w:t>Y EL COMITÉ EJECUTIVO DEL FONDO MULTILATERAL PARA</w:t>
      </w:r>
      <w:r w:rsidRPr="00610E81">
        <w:rPr>
          <w:b/>
          <w:bCs/>
          <w:lang w:val="es-ES"/>
        </w:rPr>
        <w:t xml:space="preserve"> LA REDUCCIÓN DEL CONSUMO DE HIDROCLOROFLUOROCARBONOS EN EL MARCO DE LA ETAPA II DEL PLAN DE GESTIÓN DE ELIMINACIÓN DE LOS HCFC</w:t>
      </w:r>
    </w:p>
    <w:p w14:paraId="64FBFEA7" w14:textId="77777777" w:rsidR="003D5B9C" w:rsidRPr="00610E81" w:rsidRDefault="003D5B9C" w:rsidP="003D5B9C">
      <w:pPr>
        <w:jc w:val="center"/>
        <w:rPr>
          <w:b/>
          <w:bCs/>
          <w:lang w:val="es-ES"/>
        </w:rPr>
      </w:pPr>
    </w:p>
    <w:p w14:paraId="32653D10" w14:textId="77777777" w:rsidR="003D5B9C" w:rsidRPr="00610E81" w:rsidRDefault="003D5B9C" w:rsidP="003D5B9C">
      <w:pPr>
        <w:rPr>
          <w:b/>
          <w:bCs/>
          <w:lang w:val="es-ES"/>
        </w:rPr>
      </w:pPr>
      <w:r w:rsidRPr="00610E81">
        <w:rPr>
          <w:b/>
          <w:bCs/>
          <w:lang w:val="es-ES"/>
        </w:rPr>
        <w:t>Finalidad</w:t>
      </w:r>
    </w:p>
    <w:p w14:paraId="70E453F8" w14:textId="77777777" w:rsidR="003D5B9C" w:rsidRPr="00610E81" w:rsidRDefault="003D5B9C" w:rsidP="003D5B9C">
      <w:pPr>
        <w:rPr>
          <w:b/>
          <w:lang w:val="es-ES"/>
        </w:rPr>
      </w:pPr>
    </w:p>
    <w:p w14:paraId="0276440A" w14:textId="77777777" w:rsidR="003D5B9C" w:rsidRPr="0053626E" w:rsidRDefault="003D5B9C" w:rsidP="0053626E">
      <w:pPr>
        <w:pStyle w:val="Heading1"/>
        <w:numPr>
          <w:ilvl w:val="0"/>
          <w:numId w:val="39"/>
        </w:numPr>
        <w:rPr>
          <w:lang w:val="es-ES"/>
        </w:rPr>
      </w:pPr>
      <w:r w:rsidRPr="0053626E">
        <w:rPr>
          <w:lang w:val="es-ES"/>
        </w:rPr>
        <w:t>El presente Acuerdo representa el entendimiento a que han llegado el Gobierno del Ecuador (el “País”) y el Comité Ejecutivo con respecto a la reducción del uso controlado de las sustancias que agotan la capa de ozono (SAO) indicadas en el Apéndice 1</w:t>
      </w:r>
      <w:r w:rsidRPr="0053626E">
        <w:rPr>
          <w:lang w:val="es-ES"/>
        </w:rPr>
        <w:noBreakHyphen/>
        <w:t xml:space="preserve">A (“Las Sustancias”) hasta un nivel sostenido de cero toneladas PAO antes del 1 de enero de 2030 en cumplimiento del calendario del Protocolo de Montreal. </w:t>
      </w:r>
    </w:p>
    <w:p w14:paraId="0E1CD953" w14:textId="77777777" w:rsidR="003D5B9C" w:rsidRPr="00610E81" w:rsidRDefault="003D5B9C" w:rsidP="003D5B9C">
      <w:pPr>
        <w:numPr>
          <w:ilvl w:val="0"/>
          <w:numId w:val="1"/>
        </w:numPr>
        <w:spacing w:after="240"/>
        <w:outlineLvl w:val="0"/>
        <w:rPr>
          <w:lang w:val="es-ES"/>
        </w:rPr>
      </w:pPr>
      <w:r w:rsidRPr="00610E81">
        <w:rPr>
          <w:lang w:val="es-ES"/>
        </w:rPr>
        <w:t>El País conviene en cumplir con los límites anuales de consumo de las Sustancias tal como se establecen en la fila 1.2 del Apéndice 2</w:t>
      </w:r>
      <w:r w:rsidRPr="00610E81">
        <w:rPr>
          <w:lang w:val="es-ES"/>
        </w:rPr>
        <w:noBreakHyphen/>
        <w:t>A (“Los Objetivos y la Financiación”) del presente Acuerdo, así como en el calendario de reducción del Protocolo de Montreal para todas las Sustancias mencionadas en el Apéndice 1</w:t>
      </w:r>
      <w:r w:rsidRPr="00610E81">
        <w:rPr>
          <w:lang w:val="es-ES"/>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sidRPr="00610E81">
        <w:rPr>
          <w:lang w:val="es-ES"/>
        </w:rPr>
        <w:noBreakHyphen/>
        <w:t>A como medida de reducción final conforme a este Acuerdo para todas las Sustancias especificadas en el Apéndice 1</w:t>
      </w:r>
      <w:r w:rsidRPr="00610E81">
        <w:rPr>
          <w:lang w:val="es-ES"/>
        </w:rPr>
        <w:noBreakHyphen/>
        <w:t>A y en relación con cualquier consumo de cada una de las Sustancias que supere el nivel definido en las filas</w:t>
      </w:r>
      <w:r w:rsidRPr="00610E81">
        <w:rPr>
          <w:b/>
          <w:lang w:val="es-ES"/>
        </w:rPr>
        <w:t xml:space="preserve"> </w:t>
      </w:r>
      <w:r w:rsidRPr="00610E81">
        <w:rPr>
          <w:lang w:val="es-ES"/>
        </w:rPr>
        <w:t>4.1.3, 4.2.3, 4.3.3, 4.4.3  y 4.5.3 (consumo restante admisible para la financiación).</w:t>
      </w:r>
    </w:p>
    <w:p w14:paraId="03CA06A5" w14:textId="77777777" w:rsidR="003D5B9C" w:rsidRPr="00610E81" w:rsidRDefault="003D5B9C" w:rsidP="003D5B9C">
      <w:pPr>
        <w:numPr>
          <w:ilvl w:val="0"/>
          <w:numId w:val="1"/>
        </w:numPr>
        <w:spacing w:after="240"/>
        <w:outlineLvl w:val="0"/>
        <w:rPr>
          <w:lang w:val="es-ES"/>
        </w:rPr>
      </w:pPr>
      <w:r w:rsidRPr="00610E81">
        <w:rPr>
          <w:lang w:val="es-ES"/>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sidRPr="00610E81">
        <w:rPr>
          <w:lang w:val="es-ES"/>
        </w:rPr>
        <w:noBreakHyphen/>
        <w:t xml:space="preserve">A (“Calendario de Aprobación de la Financiación”). </w:t>
      </w:r>
    </w:p>
    <w:p w14:paraId="786DA8FA" w14:textId="77777777" w:rsidR="003D5B9C" w:rsidRPr="00610E81" w:rsidRDefault="003D5B9C" w:rsidP="003D5B9C">
      <w:pPr>
        <w:numPr>
          <w:ilvl w:val="0"/>
          <w:numId w:val="1"/>
        </w:numPr>
        <w:spacing w:after="240"/>
        <w:outlineLvl w:val="0"/>
        <w:rPr>
          <w:lang w:val="es-ES"/>
        </w:rPr>
      </w:pPr>
      <w:r w:rsidRPr="00610E81">
        <w:rPr>
          <w:lang w:val="es-ES"/>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21F87223" w14:textId="77777777" w:rsidR="003D5B9C" w:rsidRPr="00610E81" w:rsidRDefault="003D5B9C" w:rsidP="003D5B9C">
      <w:pPr>
        <w:spacing w:after="240"/>
        <w:outlineLvl w:val="0"/>
        <w:rPr>
          <w:b/>
          <w:lang w:val="es-ES"/>
        </w:rPr>
      </w:pPr>
      <w:r w:rsidRPr="00610E81">
        <w:rPr>
          <w:b/>
          <w:lang w:val="es-ES"/>
        </w:rPr>
        <w:t>Condiciones para la liberación de los fondos</w:t>
      </w:r>
    </w:p>
    <w:p w14:paraId="533F712B" w14:textId="77777777" w:rsidR="003D5B9C" w:rsidRPr="00610E81" w:rsidRDefault="003D5B9C" w:rsidP="003D5B9C">
      <w:pPr>
        <w:numPr>
          <w:ilvl w:val="0"/>
          <w:numId w:val="1"/>
        </w:numPr>
        <w:spacing w:after="240"/>
        <w:outlineLvl w:val="0"/>
        <w:rPr>
          <w:lang w:val="es-ES"/>
        </w:rPr>
      </w:pPr>
      <w:r w:rsidRPr="00610E81">
        <w:rPr>
          <w:lang w:val="es-ES"/>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43E57143"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5436EDBB" w14:textId="77777777" w:rsidR="003D5B9C" w:rsidRPr="00610E81" w:rsidRDefault="003D5B9C" w:rsidP="003D5B9C">
      <w:pPr>
        <w:widowControl w:val="0"/>
        <w:numPr>
          <w:ilvl w:val="1"/>
          <w:numId w:val="1"/>
        </w:numPr>
        <w:spacing w:after="240"/>
        <w:outlineLvl w:val="1"/>
        <w:rPr>
          <w:lang w:val="es-ES"/>
        </w:rPr>
      </w:pPr>
      <w:r w:rsidRPr="00610E81">
        <w:rPr>
          <w:lang w:val="es-ES"/>
        </w:rPr>
        <w:t>Que el cumplimiento de estos Objetivos haya sido verificado independientemente para todos los años pertinentes, a menos que el Comité Ejecutivo decidiere que no se requiere dicha verificación;</w:t>
      </w:r>
    </w:p>
    <w:p w14:paraId="5A4B0955" w14:textId="77777777" w:rsidR="003D5B9C" w:rsidRPr="00610E81" w:rsidRDefault="003D5B9C" w:rsidP="003D5B9C">
      <w:pPr>
        <w:keepNext/>
        <w:keepLines/>
        <w:widowControl w:val="0"/>
        <w:numPr>
          <w:ilvl w:val="1"/>
          <w:numId w:val="1"/>
        </w:numPr>
        <w:spacing w:after="240"/>
        <w:outlineLvl w:val="1"/>
        <w:rPr>
          <w:lang w:val="es-ES"/>
        </w:rPr>
      </w:pPr>
      <w:r w:rsidRPr="00610E81">
        <w:rPr>
          <w:lang w:val="es-ES"/>
        </w:rPr>
        <w:lastRenderedPageBreak/>
        <w:t>Que el País haya presentado Informes de Ejecución de Tramos en el formulario del Apéndice 4</w:t>
      </w:r>
      <w:r w:rsidRPr="00610E81">
        <w:rPr>
          <w:lang w:val="es-ES"/>
        </w:rPr>
        <w:noBreakHyphen/>
        <w:t>A (“Formato de informes y planes de ejecución de tramos”) que cubran cada año civil anterior; que haya logrado un nivel importante de ejecución de las actividades iniciadas con tramos aprobados anteriormente; y que la tasa de desembolso de financiación disponible del tramo aprobado anterior sea de más del 20 por ciento; y</w:t>
      </w:r>
    </w:p>
    <w:p w14:paraId="0BB1D906" w14:textId="77777777" w:rsidR="003D5B9C" w:rsidRPr="00610E81" w:rsidRDefault="003D5B9C" w:rsidP="003D5B9C">
      <w:pPr>
        <w:widowControl w:val="0"/>
        <w:numPr>
          <w:ilvl w:val="1"/>
          <w:numId w:val="1"/>
        </w:numPr>
        <w:spacing w:after="240"/>
        <w:outlineLvl w:val="1"/>
        <w:rPr>
          <w:lang w:val="es-ES"/>
        </w:rPr>
      </w:pPr>
      <w:r w:rsidRPr="00610E81">
        <w:rPr>
          <w:lang w:val="es-ES"/>
        </w:rPr>
        <w:t>Que el país haya presentado un Plan de Ejecución de Tramos en el formulario del Apéndice 4</w:t>
      </w:r>
      <w:r w:rsidRPr="00610E81">
        <w:rPr>
          <w:lang w:val="es-ES"/>
        </w:rPr>
        <w:noBreakHyphen/>
        <w:t>A para cada año civil hasta el año en que el calendario de financiación prevea la presentación del tramo siguiente, dicho año inclusive o, en el caso del último tramo, hasta que se hayan completado todas las actividades previstas.</w:t>
      </w:r>
    </w:p>
    <w:p w14:paraId="40DF782C" w14:textId="77777777" w:rsidR="003D5B9C" w:rsidRPr="00610E81" w:rsidRDefault="003D5B9C" w:rsidP="003D5B9C">
      <w:pPr>
        <w:widowControl w:val="0"/>
        <w:spacing w:after="240"/>
        <w:outlineLvl w:val="1"/>
        <w:rPr>
          <w:b/>
          <w:lang w:val="es-ES"/>
        </w:rPr>
      </w:pPr>
      <w:r w:rsidRPr="00610E81">
        <w:rPr>
          <w:b/>
          <w:lang w:val="es-ES"/>
        </w:rPr>
        <w:t>Supervisión</w:t>
      </w:r>
    </w:p>
    <w:p w14:paraId="58120447" w14:textId="77777777" w:rsidR="003D5B9C" w:rsidRPr="00610E81" w:rsidRDefault="003D5B9C" w:rsidP="003D5B9C">
      <w:pPr>
        <w:numPr>
          <w:ilvl w:val="0"/>
          <w:numId w:val="1"/>
        </w:numPr>
        <w:spacing w:after="240"/>
        <w:outlineLvl w:val="0"/>
        <w:rPr>
          <w:lang w:val="es-ES"/>
        </w:rPr>
      </w:pPr>
      <w:r w:rsidRPr="00610E81">
        <w:rPr>
          <w:lang w:val="es-ES"/>
        </w:rPr>
        <w:t>El País garantizará que realiza una supervisión precisa de sus actividades en virtud del presente Acuerdo. Las instituciones indicadas en el Apéndice 5</w:t>
      </w:r>
      <w:r w:rsidRPr="00610E81">
        <w:rPr>
          <w:lang w:val="es-ES"/>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463AFEE5" w14:textId="77777777" w:rsidR="003D5B9C" w:rsidRPr="00610E81" w:rsidRDefault="003D5B9C" w:rsidP="003D5B9C">
      <w:pPr>
        <w:spacing w:after="240"/>
        <w:outlineLvl w:val="0"/>
        <w:rPr>
          <w:b/>
          <w:lang w:val="es-ES"/>
        </w:rPr>
      </w:pPr>
      <w:r w:rsidRPr="00610E81">
        <w:rPr>
          <w:b/>
          <w:lang w:val="es-ES"/>
        </w:rPr>
        <w:t>Flexibilidad para reasignación de fondos</w:t>
      </w:r>
    </w:p>
    <w:p w14:paraId="60516EA2" w14:textId="77777777" w:rsidR="003D5B9C" w:rsidRPr="00610E81" w:rsidRDefault="003D5B9C" w:rsidP="003D5B9C">
      <w:pPr>
        <w:numPr>
          <w:ilvl w:val="0"/>
          <w:numId w:val="1"/>
        </w:numPr>
        <w:spacing w:after="240"/>
        <w:outlineLvl w:val="0"/>
        <w:rPr>
          <w:lang w:val="es-ES"/>
        </w:rPr>
      </w:pPr>
      <w:r w:rsidRPr="00610E81">
        <w:rPr>
          <w:lang w:val="es-ES"/>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sidRPr="00610E81">
        <w:rPr>
          <w:lang w:val="es-ES"/>
        </w:rPr>
        <w:noBreakHyphen/>
        <w:t>A:</w:t>
      </w:r>
    </w:p>
    <w:p w14:paraId="2F0E15B8"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Las reasignaciones que se consideren cambios importantes deberán documentarse por adelantado, ya sea en un Plan de Ejecución de Tramos según lo descrito en el inciso 5 d) </w:t>
      </w:r>
      <w:r w:rsidRPr="00610E81">
        <w:rPr>
          <w:i/>
          <w:lang w:val="es-ES"/>
        </w:rPr>
        <w:t>supra</w:t>
      </w:r>
      <w:r w:rsidRPr="00610E81">
        <w:rPr>
          <w:lang w:val="es-ES"/>
        </w:rPr>
        <w:t>, o bien como una revisión de un Plan de Ejecución de Tramos existente a presentarse ocho semanas antes de cualquier reunión del Comité Ejecutivo para su aprobación. Los cambios importantes se relacionarían con:</w:t>
      </w:r>
    </w:p>
    <w:p w14:paraId="4A63F7A7" w14:textId="77777777" w:rsidR="003D5B9C" w:rsidRPr="00610E81" w:rsidRDefault="003D5B9C" w:rsidP="003D5B9C">
      <w:pPr>
        <w:widowControl w:val="0"/>
        <w:numPr>
          <w:ilvl w:val="2"/>
          <w:numId w:val="1"/>
        </w:numPr>
        <w:spacing w:after="240"/>
        <w:outlineLvl w:val="2"/>
        <w:rPr>
          <w:lang w:val="es-ES"/>
        </w:rPr>
      </w:pPr>
      <w:r w:rsidRPr="00610E81">
        <w:rPr>
          <w:lang w:val="es-ES"/>
        </w:rPr>
        <w:t xml:space="preserve">Asuntos que pudieran afectar al reglamento y las políticas del Fondo Multilateral; </w:t>
      </w:r>
    </w:p>
    <w:p w14:paraId="7820AA44" w14:textId="77777777" w:rsidR="003D5B9C" w:rsidRPr="00610E81" w:rsidRDefault="003D5B9C" w:rsidP="003D5B9C">
      <w:pPr>
        <w:widowControl w:val="0"/>
        <w:numPr>
          <w:ilvl w:val="2"/>
          <w:numId w:val="1"/>
        </w:numPr>
        <w:spacing w:after="240"/>
        <w:outlineLvl w:val="2"/>
        <w:rPr>
          <w:lang w:val="es-ES"/>
        </w:rPr>
      </w:pPr>
      <w:r w:rsidRPr="00610E81">
        <w:rPr>
          <w:lang w:val="es-ES"/>
        </w:rPr>
        <w:t xml:space="preserve">Cambios que modificarían cualquier cláusula de este Acuerdo; </w:t>
      </w:r>
    </w:p>
    <w:p w14:paraId="1830E26D" w14:textId="77777777" w:rsidR="003D5B9C" w:rsidRPr="00610E81" w:rsidRDefault="003D5B9C" w:rsidP="003D5B9C">
      <w:pPr>
        <w:widowControl w:val="0"/>
        <w:numPr>
          <w:ilvl w:val="2"/>
          <w:numId w:val="1"/>
        </w:numPr>
        <w:spacing w:after="240"/>
        <w:outlineLvl w:val="2"/>
        <w:rPr>
          <w:lang w:val="es-ES"/>
        </w:rPr>
      </w:pPr>
      <w:r w:rsidRPr="00610E81">
        <w:rPr>
          <w:lang w:val="es-ES"/>
        </w:rPr>
        <w:t xml:space="preserve">Cambios en los niveles anuales de financiación asignados a organismos bilaterales o de ejecución individuales para los diferentes tramos; </w:t>
      </w:r>
    </w:p>
    <w:p w14:paraId="266B1C7B" w14:textId="77777777" w:rsidR="003D5B9C" w:rsidRPr="00610E81" w:rsidRDefault="003D5B9C" w:rsidP="003D5B9C">
      <w:pPr>
        <w:widowControl w:val="0"/>
        <w:numPr>
          <w:ilvl w:val="2"/>
          <w:numId w:val="1"/>
        </w:numPr>
        <w:spacing w:after="240"/>
        <w:outlineLvl w:val="2"/>
        <w:rPr>
          <w:lang w:val="es-ES"/>
        </w:rPr>
      </w:pPr>
      <w:r w:rsidRPr="00610E81">
        <w:rPr>
          <w:lang w:val="es-ES"/>
        </w:rPr>
        <w:t>Suministro de financiación para actividades no incluidas en el Plan de Ejecución de Tramos avalado actual, o supresión de una actividad incluida en el Plan de Ejecución de Tramos, cuyo costo exceda el 30 por ciento del costo total del último tramo aprobado; y</w:t>
      </w:r>
    </w:p>
    <w:p w14:paraId="76306CF4" w14:textId="77777777" w:rsidR="003D5B9C" w:rsidRPr="00610E81" w:rsidRDefault="003D5B9C" w:rsidP="003D5B9C">
      <w:pPr>
        <w:widowControl w:val="0"/>
        <w:numPr>
          <w:ilvl w:val="2"/>
          <w:numId w:val="1"/>
        </w:numPr>
        <w:spacing w:after="240"/>
        <w:outlineLvl w:val="2"/>
        <w:rPr>
          <w:lang w:val="es-ES"/>
        </w:rPr>
      </w:pPr>
      <w:r w:rsidRPr="00610E81">
        <w:rPr>
          <w:lang w:val="es-ES"/>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3AD0B76A" w14:textId="77777777" w:rsidR="003D5B9C" w:rsidRPr="00610E81" w:rsidRDefault="003D5B9C" w:rsidP="003D5B9C">
      <w:pPr>
        <w:keepNext/>
        <w:keepLines/>
        <w:widowControl w:val="0"/>
        <w:numPr>
          <w:ilvl w:val="1"/>
          <w:numId w:val="1"/>
        </w:numPr>
        <w:spacing w:after="240"/>
        <w:outlineLvl w:val="1"/>
        <w:rPr>
          <w:lang w:val="es-ES"/>
        </w:rPr>
      </w:pPr>
      <w:r w:rsidRPr="00610E81">
        <w:rPr>
          <w:lang w:val="es-ES"/>
        </w:rPr>
        <w:lastRenderedPageBreak/>
        <w:t xml:space="preserve">Las reasignaciones no clasificadas como cambios importantes pueden incorporarse al Plan de Ejecución de Tramos aprobado que esté en curso de ejecución en esa fecha, y notificarse al Comité Ejecutivo en el Informe de Ejecución de Tramos subsiguiente; </w:t>
      </w:r>
    </w:p>
    <w:p w14:paraId="74193133" w14:textId="77777777" w:rsidR="003D5B9C" w:rsidRPr="00610E81" w:rsidRDefault="003D5B9C" w:rsidP="003D5B9C">
      <w:pPr>
        <w:keepNext/>
        <w:numPr>
          <w:ilvl w:val="1"/>
          <w:numId w:val="1"/>
        </w:numPr>
        <w:spacing w:after="240"/>
        <w:outlineLvl w:val="1"/>
        <w:rPr>
          <w:lang w:val="es-ES"/>
        </w:rPr>
      </w:pPr>
      <w:r w:rsidRPr="00610E81">
        <w:rPr>
          <w:lang w:val="es-ES"/>
        </w:rPr>
        <w:t>Toda empresa incluida en el Plan para convertirse a una tecnología sin HCFC y que no fuese admisible según las políticas del Fondo Multilateral (debido a ser de propiedad extranjera o por haberse establecido después de la fecha límite del 21 de septiembre de 2007) no recibiría ayuda financiera. Esta información se informaría al Comité Ejecutivo como parte del Plan de Ejecución de Tramos;</w:t>
      </w:r>
    </w:p>
    <w:p w14:paraId="05816D9D" w14:textId="77777777" w:rsidR="003D5B9C" w:rsidRPr="00610E81" w:rsidRDefault="003D5B9C" w:rsidP="003D5B9C">
      <w:pPr>
        <w:keepNext/>
        <w:numPr>
          <w:ilvl w:val="1"/>
          <w:numId w:val="1"/>
        </w:numPr>
        <w:spacing w:after="240"/>
        <w:outlineLvl w:val="1"/>
        <w:rPr>
          <w:lang w:val="es-ES"/>
        </w:rPr>
      </w:pPr>
      <w:r w:rsidRPr="00610E81">
        <w:rPr>
          <w:lang w:val="es-ES"/>
        </w:rPr>
        <w:t xml:space="preserve">El País se compromete a examinar la posibilidad de utilizar sistemas de hidrocarburos premezclados con agentes de </w:t>
      </w:r>
      <w:proofErr w:type="spellStart"/>
      <w:r w:rsidRPr="00610E81">
        <w:rPr>
          <w:lang w:val="es-ES"/>
        </w:rPr>
        <w:t>espumación</w:t>
      </w:r>
      <w:proofErr w:type="spellEnd"/>
      <w:r w:rsidRPr="00610E81">
        <w:rPr>
          <w:lang w:val="es-ES"/>
        </w:rPr>
        <w:t xml:space="preserve"> de bajo potencial de calentamiento atmosférico en lugar de mezclarlos en el país, para las empresas de espumas cubiertas por el Plan, en caso de que sea técnicamente posible, económicamente viable, y aceptable para las empresas; </w:t>
      </w:r>
    </w:p>
    <w:p w14:paraId="5156CBB8" w14:textId="77777777" w:rsidR="003D5B9C" w:rsidRPr="00610E81" w:rsidRDefault="003D5B9C" w:rsidP="003D5B9C">
      <w:pPr>
        <w:pStyle w:val="Heading2"/>
        <w:tabs>
          <w:tab w:val="clear" w:pos="0"/>
          <w:tab w:val="num" w:pos="-720"/>
        </w:tabs>
        <w:rPr>
          <w:lang w:val="es-ES"/>
        </w:rPr>
      </w:pPr>
      <w:r w:rsidRPr="00610E81">
        <w:rPr>
          <w:lang w:val="es-ES"/>
        </w:rPr>
        <w:t>El País acuerda en casos en que se hayan elegido las tecnologías con HFC como una alternativa para los HCFC, y tomando en consideración las circunstancias nacionales relacionadas a la salud y la seguridad: supervisar la disponibilidad de los sucedáneos y alternativas que reducen al mínimo aún más los impactos en el clima; considerar, al examinar las reglamentaciones, normas e incentivos, estipulaciones adecuadas para incentivos que fomenten la introducción de dichas alternativas; y considerar el potencial para adopción de alternativas eficaces en función de los costos que reduzcan al mínimo el impacto en el clima al ejecutar el plan de gestión de eliminación de los HCFC, cuando proceda, e informar en consecuencia al Comité Ejecutivo sobre el progreso realizado en los informes de ejecución de tramos; y</w:t>
      </w:r>
    </w:p>
    <w:p w14:paraId="09D227B7"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Los fondos remanentes que conserven los organismos bilaterales o de ejecución o el país en virtud del Plan serán devueltos al Fondo Multilateral al concluirse el último tramo previsto conforme a este Acuerdo. </w:t>
      </w:r>
    </w:p>
    <w:p w14:paraId="5E4A5119" w14:textId="77777777" w:rsidR="003D5B9C" w:rsidRPr="00610E81" w:rsidRDefault="003D5B9C" w:rsidP="003D5B9C">
      <w:pPr>
        <w:widowControl w:val="0"/>
        <w:spacing w:after="240"/>
        <w:outlineLvl w:val="1"/>
        <w:rPr>
          <w:b/>
          <w:lang w:val="es-ES"/>
        </w:rPr>
      </w:pPr>
      <w:r w:rsidRPr="00610E81">
        <w:rPr>
          <w:b/>
          <w:lang w:val="es-ES"/>
        </w:rPr>
        <w:t>Consideraciones para el sector de servicio y mantenimiento de equipos de refrigeración</w:t>
      </w:r>
    </w:p>
    <w:p w14:paraId="64162012" w14:textId="77777777" w:rsidR="003D5B9C" w:rsidRPr="00610E81" w:rsidRDefault="003D5B9C" w:rsidP="003D5B9C">
      <w:pPr>
        <w:numPr>
          <w:ilvl w:val="0"/>
          <w:numId w:val="1"/>
        </w:numPr>
        <w:spacing w:after="240"/>
        <w:outlineLvl w:val="0"/>
        <w:rPr>
          <w:lang w:val="es-ES"/>
        </w:rPr>
      </w:pPr>
      <w:r w:rsidRPr="00610E81">
        <w:rPr>
          <w:lang w:val="es-ES"/>
        </w:rPr>
        <w:t>Se prestará especial atención a la ejecución de las actividades en el sector de servicio y mantenimiento de equipos de refrigeración incluidas en el Plan, en particular:</w:t>
      </w:r>
    </w:p>
    <w:p w14:paraId="3FD93346" w14:textId="77777777" w:rsidR="003D5B9C" w:rsidRPr="00610E81" w:rsidRDefault="003D5B9C" w:rsidP="003D5B9C">
      <w:pPr>
        <w:widowControl w:val="0"/>
        <w:numPr>
          <w:ilvl w:val="1"/>
          <w:numId w:val="1"/>
        </w:numPr>
        <w:spacing w:after="240"/>
        <w:outlineLvl w:val="1"/>
        <w:rPr>
          <w:lang w:val="es-ES"/>
        </w:rPr>
      </w:pPr>
      <w:r w:rsidRPr="00610E81">
        <w:rPr>
          <w:lang w:val="es-ES"/>
        </w:rPr>
        <w:t>El País utilizaría la flexibilidad disponible conforme a este Acuerdo para atender a las necesidades específicas que pudieran presentarse durante la ejecución del proyecto; y</w:t>
      </w:r>
    </w:p>
    <w:p w14:paraId="0A90CB04" w14:textId="77777777" w:rsidR="003D5B9C" w:rsidRPr="00610E81" w:rsidRDefault="003D5B9C" w:rsidP="003D5B9C">
      <w:pPr>
        <w:widowControl w:val="0"/>
        <w:numPr>
          <w:ilvl w:val="1"/>
          <w:numId w:val="1"/>
        </w:numPr>
        <w:spacing w:after="240"/>
        <w:outlineLvl w:val="1"/>
        <w:rPr>
          <w:strike/>
          <w:lang w:val="es-ES"/>
        </w:rPr>
      </w:pPr>
      <w:r w:rsidRPr="00610E81">
        <w:rPr>
          <w:lang w:val="es-ES"/>
        </w:rPr>
        <w:t>El País y los organismos bilaterales y/o de ejecución pertinentes tomarían en consideración las decisiones pertinentes sobre el sector de servicio y mantenimiento de equipos de refrigeración durante la ejecución del Plan.</w:t>
      </w:r>
    </w:p>
    <w:p w14:paraId="6FC90FF9" w14:textId="77777777" w:rsidR="003D5B9C" w:rsidRPr="00610E81" w:rsidRDefault="003D5B9C" w:rsidP="003D5B9C">
      <w:pPr>
        <w:widowControl w:val="0"/>
        <w:spacing w:after="240"/>
        <w:outlineLvl w:val="1"/>
        <w:rPr>
          <w:b/>
          <w:strike/>
          <w:lang w:val="es-ES"/>
        </w:rPr>
      </w:pPr>
      <w:r w:rsidRPr="00610E81">
        <w:rPr>
          <w:b/>
          <w:lang w:val="es-ES"/>
        </w:rPr>
        <w:t>Organismos bilaterales y de ejecución</w:t>
      </w:r>
    </w:p>
    <w:p w14:paraId="0F76B427" w14:textId="77777777" w:rsidR="003D5B9C" w:rsidRPr="00610E81" w:rsidRDefault="003D5B9C" w:rsidP="003D5B9C">
      <w:pPr>
        <w:pStyle w:val="Heading1"/>
        <w:rPr>
          <w:lang w:val="es-ES"/>
        </w:rPr>
      </w:pPr>
      <w:r w:rsidRPr="00610E81">
        <w:rPr>
          <w:lang w:val="es-ES"/>
        </w:rPr>
        <w:t>El País conviene en asumir la responsabilidad general por la gestión y aplicación de este Acuerdo y de todas las actividades emprendidas por el País o en su nombre en cumplimiento de las obligaciones en virtud del presente Acuerdo. La ONUDI ha acordado ser el “Organismo de Ejecución Principal” en lo relativo a las actividades del País en virtud de este Acuerdo. El País acepta que se lleven a cabo evaluaciones, que pueden ser realizadas en el marco de los programas de trabajo de supervisión y evaluación del Fondo Multilateral o en el marco del programa de evaluación del Organismo de Ejecución Principal que participa en este Acuerdo.</w:t>
      </w:r>
    </w:p>
    <w:p w14:paraId="57E9F6D6" w14:textId="77777777" w:rsidR="003D5B9C" w:rsidRPr="00610E81" w:rsidRDefault="003D5B9C" w:rsidP="003D5B9C">
      <w:pPr>
        <w:pStyle w:val="Heading1"/>
        <w:rPr>
          <w:lang w:val="es-ES"/>
        </w:rPr>
      </w:pPr>
      <w:r w:rsidRPr="00610E81">
        <w:rPr>
          <w:lang w:val="es-ES"/>
        </w:rPr>
        <w:lastRenderedPageBreak/>
        <w:t>El Organismo de Ejecución Principal tendrá la responsabilidad de garantizar la planificación, ejecución y presentación de informes coordinadas de todas las actividades comprendidas en el presente Acuerdo, incluida entre otras cosas y sin limitaciones la verificación independiente a realizarse conforme al inciso 5 b). La funcione del Organismo de Ejecución Principal se especifica en el Apéndice 6-A. El Comité Ejecutivo acuerda, en principio, otorgar al Organismo de Ejecución Principal los honorarios estipulados en la fila 2.2 del Apéndice 2</w:t>
      </w:r>
      <w:r w:rsidRPr="00610E81">
        <w:rPr>
          <w:lang w:val="es-ES"/>
        </w:rPr>
        <w:noBreakHyphen/>
        <w:t>A.</w:t>
      </w:r>
    </w:p>
    <w:p w14:paraId="45AF5233" w14:textId="77777777" w:rsidR="003D5B9C" w:rsidRPr="00610E81" w:rsidRDefault="003D5B9C" w:rsidP="003D5B9C">
      <w:pPr>
        <w:spacing w:after="240"/>
        <w:outlineLvl w:val="0"/>
        <w:rPr>
          <w:b/>
          <w:lang w:val="es-ES"/>
        </w:rPr>
      </w:pPr>
      <w:r w:rsidRPr="00610E81">
        <w:rPr>
          <w:b/>
          <w:lang w:val="es-ES"/>
        </w:rPr>
        <w:t>Incumplimiento del Acuerdo</w:t>
      </w:r>
    </w:p>
    <w:p w14:paraId="71F13BED" w14:textId="77777777" w:rsidR="003D5B9C" w:rsidRPr="00610E81" w:rsidRDefault="003D5B9C" w:rsidP="003D5B9C">
      <w:pPr>
        <w:pStyle w:val="Heading1"/>
        <w:numPr>
          <w:ilvl w:val="0"/>
          <w:numId w:val="33"/>
        </w:numPr>
        <w:rPr>
          <w:lang w:val="es-ES"/>
        </w:rPr>
      </w:pPr>
      <w:r w:rsidRPr="00610E81">
        <w:rPr>
          <w:lang w:val="es-ES"/>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las decisiones, el caso específico de incumplimiento de este Acuerdo no constituirá un impedimento para el suministro de financiación para los tramos siguientes conforme al párrafo 5 </w:t>
      </w:r>
      <w:r w:rsidRPr="00610E81">
        <w:rPr>
          <w:i/>
          <w:iCs/>
          <w:lang w:val="es-ES"/>
        </w:rPr>
        <w:t>supra</w:t>
      </w:r>
      <w:r w:rsidRPr="00610E81">
        <w:rPr>
          <w:lang w:val="es-ES"/>
        </w:rPr>
        <w:t>.</w:t>
      </w:r>
    </w:p>
    <w:p w14:paraId="4E94E54A" w14:textId="77777777" w:rsidR="003D5B9C" w:rsidRPr="00610E81" w:rsidRDefault="003D5B9C" w:rsidP="003D5B9C">
      <w:pPr>
        <w:numPr>
          <w:ilvl w:val="0"/>
          <w:numId w:val="1"/>
        </w:numPr>
        <w:spacing w:after="240"/>
        <w:outlineLvl w:val="0"/>
        <w:rPr>
          <w:lang w:val="es-ES"/>
        </w:rPr>
      </w:pPr>
      <w:r w:rsidRPr="00610E81">
        <w:rPr>
          <w:lang w:val="es-ES"/>
        </w:rPr>
        <w:t>No se modificará la Financiación del presente Acuerdo en virtud de decisiones futuras del Comité Ejecutivo que pudieran afectar a la financiación de cualquier otro proyecto en el sector de consumo o de otras actividades afines en el País.</w:t>
      </w:r>
    </w:p>
    <w:p w14:paraId="412D1AD4" w14:textId="77777777" w:rsidR="003D5B9C" w:rsidRPr="00610E81" w:rsidRDefault="003D5B9C" w:rsidP="003D5B9C">
      <w:pPr>
        <w:pStyle w:val="Heading1"/>
        <w:rPr>
          <w:lang w:val="es-ES"/>
        </w:rPr>
      </w:pPr>
      <w:r w:rsidRPr="00610E81">
        <w:rPr>
          <w:lang w:val="es-ES"/>
        </w:rPr>
        <w:t>El País satisfará cualquier solicitud razonable del Comité Ejecutivo y el Organismo de Ejecución Principal para facilitar la aplicación del presente Acuerdo. En particular, proporcionará al Organismo de Ejecución Principal el acceso a la información necesaria para verificar el cumplimiento del presente Acuerdo.</w:t>
      </w:r>
    </w:p>
    <w:p w14:paraId="7A6B13C6" w14:textId="77777777" w:rsidR="003D5B9C" w:rsidRPr="00610E81" w:rsidRDefault="003D5B9C" w:rsidP="003D5B9C">
      <w:pPr>
        <w:spacing w:after="240"/>
        <w:outlineLvl w:val="0"/>
        <w:rPr>
          <w:b/>
          <w:lang w:val="es-ES"/>
        </w:rPr>
      </w:pPr>
      <w:r w:rsidRPr="00610E81">
        <w:rPr>
          <w:b/>
          <w:lang w:val="es-ES"/>
        </w:rPr>
        <w:t>Fecha de terminación</w:t>
      </w:r>
    </w:p>
    <w:p w14:paraId="78E28E2F" w14:textId="77777777" w:rsidR="003D5B9C" w:rsidRPr="00610E81" w:rsidRDefault="003D5B9C" w:rsidP="003D5B9C">
      <w:pPr>
        <w:numPr>
          <w:ilvl w:val="0"/>
          <w:numId w:val="1"/>
        </w:numPr>
        <w:spacing w:after="240"/>
        <w:outlineLvl w:val="0"/>
        <w:rPr>
          <w:lang w:val="es-ES"/>
        </w:rPr>
      </w:pPr>
      <w:r w:rsidRPr="00610E81">
        <w:rPr>
          <w:lang w:val="es-ES"/>
        </w:rPr>
        <w:t>La terminación del Plan y el Acuerdo conexo concluirán al final del año siguiente al último año para el que se haya especificado un nivel de consumo total máximo permitido en el Apéndice 2</w:t>
      </w:r>
      <w:r w:rsidRPr="00610E81">
        <w:rPr>
          <w:lang w:val="es-ES"/>
        </w:rPr>
        <w:noBreakHyphen/>
        <w:t>A. En el caso de que para ese entonces hubiera actividades aún pendientes que estuvieran previstas en el último Plan de Ejecución de Tramos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sidRPr="00610E81">
        <w:rPr>
          <w:lang w:val="es-ES"/>
        </w:rPr>
        <w:noBreakHyphen/>
        <w:t>A continuarán vigentes hasta la conclusión del Plan, a menos que el Comité Ejecutivo estipule otra cosa.</w:t>
      </w:r>
    </w:p>
    <w:p w14:paraId="267599A3" w14:textId="77777777" w:rsidR="003D5B9C" w:rsidRPr="00610E81" w:rsidRDefault="003D5B9C" w:rsidP="003D5B9C">
      <w:pPr>
        <w:keepNext/>
        <w:keepLines/>
        <w:spacing w:after="240"/>
        <w:outlineLvl w:val="0"/>
        <w:rPr>
          <w:b/>
          <w:lang w:val="es-ES"/>
        </w:rPr>
      </w:pPr>
      <w:r w:rsidRPr="00610E81">
        <w:rPr>
          <w:b/>
          <w:lang w:val="es-ES"/>
        </w:rPr>
        <w:t>Validez</w:t>
      </w:r>
    </w:p>
    <w:p w14:paraId="0893BFBC" w14:textId="77777777" w:rsidR="003D5B9C" w:rsidRPr="00610E81" w:rsidRDefault="003D5B9C" w:rsidP="003D5B9C">
      <w:pPr>
        <w:keepNext/>
        <w:keepLines/>
        <w:numPr>
          <w:ilvl w:val="0"/>
          <w:numId w:val="1"/>
        </w:numPr>
        <w:spacing w:after="240"/>
        <w:outlineLvl w:val="0"/>
        <w:rPr>
          <w:lang w:val="es-ES"/>
        </w:rPr>
      </w:pPr>
      <w:r w:rsidRPr="00610E81">
        <w:rPr>
          <w:lang w:val="es-ES"/>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272F47A5" w14:textId="77777777" w:rsidR="003D5B9C" w:rsidRPr="00610E81" w:rsidRDefault="003D5B9C" w:rsidP="003D5B9C">
      <w:pPr>
        <w:numPr>
          <w:ilvl w:val="0"/>
          <w:numId w:val="1"/>
        </w:numPr>
        <w:spacing w:after="240"/>
        <w:outlineLvl w:val="0"/>
        <w:rPr>
          <w:lang w:val="es-ES"/>
        </w:rPr>
      </w:pPr>
      <w:r w:rsidRPr="00610E81">
        <w:rPr>
          <w:lang w:val="es-ES"/>
        </w:rPr>
        <w:t>Este Acuerdo puede modificarse o rescindirse únicamente por un acuerdo mutuo, escrito, del País y del Comité Ejecutivo del Fondo Multilateral.</w:t>
      </w:r>
    </w:p>
    <w:p w14:paraId="5BDC4F32" w14:textId="7B6F0E93" w:rsidR="003D5B9C" w:rsidRPr="00610E81" w:rsidRDefault="003D5B9C" w:rsidP="003D5B9C">
      <w:pPr>
        <w:pStyle w:val="Heading1"/>
        <w:rPr>
          <w:rFonts w:eastAsia="Calibri"/>
          <w:lang w:val="es-ES"/>
        </w:rPr>
      </w:pPr>
      <w:r w:rsidRPr="00610E81">
        <w:rPr>
          <w:b/>
          <w:lang w:val="es-ES"/>
        </w:rPr>
        <w:lastRenderedPageBreak/>
        <w:t>En la 87ª reunión, el PNUMA dejó de actuar como Organismo de Ejecución Cooperante en relación con las actividades del País en virtud del presente Acuerdo. Por lo tanto, las responsabilidades del PNUMA en virtud del presente Acuerdo se extienden únicamente hasta la 87ª reunión inclusive. El presente Acuerdo actualizado sustituye al Acuerdo alcanzado entre el Gobierno del Ecuador y el Comité Ejecutivo en la 86ª reunión del Comité Ejecutivo.</w:t>
      </w:r>
    </w:p>
    <w:p w14:paraId="2DD70B3B" w14:textId="77777777" w:rsidR="003D5B9C" w:rsidRPr="00610E81" w:rsidRDefault="003D5B9C" w:rsidP="003D5B9C">
      <w:pPr>
        <w:rPr>
          <w:b/>
          <w:bCs/>
          <w:lang w:val="es-ES"/>
        </w:rPr>
      </w:pPr>
    </w:p>
    <w:p w14:paraId="4E930827" w14:textId="77777777" w:rsidR="00305D02" w:rsidRDefault="00305D02">
      <w:pPr>
        <w:jc w:val="left"/>
        <w:rPr>
          <w:b/>
          <w:bCs/>
          <w:lang w:val="es-ES"/>
        </w:rPr>
      </w:pPr>
      <w:r>
        <w:rPr>
          <w:b/>
          <w:bCs/>
          <w:lang w:val="es-ES"/>
        </w:rPr>
        <w:br w:type="page"/>
      </w:r>
    </w:p>
    <w:p w14:paraId="2DD696A6" w14:textId="689F9E91" w:rsidR="003D5B9C" w:rsidRPr="00610E81" w:rsidRDefault="003D5B9C" w:rsidP="003D5B9C">
      <w:pPr>
        <w:rPr>
          <w:b/>
          <w:bCs/>
          <w:lang w:val="es-ES"/>
        </w:rPr>
      </w:pPr>
      <w:r w:rsidRPr="00610E81">
        <w:rPr>
          <w:b/>
          <w:bCs/>
          <w:lang w:val="es-ES"/>
        </w:rPr>
        <w:lastRenderedPageBreak/>
        <w:t xml:space="preserve">APÉNDICES </w:t>
      </w:r>
    </w:p>
    <w:p w14:paraId="1C5E2B55" w14:textId="77777777" w:rsidR="003D5B9C" w:rsidRPr="00610E81" w:rsidRDefault="003D5B9C" w:rsidP="003D5B9C">
      <w:pPr>
        <w:rPr>
          <w:b/>
          <w:lang w:val="es-ES"/>
        </w:rPr>
      </w:pPr>
    </w:p>
    <w:p w14:paraId="63B12B3A" w14:textId="77777777" w:rsidR="003D5B9C" w:rsidRPr="00610E81" w:rsidRDefault="003D5B9C" w:rsidP="003D5B9C">
      <w:pPr>
        <w:rPr>
          <w:b/>
          <w:bCs/>
          <w:lang w:val="es-ES"/>
        </w:rPr>
      </w:pPr>
      <w:r w:rsidRPr="00610E81">
        <w:rPr>
          <w:b/>
          <w:bCs/>
          <w:lang w:val="es-ES"/>
        </w:rPr>
        <w:t>APÉNDICE 1-A: LAS SUSTANCIAS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804"/>
        <w:gridCol w:w="842"/>
        <w:gridCol w:w="4500"/>
      </w:tblGrid>
      <w:tr w:rsidR="003D5B9C" w:rsidRPr="00305D02" w14:paraId="6F013972" w14:textId="77777777" w:rsidTr="00305D02">
        <w:tc>
          <w:tcPr>
            <w:tcW w:w="3304" w:type="dxa"/>
          </w:tcPr>
          <w:p w14:paraId="1ED437A0" w14:textId="77777777" w:rsidR="003D5B9C" w:rsidRPr="00610E81" w:rsidRDefault="003D5B9C" w:rsidP="00305D02">
            <w:pPr>
              <w:jc w:val="center"/>
              <w:rPr>
                <w:sz w:val="20"/>
                <w:szCs w:val="20"/>
                <w:lang w:val="es-ES"/>
              </w:rPr>
            </w:pPr>
            <w:r w:rsidRPr="00610E81">
              <w:rPr>
                <w:sz w:val="20"/>
                <w:szCs w:val="20"/>
                <w:lang w:val="es-ES"/>
              </w:rPr>
              <w:t>Sustancia</w:t>
            </w:r>
          </w:p>
        </w:tc>
        <w:tc>
          <w:tcPr>
            <w:tcW w:w="804" w:type="dxa"/>
          </w:tcPr>
          <w:p w14:paraId="4E66A9A6" w14:textId="77777777" w:rsidR="003D5B9C" w:rsidRPr="00610E81" w:rsidRDefault="003D5B9C" w:rsidP="00305D02">
            <w:pPr>
              <w:jc w:val="center"/>
              <w:rPr>
                <w:sz w:val="20"/>
                <w:szCs w:val="20"/>
                <w:lang w:val="es-ES"/>
              </w:rPr>
            </w:pPr>
            <w:r w:rsidRPr="00610E81">
              <w:rPr>
                <w:sz w:val="20"/>
                <w:szCs w:val="20"/>
                <w:lang w:val="es-ES"/>
              </w:rPr>
              <w:t>Anexo</w:t>
            </w:r>
          </w:p>
        </w:tc>
        <w:tc>
          <w:tcPr>
            <w:tcW w:w="842" w:type="dxa"/>
          </w:tcPr>
          <w:p w14:paraId="53872BCE" w14:textId="77777777" w:rsidR="003D5B9C" w:rsidRPr="00610E81" w:rsidRDefault="003D5B9C" w:rsidP="00305D02">
            <w:pPr>
              <w:jc w:val="center"/>
              <w:rPr>
                <w:sz w:val="20"/>
                <w:szCs w:val="20"/>
                <w:lang w:val="es-ES"/>
              </w:rPr>
            </w:pPr>
            <w:r w:rsidRPr="00610E81">
              <w:rPr>
                <w:sz w:val="20"/>
                <w:szCs w:val="20"/>
                <w:lang w:val="es-ES"/>
              </w:rPr>
              <w:t>Grupo</w:t>
            </w:r>
          </w:p>
        </w:tc>
        <w:tc>
          <w:tcPr>
            <w:tcW w:w="4500" w:type="dxa"/>
          </w:tcPr>
          <w:p w14:paraId="03A86A43" w14:textId="77777777" w:rsidR="003D5B9C" w:rsidRPr="00610E81" w:rsidRDefault="003D5B9C" w:rsidP="00305D02">
            <w:pPr>
              <w:jc w:val="center"/>
              <w:rPr>
                <w:sz w:val="20"/>
                <w:szCs w:val="20"/>
                <w:lang w:val="es-ES"/>
              </w:rPr>
            </w:pPr>
            <w:r w:rsidRPr="00610E81">
              <w:rPr>
                <w:sz w:val="20"/>
                <w:szCs w:val="20"/>
                <w:lang w:val="es-ES"/>
              </w:rPr>
              <w:t>Punto de partida para las reducciones acumulativas del consumo (toneladas PAO)</w:t>
            </w:r>
          </w:p>
        </w:tc>
      </w:tr>
      <w:tr w:rsidR="003D5B9C" w:rsidRPr="00610E81" w14:paraId="76C79EA5" w14:textId="77777777" w:rsidTr="00305D02">
        <w:tc>
          <w:tcPr>
            <w:tcW w:w="3304" w:type="dxa"/>
          </w:tcPr>
          <w:p w14:paraId="1D05B198" w14:textId="77777777" w:rsidR="003D5B9C" w:rsidRPr="00610E81" w:rsidRDefault="003D5B9C" w:rsidP="00305D02">
            <w:pPr>
              <w:keepNext/>
              <w:rPr>
                <w:sz w:val="20"/>
                <w:szCs w:val="20"/>
                <w:lang w:val="es-ES"/>
              </w:rPr>
            </w:pPr>
            <w:r w:rsidRPr="00610E81">
              <w:rPr>
                <w:sz w:val="20"/>
                <w:szCs w:val="20"/>
                <w:lang w:val="es-ES"/>
              </w:rPr>
              <w:t>HCFC-22</w:t>
            </w:r>
          </w:p>
        </w:tc>
        <w:tc>
          <w:tcPr>
            <w:tcW w:w="804" w:type="dxa"/>
          </w:tcPr>
          <w:p w14:paraId="7E7ACC56" w14:textId="77777777" w:rsidR="003D5B9C" w:rsidRPr="00610E81" w:rsidRDefault="003D5B9C" w:rsidP="00305D02">
            <w:pPr>
              <w:keepNext/>
              <w:jc w:val="center"/>
              <w:rPr>
                <w:sz w:val="20"/>
                <w:szCs w:val="20"/>
                <w:lang w:val="es-ES"/>
              </w:rPr>
            </w:pPr>
            <w:r w:rsidRPr="00610E81">
              <w:rPr>
                <w:sz w:val="20"/>
                <w:szCs w:val="20"/>
                <w:lang w:val="es-ES"/>
              </w:rPr>
              <w:t>C</w:t>
            </w:r>
          </w:p>
        </w:tc>
        <w:tc>
          <w:tcPr>
            <w:tcW w:w="842" w:type="dxa"/>
          </w:tcPr>
          <w:p w14:paraId="47FE0151" w14:textId="77777777" w:rsidR="003D5B9C" w:rsidRPr="00610E81" w:rsidRDefault="003D5B9C" w:rsidP="00305D02">
            <w:pPr>
              <w:jc w:val="center"/>
              <w:rPr>
                <w:sz w:val="20"/>
                <w:szCs w:val="20"/>
                <w:lang w:val="es-ES"/>
              </w:rPr>
            </w:pPr>
            <w:r w:rsidRPr="00610E81">
              <w:rPr>
                <w:sz w:val="20"/>
                <w:szCs w:val="20"/>
                <w:lang w:val="es-ES"/>
              </w:rPr>
              <w:t>I</w:t>
            </w:r>
          </w:p>
        </w:tc>
        <w:tc>
          <w:tcPr>
            <w:tcW w:w="4500" w:type="dxa"/>
            <w:shd w:val="clear" w:color="auto" w:fill="auto"/>
          </w:tcPr>
          <w:p w14:paraId="768566DA"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21.02</w:t>
            </w:r>
          </w:p>
        </w:tc>
      </w:tr>
      <w:tr w:rsidR="003D5B9C" w:rsidRPr="00610E81" w14:paraId="03B031C8" w14:textId="77777777" w:rsidTr="00305D02">
        <w:tblPrEx>
          <w:tblLook w:val="0000" w:firstRow="0" w:lastRow="0" w:firstColumn="0" w:lastColumn="0" w:noHBand="0" w:noVBand="0"/>
        </w:tblPrEx>
        <w:tc>
          <w:tcPr>
            <w:tcW w:w="3304" w:type="dxa"/>
          </w:tcPr>
          <w:p w14:paraId="631E1E0B" w14:textId="77777777" w:rsidR="003D5B9C" w:rsidRPr="00610E81" w:rsidRDefault="003D5B9C" w:rsidP="00305D02">
            <w:pPr>
              <w:rPr>
                <w:sz w:val="20"/>
                <w:lang w:val="es-ES"/>
              </w:rPr>
            </w:pPr>
            <w:r w:rsidRPr="00610E81">
              <w:rPr>
                <w:sz w:val="20"/>
                <w:lang w:val="es-ES"/>
              </w:rPr>
              <w:t>HCFC-123</w:t>
            </w:r>
          </w:p>
        </w:tc>
        <w:tc>
          <w:tcPr>
            <w:tcW w:w="804" w:type="dxa"/>
          </w:tcPr>
          <w:p w14:paraId="157380D0" w14:textId="77777777" w:rsidR="003D5B9C" w:rsidRPr="00610E81" w:rsidRDefault="003D5B9C" w:rsidP="00305D02">
            <w:pPr>
              <w:jc w:val="center"/>
              <w:rPr>
                <w:sz w:val="20"/>
                <w:lang w:val="es-ES"/>
              </w:rPr>
            </w:pPr>
            <w:r w:rsidRPr="00610E81">
              <w:rPr>
                <w:sz w:val="20"/>
                <w:lang w:val="es-ES"/>
              </w:rPr>
              <w:t>C</w:t>
            </w:r>
          </w:p>
        </w:tc>
        <w:tc>
          <w:tcPr>
            <w:tcW w:w="842" w:type="dxa"/>
            <w:shd w:val="clear" w:color="auto" w:fill="auto"/>
          </w:tcPr>
          <w:p w14:paraId="0B2165DC" w14:textId="77777777" w:rsidR="003D5B9C" w:rsidRPr="00610E81" w:rsidRDefault="003D5B9C" w:rsidP="00305D02">
            <w:pPr>
              <w:jc w:val="center"/>
              <w:rPr>
                <w:sz w:val="20"/>
                <w:lang w:val="es-ES"/>
              </w:rPr>
            </w:pPr>
            <w:r w:rsidRPr="00610E81">
              <w:rPr>
                <w:sz w:val="20"/>
                <w:lang w:val="es-ES"/>
              </w:rPr>
              <w:t>I</w:t>
            </w:r>
          </w:p>
        </w:tc>
        <w:tc>
          <w:tcPr>
            <w:tcW w:w="4500" w:type="dxa"/>
            <w:shd w:val="clear" w:color="auto" w:fill="auto"/>
          </w:tcPr>
          <w:p w14:paraId="1B4D688A"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0.18</w:t>
            </w:r>
          </w:p>
        </w:tc>
      </w:tr>
      <w:tr w:rsidR="003D5B9C" w:rsidRPr="00610E81" w14:paraId="5D93873A" w14:textId="77777777" w:rsidTr="00305D02">
        <w:tblPrEx>
          <w:tblLook w:val="0000" w:firstRow="0" w:lastRow="0" w:firstColumn="0" w:lastColumn="0" w:noHBand="0" w:noVBand="0"/>
        </w:tblPrEx>
        <w:tc>
          <w:tcPr>
            <w:tcW w:w="3304" w:type="dxa"/>
          </w:tcPr>
          <w:p w14:paraId="19726940" w14:textId="77777777" w:rsidR="003D5B9C" w:rsidRPr="00610E81" w:rsidRDefault="003D5B9C" w:rsidP="00305D02">
            <w:pPr>
              <w:rPr>
                <w:sz w:val="20"/>
                <w:lang w:val="es-ES"/>
              </w:rPr>
            </w:pPr>
            <w:r w:rsidRPr="00610E81">
              <w:rPr>
                <w:sz w:val="20"/>
                <w:lang w:val="es-ES"/>
              </w:rPr>
              <w:t>HCFC-124</w:t>
            </w:r>
          </w:p>
        </w:tc>
        <w:tc>
          <w:tcPr>
            <w:tcW w:w="804" w:type="dxa"/>
          </w:tcPr>
          <w:p w14:paraId="553C7A71" w14:textId="77777777" w:rsidR="003D5B9C" w:rsidRPr="00610E81" w:rsidRDefault="003D5B9C" w:rsidP="00305D02">
            <w:pPr>
              <w:jc w:val="center"/>
              <w:rPr>
                <w:sz w:val="20"/>
                <w:lang w:val="es-ES"/>
              </w:rPr>
            </w:pPr>
            <w:r w:rsidRPr="00610E81">
              <w:rPr>
                <w:sz w:val="20"/>
                <w:lang w:val="es-ES"/>
              </w:rPr>
              <w:t>C</w:t>
            </w:r>
          </w:p>
        </w:tc>
        <w:tc>
          <w:tcPr>
            <w:tcW w:w="842" w:type="dxa"/>
            <w:shd w:val="clear" w:color="auto" w:fill="auto"/>
          </w:tcPr>
          <w:p w14:paraId="0C3211C1" w14:textId="77777777" w:rsidR="003D5B9C" w:rsidRPr="00610E81" w:rsidRDefault="003D5B9C" w:rsidP="00305D02">
            <w:pPr>
              <w:jc w:val="center"/>
              <w:rPr>
                <w:sz w:val="20"/>
                <w:lang w:val="es-ES"/>
              </w:rPr>
            </w:pPr>
            <w:r w:rsidRPr="00610E81">
              <w:rPr>
                <w:sz w:val="20"/>
                <w:lang w:val="es-ES"/>
              </w:rPr>
              <w:t>I</w:t>
            </w:r>
          </w:p>
        </w:tc>
        <w:tc>
          <w:tcPr>
            <w:tcW w:w="4500" w:type="dxa"/>
            <w:shd w:val="clear" w:color="auto" w:fill="auto"/>
          </w:tcPr>
          <w:p w14:paraId="77DFBE46"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0.22</w:t>
            </w:r>
          </w:p>
        </w:tc>
      </w:tr>
      <w:tr w:rsidR="003D5B9C" w:rsidRPr="00610E81" w14:paraId="640E00A4" w14:textId="77777777" w:rsidTr="00305D02">
        <w:tblPrEx>
          <w:tblLook w:val="0000" w:firstRow="0" w:lastRow="0" w:firstColumn="0" w:lastColumn="0" w:noHBand="0" w:noVBand="0"/>
        </w:tblPrEx>
        <w:tc>
          <w:tcPr>
            <w:tcW w:w="3304" w:type="dxa"/>
          </w:tcPr>
          <w:p w14:paraId="7FB7A963" w14:textId="77777777" w:rsidR="003D5B9C" w:rsidRPr="00610E81" w:rsidRDefault="003D5B9C" w:rsidP="00305D02">
            <w:pPr>
              <w:rPr>
                <w:sz w:val="20"/>
                <w:lang w:val="es-ES"/>
              </w:rPr>
            </w:pPr>
            <w:r w:rsidRPr="00610E81">
              <w:rPr>
                <w:sz w:val="20"/>
                <w:lang w:val="es-ES"/>
              </w:rPr>
              <w:t>HCFC-141b</w:t>
            </w:r>
          </w:p>
        </w:tc>
        <w:tc>
          <w:tcPr>
            <w:tcW w:w="804" w:type="dxa"/>
          </w:tcPr>
          <w:p w14:paraId="43EA3BB1" w14:textId="77777777" w:rsidR="003D5B9C" w:rsidRPr="00610E81" w:rsidRDefault="003D5B9C" w:rsidP="00305D02">
            <w:pPr>
              <w:jc w:val="center"/>
              <w:rPr>
                <w:sz w:val="20"/>
                <w:lang w:val="es-ES"/>
              </w:rPr>
            </w:pPr>
            <w:r w:rsidRPr="00610E81">
              <w:rPr>
                <w:sz w:val="20"/>
                <w:lang w:val="es-ES"/>
              </w:rPr>
              <w:t>C</w:t>
            </w:r>
          </w:p>
        </w:tc>
        <w:tc>
          <w:tcPr>
            <w:tcW w:w="842" w:type="dxa"/>
          </w:tcPr>
          <w:p w14:paraId="0C00D18A" w14:textId="77777777" w:rsidR="003D5B9C" w:rsidRPr="00610E81" w:rsidRDefault="003D5B9C" w:rsidP="00305D02">
            <w:pPr>
              <w:jc w:val="center"/>
              <w:rPr>
                <w:sz w:val="20"/>
                <w:lang w:val="es-ES"/>
              </w:rPr>
            </w:pPr>
            <w:r w:rsidRPr="00610E81">
              <w:rPr>
                <w:sz w:val="20"/>
                <w:lang w:val="es-ES"/>
              </w:rPr>
              <w:t>I</w:t>
            </w:r>
          </w:p>
        </w:tc>
        <w:tc>
          <w:tcPr>
            <w:tcW w:w="4500" w:type="dxa"/>
            <w:shd w:val="clear" w:color="auto" w:fill="auto"/>
          </w:tcPr>
          <w:p w14:paraId="1673659D"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0.86</w:t>
            </w:r>
          </w:p>
        </w:tc>
      </w:tr>
      <w:tr w:rsidR="003D5B9C" w:rsidRPr="00610E81" w14:paraId="4DE8A4A4" w14:textId="77777777" w:rsidTr="00305D02">
        <w:tblPrEx>
          <w:tblLook w:val="0000" w:firstRow="0" w:lastRow="0" w:firstColumn="0" w:lastColumn="0" w:noHBand="0" w:noVBand="0"/>
        </w:tblPrEx>
        <w:tc>
          <w:tcPr>
            <w:tcW w:w="3304" w:type="dxa"/>
          </w:tcPr>
          <w:p w14:paraId="083B6DCC" w14:textId="77777777" w:rsidR="003D5B9C" w:rsidRPr="00610E81" w:rsidRDefault="003D5B9C" w:rsidP="00305D02">
            <w:pPr>
              <w:rPr>
                <w:sz w:val="20"/>
                <w:lang w:val="es-ES"/>
              </w:rPr>
            </w:pPr>
            <w:r w:rsidRPr="00610E81">
              <w:rPr>
                <w:sz w:val="20"/>
                <w:lang w:val="es-ES"/>
              </w:rPr>
              <w:t>HCFC-142b</w:t>
            </w:r>
          </w:p>
        </w:tc>
        <w:tc>
          <w:tcPr>
            <w:tcW w:w="804" w:type="dxa"/>
          </w:tcPr>
          <w:p w14:paraId="6AEFD2E5" w14:textId="77777777" w:rsidR="003D5B9C" w:rsidRPr="00610E81" w:rsidRDefault="003D5B9C" w:rsidP="00305D02">
            <w:pPr>
              <w:jc w:val="center"/>
              <w:rPr>
                <w:sz w:val="20"/>
                <w:lang w:val="es-ES"/>
              </w:rPr>
            </w:pPr>
            <w:r w:rsidRPr="00610E81">
              <w:rPr>
                <w:sz w:val="20"/>
                <w:lang w:val="es-ES"/>
              </w:rPr>
              <w:t>C</w:t>
            </w:r>
          </w:p>
        </w:tc>
        <w:tc>
          <w:tcPr>
            <w:tcW w:w="842" w:type="dxa"/>
          </w:tcPr>
          <w:p w14:paraId="0D7A8658" w14:textId="77777777" w:rsidR="003D5B9C" w:rsidRPr="00610E81" w:rsidRDefault="003D5B9C" w:rsidP="00305D02">
            <w:pPr>
              <w:jc w:val="center"/>
              <w:rPr>
                <w:sz w:val="20"/>
                <w:lang w:val="es-ES"/>
              </w:rPr>
            </w:pPr>
            <w:r w:rsidRPr="00610E81">
              <w:rPr>
                <w:sz w:val="20"/>
                <w:lang w:val="es-ES"/>
              </w:rPr>
              <w:t>I</w:t>
            </w:r>
          </w:p>
        </w:tc>
        <w:tc>
          <w:tcPr>
            <w:tcW w:w="4500" w:type="dxa"/>
            <w:shd w:val="clear" w:color="auto" w:fill="auto"/>
          </w:tcPr>
          <w:p w14:paraId="308087DB"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1.20</w:t>
            </w:r>
          </w:p>
        </w:tc>
      </w:tr>
      <w:tr w:rsidR="003D5B9C" w:rsidRPr="00610E81" w14:paraId="3C67C89C" w14:textId="77777777" w:rsidTr="00305D02">
        <w:tblPrEx>
          <w:tblLook w:val="0000" w:firstRow="0" w:lastRow="0" w:firstColumn="0" w:lastColumn="0" w:noHBand="0" w:noVBand="0"/>
        </w:tblPrEx>
        <w:tc>
          <w:tcPr>
            <w:tcW w:w="3304" w:type="dxa"/>
          </w:tcPr>
          <w:p w14:paraId="7100F760" w14:textId="77777777" w:rsidR="003D5B9C" w:rsidRPr="00610E81" w:rsidRDefault="003D5B9C" w:rsidP="00305D02">
            <w:pPr>
              <w:rPr>
                <w:sz w:val="20"/>
                <w:lang w:val="es-ES"/>
              </w:rPr>
            </w:pPr>
            <w:r w:rsidRPr="00610E81">
              <w:rPr>
                <w:sz w:val="20"/>
                <w:lang w:val="es-ES"/>
              </w:rPr>
              <w:t>HCFC-225</w:t>
            </w:r>
          </w:p>
        </w:tc>
        <w:tc>
          <w:tcPr>
            <w:tcW w:w="804" w:type="dxa"/>
          </w:tcPr>
          <w:p w14:paraId="4D1F08DF" w14:textId="77777777" w:rsidR="003D5B9C" w:rsidRPr="00610E81" w:rsidRDefault="003D5B9C" w:rsidP="00305D02">
            <w:pPr>
              <w:jc w:val="center"/>
              <w:rPr>
                <w:sz w:val="20"/>
                <w:lang w:val="es-ES"/>
              </w:rPr>
            </w:pPr>
          </w:p>
        </w:tc>
        <w:tc>
          <w:tcPr>
            <w:tcW w:w="842" w:type="dxa"/>
          </w:tcPr>
          <w:p w14:paraId="3AA43B8A" w14:textId="77777777" w:rsidR="003D5B9C" w:rsidRPr="00610E81" w:rsidRDefault="003D5B9C" w:rsidP="00305D02">
            <w:pPr>
              <w:jc w:val="center"/>
              <w:rPr>
                <w:sz w:val="20"/>
                <w:lang w:val="es-ES"/>
              </w:rPr>
            </w:pPr>
          </w:p>
        </w:tc>
        <w:tc>
          <w:tcPr>
            <w:tcW w:w="4500" w:type="dxa"/>
            <w:shd w:val="clear" w:color="auto" w:fill="auto"/>
          </w:tcPr>
          <w:p w14:paraId="498CDF85"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0.00</w:t>
            </w:r>
          </w:p>
        </w:tc>
      </w:tr>
      <w:tr w:rsidR="003D5B9C" w:rsidRPr="00610E81" w14:paraId="1085F043" w14:textId="77777777" w:rsidTr="00305D02">
        <w:tblPrEx>
          <w:tblLook w:val="0000" w:firstRow="0" w:lastRow="0" w:firstColumn="0" w:lastColumn="0" w:noHBand="0" w:noVBand="0"/>
        </w:tblPrEx>
        <w:tc>
          <w:tcPr>
            <w:tcW w:w="3304" w:type="dxa"/>
          </w:tcPr>
          <w:p w14:paraId="7487D399" w14:textId="77777777" w:rsidR="003D5B9C" w:rsidRPr="00610E81" w:rsidRDefault="003D5B9C" w:rsidP="00305D02">
            <w:pPr>
              <w:rPr>
                <w:sz w:val="20"/>
                <w:lang w:val="es-ES"/>
              </w:rPr>
            </w:pPr>
            <w:r w:rsidRPr="00610E81">
              <w:rPr>
                <w:sz w:val="20"/>
                <w:lang w:val="es-ES"/>
              </w:rPr>
              <w:t>Subtotal</w:t>
            </w:r>
          </w:p>
        </w:tc>
        <w:tc>
          <w:tcPr>
            <w:tcW w:w="804" w:type="dxa"/>
          </w:tcPr>
          <w:p w14:paraId="19CD8700" w14:textId="77777777" w:rsidR="003D5B9C" w:rsidRPr="00610E81" w:rsidRDefault="003D5B9C" w:rsidP="00305D02">
            <w:pPr>
              <w:jc w:val="center"/>
              <w:rPr>
                <w:sz w:val="20"/>
                <w:lang w:val="es-ES"/>
              </w:rPr>
            </w:pPr>
          </w:p>
        </w:tc>
        <w:tc>
          <w:tcPr>
            <w:tcW w:w="842" w:type="dxa"/>
          </w:tcPr>
          <w:p w14:paraId="7CC0CC8F" w14:textId="77777777" w:rsidR="003D5B9C" w:rsidRPr="00610E81" w:rsidRDefault="003D5B9C" w:rsidP="00305D02">
            <w:pPr>
              <w:jc w:val="center"/>
              <w:rPr>
                <w:sz w:val="20"/>
                <w:lang w:val="es-ES"/>
              </w:rPr>
            </w:pPr>
          </w:p>
        </w:tc>
        <w:tc>
          <w:tcPr>
            <w:tcW w:w="4500" w:type="dxa"/>
            <w:shd w:val="clear" w:color="auto" w:fill="auto"/>
          </w:tcPr>
          <w:p w14:paraId="0B7487AF"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23.49</w:t>
            </w:r>
          </w:p>
        </w:tc>
      </w:tr>
      <w:tr w:rsidR="003D5B9C" w:rsidRPr="00610E81" w14:paraId="761D60A8" w14:textId="77777777" w:rsidTr="00305D02">
        <w:tblPrEx>
          <w:tblLook w:val="0000" w:firstRow="0" w:lastRow="0" w:firstColumn="0" w:lastColumn="0" w:noHBand="0" w:noVBand="0"/>
        </w:tblPrEx>
        <w:tc>
          <w:tcPr>
            <w:tcW w:w="3304" w:type="dxa"/>
          </w:tcPr>
          <w:p w14:paraId="7D5EE9D7" w14:textId="77777777" w:rsidR="003D5B9C" w:rsidRPr="00610E81" w:rsidRDefault="003D5B9C" w:rsidP="00305D02">
            <w:pPr>
              <w:rPr>
                <w:sz w:val="20"/>
                <w:lang w:val="es-ES"/>
              </w:rPr>
            </w:pPr>
            <w:r w:rsidRPr="00610E81">
              <w:rPr>
                <w:sz w:val="20"/>
                <w:lang w:val="es-ES"/>
              </w:rPr>
              <w:t xml:space="preserve">HCFC-141b en </w:t>
            </w:r>
            <w:proofErr w:type="spellStart"/>
            <w:r w:rsidRPr="00610E81">
              <w:rPr>
                <w:sz w:val="20"/>
                <w:lang w:val="es-ES"/>
              </w:rPr>
              <w:t>polioles</w:t>
            </w:r>
            <w:proofErr w:type="spellEnd"/>
            <w:r w:rsidRPr="00610E81">
              <w:rPr>
                <w:sz w:val="20"/>
                <w:lang w:val="es-ES"/>
              </w:rPr>
              <w:t xml:space="preserve"> premezclados importados</w:t>
            </w:r>
          </w:p>
        </w:tc>
        <w:tc>
          <w:tcPr>
            <w:tcW w:w="804" w:type="dxa"/>
          </w:tcPr>
          <w:p w14:paraId="3D3DE374" w14:textId="77777777" w:rsidR="003D5B9C" w:rsidRPr="00610E81" w:rsidRDefault="003D5B9C" w:rsidP="00305D02">
            <w:pPr>
              <w:jc w:val="center"/>
              <w:rPr>
                <w:sz w:val="20"/>
                <w:lang w:val="es-ES"/>
              </w:rPr>
            </w:pPr>
            <w:r w:rsidRPr="00610E81">
              <w:rPr>
                <w:sz w:val="20"/>
                <w:lang w:val="es-ES"/>
              </w:rPr>
              <w:t>C</w:t>
            </w:r>
          </w:p>
        </w:tc>
        <w:tc>
          <w:tcPr>
            <w:tcW w:w="842" w:type="dxa"/>
          </w:tcPr>
          <w:p w14:paraId="0A4BA6D8" w14:textId="77777777" w:rsidR="003D5B9C" w:rsidRPr="00610E81" w:rsidRDefault="003D5B9C" w:rsidP="00305D02">
            <w:pPr>
              <w:jc w:val="center"/>
              <w:rPr>
                <w:sz w:val="20"/>
                <w:lang w:val="es-ES"/>
              </w:rPr>
            </w:pPr>
            <w:r w:rsidRPr="00610E81">
              <w:rPr>
                <w:sz w:val="20"/>
                <w:lang w:val="es-ES"/>
              </w:rPr>
              <w:t>I</w:t>
            </w:r>
          </w:p>
        </w:tc>
        <w:tc>
          <w:tcPr>
            <w:tcW w:w="4500" w:type="dxa"/>
            <w:shd w:val="clear" w:color="auto" w:fill="auto"/>
          </w:tcPr>
          <w:p w14:paraId="134C6DCF" w14:textId="77777777" w:rsidR="003D5B9C" w:rsidRPr="00610E81" w:rsidRDefault="003D5B9C" w:rsidP="00305D02">
            <w:pPr>
              <w:jc w:val="center"/>
              <w:rPr>
                <w:rFonts w:eastAsia="Calibri"/>
                <w:sz w:val="20"/>
                <w:szCs w:val="20"/>
                <w:lang w:val="es-ES"/>
              </w:rPr>
            </w:pPr>
            <w:r w:rsidRPr="00610E81">
              <w:rPr>
                <w:rFonts w:eastAsia="Calibri"/>
                <w:sz w:val="20"/>
                <w:szCs w:val="20"/>
                <w:lang w:val="es-ES"/>
              </w:rPr>
              <w:t>20.67</w:t>
            </w:r>
          </w:p>
        </w:tc>
      </w:tr>
      <w:tr w:rsidR="003D5B9C" w:rsidRPr="00610E81" w14:paraId="458E83DC" w14:textId="77777777" w:rsidTr="00305D02">
        <w:tc>
          <w:tcPr>
            <w:tcW w:w="3304" w:type="dxa"/>
          </w:tcPr>
          <w:p w14:paraId="601211A7" w14:textId="77777777" w:rsidR="003D5B9C" w:rsidRPr="00610E81" w:rsidRDefault="003D5B9C" w:rsidP="00305D02">
            <w:pPr>
              <w:widowControl w:val="0"/>
              <w:autoSpaceDE w:val="0"/>
              <w:autoSpaceDN w:val="0"/>
              <w:adjustRightInd w:val="0"/>
              <w:jc w:val="left"/>
              <w:rPr>
                <w:color w:val="000000"/>
                <w:sz w:val="20"/>
                <w:szCs w:val="24"/>
                <w:lang w:val="es-ES"/>
              </w:rPr>
            </w:pPr>
            <w:r w:rsidRPr="00610E81">
              <w:rPr>
                <w:color w:val="000000"/>
                <w:sz w:val="20"/>
                <w:szCs w:val="24"/>
                <w:lang w:val="es-ES"/>
              </w:rPr>
              <w:t>Total</w:t>
            </w:r>
          </w:p>
        </w:tc>
        <w:tc>
          <w:tcPr>
            <w:tcW w:w="804" w:type="dxa"/>
          </w:tcPr>
          <w:p w14:paraId="303C20FD" w14:textId="77777777" w:rsidR="003D5B9C" w:rsidRPr="00610E81" w:rsidRDefault="003D5B9C" w:rsidP="00305D02">
            <w:pPr>
              <w:widowControl w:val="0"/>
              <w:autoSpaceDE w:val="0"/>
              <w:autoSpaceDN w:val="0"/>
              <w:adjustRightInd w:val="0"/>
              <w:jc w:val="center"/>
              <w:rPr>
                <w:color w:val="000000"/>
                <w:sz w:val="20"/>
                <w:szCs w:val="24"/>
                <w:lang w:val="es-ES"/>
              </w:rPr>
            </w:pPr>
            <w:r w:rsidRPr="00610E81">
              <w:rPr>
                <w:color w:val="000000"/>
                <w:sz w:val="20"/>
                <w:szCs w:val="20"/>
                <w:lang w:val="es-ES"/>
              </w:rPr>
              <w:t>C</w:t>
            </w:r>
          </w:p>
        </w:tc>
        <w:tc>
          <w:tcPr>
            <w:tcW w:w="842" w:type="dxa"/>
          </w:tcPr>
          <w:p w14:paraId="0DCA6447" w14:textId="77777777" w:rsidR="003D5B9C" w:rsidRPr="00610E81" w:rsidRDefault="003D5B9C" w:rsidP="00305D02">
            <w:pPr>
              <w:widowControl w:val="0"/>
              <w:autoSpaceDE w:val="0"/>
              <w:autoSpaceDN w:val="0"/>
              <w:adjustRightInd w:val="0"/>
              <w:jc w:val="center"/>
              <w:rPr>
                <w:color w:val="000000"/>
                <w:sz w:val="20"/>
                <w:szCs w:val="24"/>
                <w:lang w:val="es-ES"/>
              </w:rPr>
            </w:pPr>
            <w:r w:rsidRPr="00610E81">
              <w:rPr>
                <w:color w:val="000000"/>
                <w:sz w:val="20"/>
                <w:szCs w:val="20"/>
                <w:lang w:val="es-ES"/>
              </w:rPr>
              <w:t>I</w:t>
            </w:r>
          </w:p>
        </w:tc>
        <w:tc>
          <w:tcPr>
            <w:tcW w:w="4500" w:type="dxa"/>
            <w:shd w:val="clear" w:color="auto" w:fill="auto"/>
          </w:tcPr>
          <w:p w14:paraId="2875AD85" w14:textId="77777777" w:rsidR="003D5B9C" w:rsidRPr="00610E81" w:rsidRDefault="003D5B9C" w:rsidP="00305D02">
            <w:pPr>
              <w:jc w:val="center"/>
              <w:rPr>
                <w:sz w:val="20"/>
                <w:lang w:val="es-ES"/>
              </w:rPr>
            </w:pPr>
            <w:r w:rsidRPr="00610E81">
              <w:rPr>
                <w:bCs/>
                <w:sz w:val="20"/>
                <w:szCs w:val="20"/>
                <w:lang w:val="es-ES"/>
              </w:rPr>
              <w:t>44.16</w:t>
            </w:r>
          </w:p>
        </w:tc>
      </w:tr>
    </w:tbl>
    <w:p w14:paraId="07655FC6" w14:textId="77777777" w:rsidR="003D5B9C" w:rsidRPr="00610E81" w:rsidRDefault="003D5B9C" w:rsidP="003D5B9C">
      <w:pPr>
        <w:rPr>
          <w:bCs/>
          <w:lang w:val="es-ES"/>
        </w:rPr>
      </w:pPr>
    </w:p>
    <w:p w14:paraId="5717E208" w14:textId="77777777" w:rsidR="003D5B9C" w:rsidRPr="00610E81" w:rsidRDefault="003D5B9C" w:rsidP="003D5B9C">
      <w:pPr>
        <w:rPr>
          <w:bCs/>
          <w:lang w:val="es-ES"/>
        </w:rPr>
      </w:pPr>
    </w:p>
    <w:p w14:paraId="4A472219" w14:textId="77777777" w:rsidR="003D5B9C" w:rsidRPr="00610E81" w:rsidRDefault="003D5B9C" w:rsidP="003D5B9C">
      <w:pPr>
        <w:rPr>
          <w:b/>
          <w:bCs/>
          <w:lang w:val="es-ES"/>
        </w:rPr>
      </w:pPr>
      <w:r w:rsidRPr="00610E81">
        <w:rPr>
          <w:b/>
          <w:bCs/>
          <w:lang w:val="es-ES"/>
        </w:rPr>
        <w:t>APÉNDICE 2-A: LOS OBJETIVOS Y LA FINANCIACIÓN</w:t>
      </w:r>
    </w:p>
    <w:tbl>
      <w:tblPr>
        <w:tblW w:w="0" w:type="auto"/>
        <w:jc w:val="center"/>
        <w:tblLook w:val="04A0" w:firstRow="1" w:lastRow="0" w:firstColumn="1" w:lastColumn="0" w:noHBand="0" w:noVBand="1"/>
      </w:tblPr>
      <w:tblGrid>
        <w:gridCol w:w="577"/>
        <w:gridCol w:w="2539"/>
        <w:gridCol w:w="801"/>
        <w:gridCol w:w="698"/>
        <w:gridCol w:w="801"/>
        <w:gridCol w:w="698"/>
        <w:gridCol w:w="801"/>
        <w:gridCol w:w="698"/>
        <w:gridCol w:w="801"/>
        <w:gridCol w:w="936"/>
      </w:tblGrid>
      <w:tr w:rsidR="003D5B9C" w:rsidRPr="00610E81" w14:paraId="19713871" w14:textId="77777777" w:rsidTr="00305D02">
        <w:trPr>
          <w:trHeight w:val="9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40714" w14:textId="77777777" w:rsidR="003D5B9C" w:rsidRPr="00610E81" w:rsidRDefault="003D5B9C" w:rsidP="00305D02">
            <w:pPr>
              <w:jc w:val="center"/>
              <w:rPr>
                <w:b/>
                <w:bCs/>
                <w:color w:val="000000"/>
                <w:sz w:val="18"/>
                <w:szCs w:val="18"/>
                <w:lang w:val="es-ES"/>
              </w:rPr>
            </w:pPr>
            <w:r w:rsidRPr="00610E81">
              <w:rPr>
                <w:b/>
                <w:bCs/>
                <w:color w:val="000000"/>
                <w:sz w:val="18"/>
                <w:szCs w:val="18"/>
                <w:lang w:val="es-ES"/>
              </w:rPr>
              <w:t>Fila</w:t>
            </w:r>
          </w:p>
        </w:tc>
        <w:tc>
          <w:tcPr>
            <w:tcW w:w="0" w:type="auto"/>
            <w:tcBorders>
              <w:top w:val="single" w:sz="4" w:space="0" w:color="auto"/>
              <w:left w:val="nil"/>
              <w:bottom w:val="single" w:sz="4" w:space="0" w:color="auto"/>
              <w:right w:val="single" w:sz="4" w:space="0" w:color="auto"/>
            </w:tcBorders>
            <w:shd w:val="clear" w:color="auto" w:fill="auto"/>
            <w:hideMark/>
          </w:tcPr>
          <w:p w14:paraId="1DC0569F" w14:textId="77777777" w:rsidR="003D5B9C" w:rsidRPr="00610E81" w:rsidRDefault="003D5B9C" w:rsidP="00305D02">
            <w:pPr>
              <w:jc w:val="center"/>
              <w:rPr>
                <w:b/>
                <w:bCs/>
                <w:color w:val="000000"/>
                <w:sz w:val="18"/>
                <w:szCs w:val="18"/>
                <w:lang w:val="es-ES"/>
              </w:rPr>
            </w:pPr>
            <w:r w:rsidRPr="00610E81">
              <w:rPr>
                <w:b/>
                <w:bCs/>
                <w:color w:val="000000"/>
                <w:sz w:val="18"/>
                <w:szCs w:val="18"/>
                <w:lang w:val="es-ES"/>
              </w:rPr>
              <w:t>Detalles</w:t>
            </w:r>
          </w:p>
        </w:tc>
        <w:tc>
          <w:tcPr>
            <w:tcW w:w="0" w:type="auto"/>
            <w:tcBorders>
              <w:top w:val="single" w:sz="4" w:space="0" w:color="auto"/>
              <w:left w:val="nil"/>
              <w:bottom w:val="single" w:sz="4" w:space="0" w:color="auto"/>
              <w:right w:val="single" w:sz="4" w:space="0" w:color="auto"/>
            </w:tcBorders>
            <w:shd w:val="clear" w:color="auto" w:fill="auto"/>
            <w:hideMark/>
          </w:tcPr>
          <w:p w14:paraId="76C7C8C2" w14:textId="77777777" w:rsidR="003D5B9C" w:rsidRPr="00610E81" w:rsidRDefault="003D5B9C" w:rsidP="00305D02">
            <w:pPr>
              <w:keepNext/>
              <w:keepLines/>
              <w:jc w:val="center"/>
              <w:rPr>
                <w:b/>
                <w:color w:val="000000"/>
                <w:sz w:val="18"/>
                <w:szCs w:val="18"/>
                <w:lang w:val="es-ES"/>
              </w:rPr>
            </w:pPr>
            <w:r w:rsidRPr="00610E81">
              <w:rPr>
                <w:b/>
                <w:color w:val="000000"/>
                <w:sz w:val="18"/>
                <w:szCs w:val="18"/>
                <w:lang w:val="es-ES"/>
              </w:rPr>
              <w:t>2020</w:t>
            </w:r>
          </w:p>
        </w:tc>
        <w:tc>
          <w:tcPr>
            <w:tcW w:w="0" w:type="auto"/>
            <w:tcBorders>
              <w:top w:val="single" w:sz="4" w:space="0" w:color="auto"/>
              <w:left w:val="nil"/>
              <w:bottom w:val="single" w:sz="4" w:space="0" w:color="auto"/>
              <w:right w:val="single" w:sz="4" w:space="0" w:color="auto"/>
            </w:tcBorders>
            <w:shd w:val="clear" w:color="auto" w:fill="auto"/>
          </w:tcPr>
          <w:p w14:paraId="696DA0C0" w14:textId="77777777" w:rsidR="003D5B9C" w:rsidRPr="00610E81" w:rsidRDefault="003D5B9C" w:rsidP="00305D02">
            <w:pPr>
              <w:keepNext/>
              <w:keepLines/>
              <w:jc w:val="center"/>
              <w:rPr>
                <w:b/>
                <w:bCs/>
                <w:color w:val="000000"/>
                <w:sz w:val="18"/>
                <w:szCs w:val="18"/>
                <w:lang w:val="es-ES" w:eastAsia="en-CA"/>
              </w:rPr>
            </w:pPr>
            <w:r w:rsidRPr="00610E81">
              <w:rPr>
                <w:b/>
                <w:bCs/>
                <w:color w:val="000000"/>
                <w:sz w:val="18"/>
                <w:szCs w:val="18"/>
                <w:lang w:val="es-ES" w:eastAsia="en-CA"/>
              </w:rPr>
              <w:t>2021-2023</w:t>
            </w:r>
          </w:p>
        </w:tc>
        <w:tc>
          <w:tcPr>
            <w:tcW w:w="0" w:type="auto"/>
            <w:tcBorders>
              <w:top w:val="single" w:sz="4" w:space="0" w:color="auto"/>
              <w:left w:val="nil"/>
              <w:bottom w:val="single" w:sz="4" w:space="0" w:color="auto"/>
              <w:right w:val="single" w:sz="4" w:space="0" w:color="auto"/>
            </w:tcBorders>
            <w:shd w:val="clear" w:color="auto" w:fill="auto"/>
            <w:hideMark/>
          </w:tcPr>
          <w:p w14:paraId="2DBCE3B5" w14:textId="77777777" w:rsidR="003D5B9C" w:rsidRPr="00610E81" w:rsidRDefault="003D5B9C" w:rsidP="00305D02">
            <w:pPr>
              <w:keepNext/>
              <w:keepLines/>
              <w:jc w:val="center"/>
              <w:rPr>
                <w:b/>
                <w:bCs/>
                <w:color w:val="000000"/>
                <w:sz w:val="18"/>
                <w:szCs w:val="18"/>
                <w:lang w:val="es-ES" w:eastAsia="en-CA"/>
              </w:rPr>
            </w:pPr>
            <w:r w:rsidRPr="00610E81">
              <w:rPr>
                <w:b/>
                <w:bCs/>
                <w:color w:val="000000"/>
                <w:sz w:val="18"/>
                <w:szCs w:val="18"/>
                <w:lang w:val="es-ES" w:eastAsia="en-CA"/>
              </w:rPr>
              <w:t>2024</w:t>
            </w:r>
          </w:p>
        </w:tc>
        <w:tc>
          <w:tcPr>
            <w:tcW w:w="0" w:type="auto"/>
            <w:tcBorders>
              <w:top w:val="single" w:sz="4" w:space="0" w:color="auto"/>
              <w:left w:val="nil"/>
              <w:bottom w:val="single" w:sz="4" w:space="0" w:color="auto"/>
              <w:right w:val="single" w:sz="4" w:space="0" w:color="auto"/>
            </w:tcBorders>
            <w:shd w:val="clear" w:color="auto" w:fill="auto"/>
            <w:hideMark/>
          </w:tcPr>
          <w:p w14:paraId="42785731" w14:textId="77777777" w:rsidR="003D5B9C" w:rsidRPr="00610E81" w:rsidRDefault="003D5B9C" w:rsidP="00305D02">
            <w:pPr>
              <w:keepNext/>
              <w:keepLines/>
              <w:jc w:val="center"/>
              <w:rPr>
                <w:b/>
                <w:bCs/>
                <w:color w:val="000000"/>
                <w:sz w:val="18"/>
                <w:szCs w:val="18"/>
                <w:lang w:val="es-ES" w:eastAsia="en-CA"/>
              </w:rPr>
            </w:pPr>
            <w:r w:rsidRPr="00610E81">
              <w:rPr>
                <w:b/>
                <w:bCs/>
                <w:color w:val="000000"/>
                <w:sz w:val="18"/>
                <w:szCs w:val="18"/>
                <w:lang w:val="es-ES" w:eastAsia="en-CA"/>
              </w:rPr>
              <w:t>2025-2026</w:t>
            </w:r>
          </w:p>
        </w:tc>
        <w:tc>
          <w:tcPr>
            <w:tcW w:w="0" w:type="auto"/>
            <w:tcBorders>
              <w:top w:val="single" w:sz="4" w:space="0" w:color="auto"/>
              <w:left w:val="nil"/>
              <w:bottom w:val="single" w:sz="4" w:space="0" w:color="auto"/>
              <w:right w:val="single" w:sz="4" w:space="0" w:color="auto"/>
            </w:tcBorders>
            <w:shd w:val="clear" w:color="auto" w:fill="auto"/>
            <w:hideMark/>
          </w:tcPr>
          <w:p w14:paraId="1DB5D4BC" w14:textId="77777777" w:rsidR="003D5B9C" w:rsidRPr="00610E81" w:rsidRDefault="003D5B9C" w:rsidP="00305D02">
            <w:pPr>
              <w:keepNext/>
              <w:keepLines/>
              <w:jc w:val="center"/>
              <w:rPr>
                <w:b/>
                <w:bCs/>
                <w:color w:val="000000"/>
                <w:sz w:val="18"/>
                <w:szCs w:val="18"/>
                <w:lang w:val="es-ES" w:eastAsia="en-CA"/>
              </w:rPr>
            </w:pPr>
            <w:r w:rsidRPr="00610E81">
              <w:rPr>
                <w:b/>
                <w:bCs/>
                <w:color w:val="000000"/>
                <w:sz w:val="18"/>
                <w:szCs w:val="18"/>
                <w:lang w:val="es-ES" w:eastAsia="en-CA"/>
              </w:rPr>
              <w:t>2027</w:t>
            </w:r>
          </w:p>
        </w:tc>
        <w:tc>
          <w:tcPr>
            <w:tcW w:w="0" w:type="auto"/>
            <w:tcBorders>
              <w:top w:val="single" w:sz="4" w:space="0" w:color="auto"/>
              <w:left w:val="nil"/>
              <w:bottom w:val="single" w:sz="4" w:space="0" w:color="auto"/>
              <w:right w:val="single" w:sz="4" w:space="0" w:color="auto"/>
            </w:tcBorders>
            <w:shd w:val="clear" w:color="auto" w:fill="auto"/>
            <w:hideMark/>
          </w:tcPr>
          <w:p w14:paraId="63AEF348" w14:textId="77777777" w:rsidR="003D5B9C" w:rsidRPr="00610E81" w:rsidRDefault="003D5B9C" w:rsidP="00305D02">
            <w:pPr>
              <w:keepNext/>
              <w:keepLines/>
              <w:jc w:val="center"/>
              <w:rPr>
                <w:b/>
                <w:bCs/>
                <w:color w:val="000000"/>
                <w:sz w:val="18"/>
                <w:szCs w:val="18"/>
                <w:lang w:val="es-ES" w:eastAsia="en-CA"/>
              </w:rPr>
            </w:pPr>
            <w:r w:rsidRPr="00610E81">
              <w:rPr>
                <w:b/>
                <w:bCs/>
                <w:color w:val="000000"/>
                <w:sz w:val="18"/>
                <w:szCs w:val="18"/>
                <w:lang w:val="es-ES" w:eastAsia="en-CA"/>
              </w:rPr>
              <w:t>2028-2029</w:t>
            </w:r>
          </w:p>
        </w:tc>
        <w:tc>
          <w:tcPr>
            <w:tcW w:w="0" w:type="auto"/>
            <w:tcBorders>
              <w:top w:val="single" w:sz="4" w:space="0" w:color="auto"/>
              <w:left w:val="nil"/>
              <w:bottom w:val="single" w:sz="4" w:space="0" w:color="auto"/>
              <w:right w:val="single" w:sz="4" w:space="0" w:color="auto"/>
            </w:tcBorders>
          </w:tcPr>
          <w:p w14:paraId="49B7F9D5" w14:textId="77777777" w:rsidR="003D5B9C" w:rsidRPr="00610E81" w:rsidRDefault="003D5B9C" w:rsidP="00305D02">
            <w:pPr>
              <w:keepNext/>
              <w:keepLines/>
              <w:jc w:val="center"/>
              <w:rPr>
                <w:b/>
                <w:bCs/>
                <w:color w:val="000000"/>
                <w:sz w:val="18"/>
                <w:szCs w:val="18"/>
                <w:lang w:val="es-ES" w:eastAsia="en-CA"/>
              </w:rPr>
            </w:pPr>
            <w:r w:rsidRPr="00610E81">
              <w:rPr>
                <w:b/>
                <w:bCs/>
                <w:color w:val="000000"/>
                <w:sz w:val="18"/>
                <w:szCs w:val="18"/>
                <w:lang w:val="es-ES" w:eastAsia="en-CA"/>
              </w:rPr>
              <w:t>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830B4" w14:textId="77777777" w:rsidR="003D5B9C" w:rsidRPr="00610E81" w:rsidRDefault="003D5B9C" w:rsidP="00305D02">
            <w:pPr>
              <w:keepNext/>
              <w:keepLines/>
              <w:jc w:val="center"/>
              <w:rPr>
                <w:b/>
                <w:color w:val="000000"/>
                <w:sz w:val="18"/>
                <w:szCs w:val="18"/>
                <w:lang w:val="es-ES"/>
              </w:rPr>
            </w:pPr>
            <w:r w:rsidRPr="00610E81">
              <w:rPr>
                <w:b/>
                <w:color w:val="000000"/>
                <w:sz w:val="18"/>
                <w:szCs w:val="18"/>
                <w:lang w:val="es-ES"/>
              </w:rPr>
              <w:t>Total</w:t>
            </w:r>
          </w:p>
        </w:tc>
      </w:tr>
      <w:tr w:rsidR="003D5B9C" w:rsidRPr="00610E81" w14:paraId="05077E32" w14:textId="77777777" w:rsidTr="00305D02">
        <w:trPr>
          <w:trHeight w:val="408"/>
          <w:jc w:val="center"/>
        </w:trPr>
        <w:tc>
          <w:tcPr>
            <w:tcW w:w="0" w:type="auto"/>
            <w:tcBorders>
              <w:top w:val="nil"/>
              <w:left w:val="single" w:sz="4" w:space="0" w:color="auto"/>
              <w:bottom w:val="single" w:sz="4" w:space="0" w:color="auto"/>
              <w:right w:val="single" w:sz="4" w:space="0" w:color="auto"/>
            </w:tcBorders>
            <w:shd w:val="clear" w:color="auto" w:fill="auto"/>
            <w:hideMark/>
          </w:tcPr>
          <w:p w14:paraId="278F12BB"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1.1</w:t>
            </w:r>
          </w:p>
        </w:tc>
        <w:tc>
          <w:tcPr>
            <w:tcW w:w="0" w:type="auto"/>
            <w:tcBorders>
              <w:top w:val="single" w:sz="4" w:space="0" w:color="auto"/>
              <w:bottom w:val="single" w:sz="4" w:space="0" w:color="auto"/>
              <w:right w:val="single" w:sz="4" w:space="0" w:color="auto"/>
            </w:tcBorders>
            <w:hideMark/>
          </w:tcPr>
          <w:p w14:paraId="36CE54F2" w14:textId="77777777" w:rsidR="003D5B9C" w:rsidRPr="00610E81" w:rsidRDefault="003D5B9C" w:rsidP="00305D02">
            <w:pPr>
              <w:jc w:val="left"/>
              <w:rPr>
                <w:sz w:val="18"/>
                <w:szCs w:val="18"/>
                <w:lang w:val="es-ES"/>
              </w:rPr>
            </w:pPr>
            <w:r w:rsidRPr="00610E81">
              <w:rPr>
                <w:sz w:val="18"/>
                <w:szCs w:val="18"/>
                <w:lang w:val="es-ES"/>
              </w:rPr>
              <w:t>Calendario de reducción del Protocolo de Montreal para sustancias del Anexo C, Grupo I (toneladas PAO)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9D868E" w14:textId="77777777" w:rsidR="003D5B9C" w:rsidRPr="00610E81" w:rsidRDefault="003D5B9C" w:rsidP="00305D02">
            <w:pPr>
              <w:keepNext/>
              <w:keepLines/>
              <w:jc w:val="right"/>
              <w:rPr>
                <w:color w:val="000000"/>
                <w:sz w:val="18"/>
                <w:szCs w:val="18"/>
                <w:lang w:val="es-ES"/>
              </w:rPr>
            </w:pPr>
            <w:r w:rsidRPr="00610E81">
              <w:rPr>
                <w:sz w:val="18"/>
                <w:szCs w:val="18"/>
                <w:lang w:val="es-ES"/>
              </w:rPr>
              <w:t>15.27</w:t>
            </w:r>
          </w:p>
        </w:tc>
        <w:tc>
          <w:tcPr>
            <w:tcW w:w="0" w:type="auto"/>
            <w:tcBorders>
              <w:top w:val="nil"/>
              <w:left w:val="nil"/>
              <w:bottom w:val="single" w:sz="4" w:space="0" w:color="auto"/>
              <w:right w:val="single" w:sz="4" w:space="0" w:color="auto"/>
            </w:tcBorders>
            <w:shd w:val="clear" w:color="auto" w:fill="FFFFFF" w:themeFill="background1"/>
          </w:tcPr>
          <w:p w14:paraId="4A3FC9BB" w14:textId="77777777" w:rsidR="003D5B9C" w:rsidRPr="00610E81" w:rsidRDefault="003D5B9C" w:rsidP="00305D02">
            <w:pPr>
              <w:keepNext/>
              <w:keepLines/>
              <w:jc w:val="right"/>
              <w:rPr>
                <w:color w:val="000000"/>
                <w:sz w:val="18"/>
                <w:szCs w:val="18"/>
                <w:lang w:val="es-ES"/>
              </w:rPr>
            </w:pPr>
            <w:r w:rsidRPr="00610E81">
              <w:rPr>
                <w:sz w:val="18"/>
                <w:szCs w:val="18"/>
                <w:lang w:val="es-ES"/>
              </w:rPr>
              <w:t>15.27</w:t>
            </w:r>
          </w:p>
        </w:tc>
        <w:tc>
          <w:tcPr>
            <w:tcW w:w="0" w:type="auto"/>
            <w:tcBorders>
              <w:top w:val="nil"/>
              <w:left w:val="nil"/>
              <w:bottom w:val="single" w:sz="4" w:space="0" w:color="auto"/>
              <w:right w:val="single" w:sz="4" w:space="0" w:color="auto"/>
            </w:tcBorders>
            <w:shd w:val="clear" w:color="auto" w:fill="FFFFFF" w:themeFill="background1"/>
          </w:tcPr>
          <w:p w14:paraId="0C2AE41A" w14:textId="77777777" w:rsidR="003D5B9C" w:rsidRPr="00610E81" w:rsidRDefault="003D5B9C" w:rsidP="00305D02">
            <w:pPr>
              <w:keepNext/>
              <w:keepLines/>
              <w:jc w:val="right"/>
              <w:rPr>
                <w:color w:val="000000"/>
                <w:sz w:val="18"/>
                <w:szCs w:val="18"/>
                <w:lang w:val="es-ES"/>
              </w:rPr>
            </w:pPr>
            <w:r w:rsidRPr="00610E81">
              <w:rPr>
                <w:sz w:val="18"/>
                <w:szCs w:val="18"/>
                <w:lang w:val="es-ES"/>
              </w:rPr>
              <w:t>15.27</w:t>
            </w:r>
          </w:p>
        </w:tc>
        <w:tc>
          <w:tcPr>
            <w:tcW w:w="0" w:type="auto"/>
            <w:tcBorders>
              <w:top w:val="nil"/>
              <w:left w:val="nil"/>
              <w:bottom w:val="single" w:sz="4" w:space="0" w:color="auto"/>
              <w:right w:val="single" w:sz="4" w:space="0" w:color="auto"/>
            </w:tcBorders>
            <w:shd w:val="clear" w:color="auto" w:fill="FFFFFF" w:themeFill="background1"/>
          </w:tcPr>
          <w:p w14:paraId="647D72C3" w14:textId="77777777" w:rsidR="003D5B9C" w:rsidRPr="00610E81" w:rsidRDefault="003D5B9C" w:rsidP="00305D02">
            <w:pPr>
              <w:keepNext/>
              <w:keepLines/>
              <w:jc w:val="right"/>
              <w:rPr>
                <w:color w:val="000000"/>
                <w:sz w:val="18"/>
                <w:szCs w:val="18"/>
                <w:lang w:val="es-ES"/>
              </w:rPr>
            </w:pPr>
            <w:r w:rsidRPr="00610E81">
              <w:rPr>
                <w:sz w:val="18"/>
                <w:szCs w:val="18"/>
                <w:lang w:val="es-ES"/>
              </w:rPr>
              <w:t>7.63</w:t>
            </w:r>
          </w:p>
        </w:tc>
        <w:tc>
          <w:tcPr>
            <w:tcW w:w="0" w:type="auto"/>
            <w:tcBorders>
              <w:top w:val="nil"/>
              <w:left w:val="nil"/>
              <w:bottom w:val="single" w:sz="4" w:space="0" w:color="auto"/>
              <w:right w:val="single" w:sz="4" w:space="0" w:color="auto"/>
            </w:tcBorders>
            <w:shd w:val="clear" w:color="auto" w:fill="FFFFFF" w:themeFill="background1"/>
          </w:tcPr>
          <w:p w14:paraId="3BA8A152" w14:textId="77777777" w:rsidR="003D5B9C" w:rsidRPr="00610E81" w:rsidRDefault="003D5B9C" w:rsidP="00305D02">
            <w:pPr>
              <w:keepNext/>
              <w:keepLines/>
              <w:jc w:val="right"/>
              <w:rPr>
                <w:color w:val="000000"/>
                <w:sz w:val="18"/>
                <w:szCs w:val="18"/>
                <w:lang w:val="es-ES"/>
              </w:rPr>
            </w:pPr>
            <w:r w:rsidRPr="00610E81">
              <w:rPr>
                <w:sz w:val="18"/>
                <w:szCs w:val="18"/>
                <w:lang w:val="es-ES"/>
              </w:rPr>
              <w:t>7.63</w:t>
            </w:r>
          </w:p>
        </w:tc>
        <w:tc>
          <w:tcPr>
            <w:tcW w:w="0" w:type="auto"/>
            <w:tcBorders>
              <w:top w:val="nil"/>
              <w:left w:val="nil"/>
              <w:bottom w:val="single" w:sz="4" w:space="0" w:color="auto"/>
              <w:right w:val="single" w:sz="4" w:space="0" w:color="auto"/>
            </w:tcBorders>
            <w:shd w:val="clear" w:color="auto" w:fill="FFFFFF" w:themeFill="background1"/>
          </w:tcPr>
          <w:p w14:paraId="4F4191A4" w14:textId="77777777" w:rsidR="003D5B9C" w:rsidRPr="00610E81" w:rsidRDefault="003D5B9C" w:rsidP="00305D02">
            <w:pPr>
              <w:keepNext/>
              <w:keepLines/>
              <w:jc w:val="right"/>
              <w:rPr>
                <w:color w:val="000000"/>
                <w:sz w:val="18"/>
                <w:szCs w:val="18"/>
                <w:lang w:val="es-ES"/>
              </w:rPr>
            </w:pPr>
            <w:r w:rsidRPr="00610E81">
              <w:rPr>
                <w:sz w:val="18"/>
                <w:szCs w:val="18"/>
                <w:lang w:val="es-ES"/>
              </w:rPr>
              <w:t>7.63</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217D2C07" w14:textId="77777777" w:rsidR="003D5B9C" w:rsidRPr="00610E81" w:rsidRDefault="003D5B9C" w:rsidP="00305D02">
            <w:pPr>
              <w:keepNext/>
              <w:keepLines/>
              <w:jc w:val="right"/>
              <w:rPr>
                <w:color w:val="000000"/>
                <w:sz w:val="18"/>
                <w:szCs w:val="18"/>
                <w:lang w:val="es-ES" w:eastAsia="en-CA"/>
              </w:rPr>
            </w:pPr>
            <w:r w:rsidRPr="00610E81">
              <w:rPr>
                <w:color w:val="000000"/>
                <w:sz w:val="18"/>
                <w:szCs w:val="18"/>
                <w:lang w:val="es-ES" w:eastAsia="en-CA"/>
              </w:rPr>
              <w:t>0</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A0ECE26" w14:textId="77777777" w:rsidR="003D5B9C" w:rsidRPr="00610E81" w:rsidRDefault="003D5B9C" w:rsidP="00305D02">
            <w:pPr>
              <w:keepNext/>
              <w:keepLines/>
              <w:jc w:val="right"/>
              <w:rPr>
                <w:color w:val="000000"/>
                <w:sz w:val="18"/>
                <w:szCs w:val="18"/>
                <w:lang w:val="es-ES" w:eastAsia="en-CA"/>
              </w:rPr>
            </w:pPr>
            <w:r w:rsidRPr="00610E81">
              <w:rPr>
                <w:color w:val="000000"/>
                <w:sz w:val="18"/>
                <w:szCs w:val="18"/>
                <w:lang w:val="es-ES" w:eastAsia="en-CA"/>
              </w:rPr>
              <w:t>n/a</w:t>
            </w:r>
          </w:p>
        </w:tc>
      </w:tr>
      <w:tr w:rsidR="003D5B9C" w:rsidRPr="00610E81" w14:paraId="7D28F992" w14:textId="77777777" w:rsidTr="00305D02">
        <w:trPr>
          <w:trHeight w:val="408"/>
          <w:jc w:val="center"/>
        </w:trPr>
        <w:tc>
          <w:tcPr>
            <w:tcW w:w="0" w:type="auto"/>
            <w:tcBorders>
              <w:top w:val="nil"/>
              <w:left w:val="single" w:sz="4" w:space="0" w:color="auto"/>
              <w:bottom w:val="single" w:sz="4" w:space="0" w:color="auto"/>
              <w:right w:val="single" w:sz="4" w:space="0" w:color="auto"/>
            </w:tcBorders>
            <w:shd w:val="clear" w:color="auto" w:fill="auto"/>
            <w:hideMark/>
          </w:tcPr>
          <w:p w14:paraId="0B80F758" w14:textId="77777777" w:rsidR="003D5B9C" w:rsidRPr="00610E81" w:rsidRDefault="003D5B9C" w:rsidP="00305D02">
            <w:pPr>
              <w:jc w:val="left"/>
              <w:rPr>
                <w:color w:val="000000"/>
                <w:sz w:val="18"/>
                <w:szCs w:val="18"/>
                <w:lang w:val="es-ES"/>
              </w:rPr>
            </w:pPr>
            <w:r w:rsidRPr="00610E81">
              <w:rPr>
                <w:color w:val="000000"/>
                <w:sz w:val="18"/>
                <w:szCs w:val="18"/>
                <w:lang w:val="es-ES"/>
              </w:rPr>
              <w:t>1.2</w:t>
            </w:r>
          </w:p>
        </w:tc>
        <w:tc>
          <w:tcPr>
            <w:tcW w:w="0" w:type="auto"/>
            <w:tcBorders>
              <w:top w:val="single" w:sz="4" w:space="0" w:color="auto"/>
              <w:bottom w:val="single" w:sz="4" w:space="0" w:color="auto"/>
              <w:right w:val="single" w:sz="4" w:space="0" w:color="auto"/>
            </w:tcBorders>
            <w:hideMark/>
          </w:tcPr>
          <w:p w14:paraId="6D9DA0C4" w14:textId="77777777" w:rsidR="003D5B9C" w:rsidRPr="00610E81" w:rsidRDefault="003D5B9C" w:rsidP="00305D02">
            <w:pPr>
              <w:widowControl w:val="0"/>
              <w:jc w:val="left"/>
              <w:rPr>
                <w:sz w:val="18"/>
                <w:szCs w:val="18"/>
                <w:lang w:val="es-ES"/>
              </w:rPr>
            </w:pPr>
            <w:r w:rsidRPr="00610E81">
              <w:rPr>
                <w:sz w:val="18"/>
                <w:szCs w:val="18"/>
                <w:lang w:val="es-ES"/>
              </w:rPr>
              <w:t>Consumo total máximo permisible para sustancias del Anexo C, Grupo I (toneladas PAO)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32D6913" w14:textId="77777777" w:rsidR="003D5B9C" w:rsidRPr="00610E81" w:rsidRDefault="003D5B9C" w:rsidP="00305D02">
            <w:pPr>
              <w:jc w:val="right"/>
              <w:rPr>
                <w:color w:val="000000"/>
                <w:sz w:val="18"/>
                <w:szCs w:val="18"/>
                <w:lang w:val="es-ES"/>
              </w:rPr>
            </w:pPr>
            <w:r w:rsidRPr="00610E81">
              <w:rPr>
                <w:sz w:val="18"/>
                <w:szCs w:val="18"/>
                <w:lang w:val="es-ES"/>
              </w:rPr>
              <w:t>15.27</w:t>
            </w:r>
          </w:p>
        </w:tc>
        <w:tc>
          <w:tcPr>
            <w:tcW w:w="0" w:type="auto"/>
            <w:tcBorders>
              <w:top w:val="nil"/>
              <w:left w:val="nil"/>
              <w:bottom w:val="single" w:sz="4" w:space="0" w:color="auto"/>
              <w:right w:val="single" w:sz="4" w:space="0" w:color="auto"/>
            </w:tcBorders>
            <w:shd w:val="clear" w:color="auto" w:fill="FFFFFF" w:themeFill="background1"/>
          </w:tcPr>
          <w:p w14:paraId="1024F112" w14:textId="77777777" w:rsidR="003D5B9C" w:rsidRPr="00610E81" w:rsidRDefault="003D5B9C" w:rsidP="00305D02">
            <w:pPr>
              <w:jc w:val="right"/>
              <w:rPr>
                <w:color w:val="000000"/>
                <w:sz w:val="18"/>
                <w:szCs w:val="18"/>
                <w:lang w:val="es-ES"/>
              </w:rPr>
            </w:pPr>
            <w:r w:rsidRPr="00610E81">
              <w:rPr>
                <w:sz w:val="18"/>
                <w:szCs w:val="18"/>
                <w:lang w:val="es-ES"/>
              </w:rPr>
              <w:t>15.27</w:t>
            </w:r>
          </w:p>
        </w:tc>
        <w:tc>
          <w:tcPr>
            <w:tcW w:w="0" w:type="auto"/>
            <w:tcBorders>
              <w:top w:val="nil"/>
              <w:left w:val="nil"/>
              <w:bottom w:val="single" w:sz="4" w:space="0" w:color="auto"/>
              <w:right w:val="single" w:sz="4" w:space="0" w:color="auto"/>
            </w:tcBorders>
            <w:shd w:val="clear" w:color="auto" w:fill="FFFFFF" w:themeFill="background1"/>
          </w:tcPr>
          <w:p w14:paraId="7440F9FB" w14:textId="77777777" w:rsidR="003D5B9C" w:rsidRPr="00610E81" w:rsidRDefault="003D5B9C" w:rsidP="00305D02">
            <w:pPr>
              <w:jc w:val="right"/>
              <w:rPr>
                <w:color w:val="000000"/>
                <w:sz w:val="18"/>
                <w:szCs w:val="18"/>
                <w:lang w:val="es-ES"/>
              </w:rPr>
            </w:pPr>
            <w:r w:rsidRPr="00610E81">
              <w:rPr>
                <w:sz w:val="18"/>
                <w:szCs w:val="18"/>
                <w:lang w:val="es-ES"/>
              </w:rPr>
              <w:t>15.27</w:t>
            </w:r>
          </w:p>
        </w:tc>
        <w:tc>
          <w:tcPr>
            <w:tcW w:w="0" w:type="auto"/>
            <w:tcBorders>
              <w:top w:val="nil"/>
              <w:left w:val="nil"/>
              <w:bottom w:val="single" w:sz="4" w:space="0" w:color="auto"/>
              <w:right w:val="single" w:sz="4" w:space="0" w:color="auto"/>
            </w:tcBorders>
            <w:shd w:val="clear" w:color="auto" w:fill="FFFFFF" w:themeFill="background1"/>
          </w:tcPr>
          <w:p w14:paraId="7BC30618" w14:textId="77777777" w:rsidR="003D5B9C" w:rsidRPr="00610E81" w:rsidRDefault="003D5B9C" w:rsidP="00305D02">
            <w:pPr>
              <w:jc w:val="right"/>
              <w:rPr>
                <w:color w:val="000000"/>
                <w:sz w:val="18"/>
                <w:szCs w:val="18"/>
                <w:lang w:val="es-ES"/>
              </w:rPr>
            </w:pPr>
            <w:r w:rsidRPr="00610E81">
              <w:rPr>
                <w:sz w:val="18"/>
                <w:szCs w:val="18"/>
                <w:lang w:val="es-ES"/>
              </w:rPr>
              <w:t>7.63</w:t>
            </w:r>
          </w:p>
        </w:tc>
        <w:tc>
          <w:tcPr>
            <w:tcW w:w="0" w:type="auto"/>
            <w:tcBorders>
              <w:top w:val="nil"/>
              <w:left w:val="nil"/>
              <w:bottom w:val="single" w:sz="4" w:space="0" w:color="auto"/>
              <w:right w:val="single" w:sz="4" w:space="0" w:color="auto"/>
            </w:tcBorders>
            <w:shd w:val="clear" w:color="auto" w:fill="FFFFFF" w:themeFill="background1"/>
          </w:tcPr>
          <w:p w14:paraId="03CDC6ED" w14:textId="77777777" w:rsidR="003D5B9C" w:rsidRPr="00610E81" w:rsidRDefault="003D5B9C" w:rsidP="00305D02">
            <w:pPr>
              <w:jc w:val="right"/>
              <w:rPr>
                <w:color w:val="000000"/>
                <w:sz w:val="18"/>
                <w:szCs w:val="18"/>
                <w:lang w:val="es-ES"/>
              </w:rPr>
            </w:pPr>
            <w:r w:rsidRPr="00610E81">
              <w:rPr>
                <w:sz w:val="18"/>
                <w:szCs w:val="18"/>
                <w:lang w:val="es-ES"/>
              </w:rPr>
              <w:t>7.63</w:t>
            </w:r>
          </w:p>
        </w:tc>
        <w:tc>
          <w:tcPr>
            <w:tcW w:w="0" w:type="auto"/>
            <w:tcBorders>
              <w:top w:val="nil"/>
              <w:left w:val="nil"/>
              <w:bottom w:val="single" w:sz="4" w:space="0" w:color="auto"/>
              <w:right w:val="single" w:sz="4" w:space="0" w:color="auto"/>
            </w:tcBorders>
            <w:shd w:val="clear" w:color="auto" w:fill="FFFFFF" w:themeFill="background1"/>
          </w:tcPr>
          <w:p w14:paraId="08551D7C" w14:textId="77777777" w:rsidR="003D5B9C" w:rsidRPr="00610E81" w:rsidRDefault="003D5B9C" w:rsidP="00305D02">
            <w:pPr>
              <w:jc w:val="right"/>
              <w:rPr>
                <w:color w:val="000000"/>
                <w:sz w:val="18"/>
                <w:szCs w:val="18"/>
                <w:lang w:val="es-ES"/>
              </w:rPr>
            </w:pPr>
            <w:r w:rsidRPr="00610E81">
              <w:rPr>
                <w:sz w:val="18"/>
                <w:szCs w:val="18"/>
                <w:lang w:val="es-ES"/>
              </w:rPr>
              <w:t>7.63</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4458D80B"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n-CA"/>
              </w:rPr>
              <w:t>0</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F64E81A"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n-CA"/>
              </w:rPr>
              <w:t>n/a</w:t>
            </w:r>
          </w:p>
        </w:tc>
      </w:tr>
      <w:tr w:rsidR="003D5B9C" w:rsidRPr="00610E81" w14:paraId="0FD9012B" w14:textId="77777777" w:rsidTr="00305D02">
        <w:trPr>
          <w:trHeight w:val="116"/>
          <w:jc w:val="center"/>
        </w:trPr>
        <w:tc>
          <w:tcPr>
            <w:tcW w:w="0" w:type="auto"/>
            <w:tcBorders>
              <w:top w:val="nil"/>
              <w:left w:val="single" w:sz="4" w:space="0" w:color="auto"/>
              <w:bottom w:val="single" w:sz="4" w:space="0" w:color="auto"/>
              <w:right w:val="single" w:sz="4" w:space="0" w:color="auto"/>
            </w:tcBorders>
            <w:shd w:val="clear" w:color="auto" w:fill="auto"/>
            <w:hideMark/>
          </w:tcPr>
          <w:p w14:paraId="27FB44DC" w14:textId="77777777" w:rsidR="003D5B9C" w:rsidRPr="00610E81" w:rsidRDefault="003D5B9C" w:rsidP="00305D02">
            <w:pPr>
              <w:jc w:val="left"/>
              <w:rPr>
                <w:color w:val="000000"/>
                <w:sz w:val="18"/>
                <w:szCs w:val="18"/>
                <w:lang w:val="es-ES"/>
              </w:rPr>
            </w:pPr>
            <w:r w:rsidRPr="00610E81">
              <w:rPr>
                <w:color w:val="000000"/>
                <w:sz w:val="18"/>
                <w:szCs w:val="18"/>
                <w:lang w:val="es-ES"/>
              </w:rPr>
              <w:t>2.1</w:t>
            </w:r>
          </w:p>
        </w:tc>
        <w:tc>
          <w:tcPr>
            <w:tcW w:w="0" w:type="auto"/>
            <w:tcBorders>
              <w:top w:val="single" w:sz="4" w:space="0" w:color="auto"/>
              <w:bottom w:val="single" w:sz="4" w:space="0" w:color="auto"/>
              <w:right w:val="single" w:sz="4" w:space="0" w:color="auto"/>
            </w:tcBorders>
            <w:hideMark/>
          </w:tcPr>
          <w:p w14:paraId="6D8D7845" w14:textId="77777777" w:rsidR="003D5B9C" w:rsidRPr="00610E81" w:rsidRDefault="003D5B9C" w:rsidP="00305D02">
            <w:pPr>
              <w:widowControl w:val="0"/>
              <w:jc w:val="left"/>
              <w:rPr>
                <w:sz w:val="18"/>
                <w:szCs w:val="18"/>
                <w:lang w:val="es-ES"/>
              </w:rPr>
            </w:pPr>
            <w:r w:rsidRPr="00610E81">
              <w:rPr>
                <w:sz w:val="18"/>
                <w:szCs w:val="18"/>
                <w:lang w:val="es-ES"/>
              </w:rPr>
              <w:t>Financiación convenida para el Organismo de Ejecución Principal (ONUDI) ($EUA)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F2CA" w14:textId="77777777" w:rsidR="003D5B9C" w:rsidRPr="00610E81" w:rsidRDefault="003D5B9C" w:rsidP="00305D02">
            <w:pPr>
              <w:jc w:val="right"/>
              <w:rPr>
                <w:color w:val="000000"/>
                <w:sz w:val="18"/>
                <w:szCs w:val="18"/>
                <w:lang w:val="es-ES"/>
              </w:rPr>
            </w:pPr>
            <w:r w:rsidRPr="00610E81">
              <w:rPr>
                <w:color w:val="000000"/>
                <w:sz w:val="18"/>
                <w:szCs w:val="18"/>
                <w:lang w:val="es-ES"/>
              </w:rPr>
              <w:t>292,750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15CF"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78BA8" w14:textId="77777777" w:rsidR="003D5B9C" w:rsidRPr="00610E81" w:rsidRDefault="003D5B9C" w:rsidP="00305D02">
            <w:pPr>
              <w:jc w:val="right"/>
              <w:rPr>
                <w:color w:val="000000"/>
                <w:sz w:val="18"/>
                <w:szCs w:val="18"/>
                <w:lang w:val="es-ES"/>
              </w:rPr>
            </w:pPr>
            <w:r w:rsidRPr="00610E81">
              <w:rPr>
                <w:color w:val="000000"/>
                <w:sz w:val="18"/>
                <w:szCs w:val="18"/>
                <w:lang w:val="es-ES"/>
              </w:rPr>
              <w:t>407,250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55D43"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793C7" w14:textId="77777777" w:rsidR="003D5B9C" w:rsidRPr="00610E81" w:rsidRDefault="003D5B9C" w:rsidP="00305D02">
            <w:pPr>
              <w:jc w:val="right"/>
              <w:rPr>
                <w:color w:val="000000"/>
                <w:sz w:val="18"/>
                <w:szCs w:val="18"/>
                <w:lang w:val="es-ES"/>
              </w:rPr>
            </w:pPr>
            <w:r w:rsidRPr="00610E81">
              <w:rPr>
                <w:color w:val="000000"/>
                <w:sz w:val="18"/>
                <w:szCs w:val="18"/>
                <w:lang w:val="es-ES"/>
              </w:rPr>
              <w:t>255,500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D1B39"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A430E" w14:textId="77777777" w:rsidR="003D5B9C" w:rsidRPr="00610E81" w:rsidRDefault="003D5B9C" w:rsidP="00305D02">
            <w:pPr>
              <w:ind w:hanging="117"/>
              <w:jc w:val="right"/>
              <w:rPr>
                <w:color w:val="000000"/>
                <w:sz w:val="18"/>
                <w:szCs w:val="18"/>
                <w:lang w:val="es-ES" w:eastAsia="en-CA"/>
              </w:rPr>
            </w:pPr>
            <w:r w:rsidRPr="00610E81">
              <w:rPr>
                <w:color w:val="000000"/>
                <w:sz w:val="18"/>
                <w:szCs w:val="18"/>
                <w:lang w:val="es-ES"/>
              </w:rPr>
              <w:t>214,500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B58C3" w14:textId="77777777" w:rsidR="003D5B9C" w:rsidRPr="00610E81" w:rsidRDefault="003D5B9C" w:rsidP="00305D02">
            <w:pPr>
              <w:ind w:right="-16" w:hanging="122"/>
              <w:jc w:val="right"/>
              <w:rPr>
                <w:color w:val="000000"/>
                <w:sz w:val="18"/>
                <w:szCs w:val="18"/>
                <w:lang w:val="es-ES" w:eastAsia="en-CA"/>
              </w:rPr>
            </w:pPr>
            <w:r w:rsidRPr="00610E81">
              <w:rPr>
                <w:color w:val="000000"/>
                <w:sz w:val="18"/>
                <w:szCs w:val="18"/>
                <w:lang w:val="es-ES"/>
              </w:rPr>
              <w:t>1,170,000</w:t>
            </w:r>
          </w:p>
        </w:tc>
      </w:tr>
      <w:tr w:rsidR="003D5B9C" w:rsidRPr="00610E81" w14:paraId="114BFFF2" w14:textId="77777777" w:rsidTr="00305D02">
        <w:trPr>
          <w:trHeight w:val="56"/>
          <w:jc w:val="center"/>
        </w:trPr>
        <w:tc>
          <w:tcPr>
            <w:tcW w:w="0" w:type="auto"/>
            <w:tcBorders>
              <w:top w:val="nil"/>
              <w:left w:val="single" w:sz="4" w:space="0" w:color="auto"/>
              <w:bottom w:val="single" w:sz="4" w:space="0" w:color="auto"/>
              <w:right w:val="single" w:sz="4" w:space="0" w:color="auto"/>
            </w:tcBorders>
            <w:shd w:val="clear" w:color="auto" w:fill="auto"/>
            <w:hideMark/>
          </w:tcPr>
          <w:p w14:paraId="130E774F" w14:textId="77777777" w:rsidR="003D5B9C" w:rsidRPr="00610E81" w:rsidRDefault="003D5B9C" w:rsidP="00305D02">
            <w:pPr>
              <w:jc w:val="left"/>
              <w:rPr>
                <w:color w:val="000000"/>
                <w:sz w:val="18"/>
                <w:szCs w:val="18"/>
                <w:lang w:val="es-ES"/>
              </w:rPr>
            </w:pPr>
            <w:r w:rsidRPr="00610E81">
              <w:rPr>
                <w:color w:val="000000"/>
                <w:sz w:val="18"/>
                <w:szCs w:val="18"/>
                <w:lang w:val="es-ES"/>
              </w:rPr>
              <w:t>2.2</w:t>
            </w:r>
          </w:p>
        </w:tc>
        <w:tc>
          <w:tcPr>
            <w:tcW w:w="0" w:type="auto"/>
            <w:tcBorders>
              <w:top w:val="single" w:sz="4" w:space="0" w:color="auto"/>
              <w:bottom w:val="single" w:sz="4" w:space="0" w:color="auto"/>
              <w:right w:val="single" w:sz="4" w:space="0" w:color="auto"/>
            </w:tcBorders>
            <w:hideMark/>
          </w:tcPr>
          <w:p w14:paraId="2D03DD61" w14:textId="77777777" w:rsidR="003D5B9C" w:rsidRPr="00610E81" w:rsidRDefault="003D5B9C" w:rsidP="00305D02">
            <w:pPr>
              <w:widowControl w:val="0"/>
              <w:jc w:val="left"/>
              <w:rPr>
                <w:sz w:val="18"/>
                <w:szCs w:val="18"/>
                <w:lang w:val="es-ES"/>
              </w:rPr>
            </w:pPr>
            <w:r w:rsidRPr="00610E81">
              <w:rPr>
                <w:sz w:val="18"/>
                <w:szCs w:val="18"/>
                <w:lang w:val="es-ES"/>
              </w:rPr>
              <w:t>Gastos de apoyo para el Organismo de Ejecución Principal ($EUA)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9740" w14:textId="77777777" w:rsidR="003D5B9C" w:rsidRPr="00610E81" w:rsidRDefault="003D5B9C" w:rsidP="00305D02">
            <w:pPr>
              <w:jc w:val="right"/>
              <w:rPr>
                <w:color w:val="000000"/>
                <w:sz w:val="18"/>
                <w:szCs w:val="18"/>
                <w:lang w:val="es-ES"/>
              </w:rPr>
            </w:pPr>
            <w:r w:rsidRPr="00610E81">
              <w:rPr>
                <w:color w:val="000000"/>
                <w:sz w:val="18"/>
                <w:szCs w:val="18"/>
                <w:lang w:val="es-ES"/>
              </w:rPr>
              <w:t>20,493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730E5"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B6EF8" w14:textId="77777777" w:rsidR="003D5B9C" w:rsidRPr="00610E81" w:rsidRDefault="003D5B9C" w:rsidP="00305D02">
            <w:pPr>
              <w:jc w:val="right"/>
              <w:rPr>
                <w:color w:val="000000"/>
                <w:sz w:val="18"/>
                <w:szCs w:val="18"/>
                <w:lang w:val="es-ES"/>
              </w:rPr>
            </w:pPr>
            <w:r w:rsidRPr="00610E81">
              <w:rPr>
                <w:color w:val="000000"/>
                <w:sz w:val="18"/>
                <w:szCs w:val="18"/>
                <w:lang w:val="es-ES"/>
              </w:rPr>
              <w:t>28,507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1F9F"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2F699" w14:textId="77777777" w:rsidR="003D5B9C" w:rsidRPr="00610E81" w:rsidRDefault="003D5B9C" w:rsidP="00305D02">
            <w:pPr>
              <w:jc w:val="right"/>
              <w:rPr>
                <w:color w:val="000000"/>
                <w:sz w:val="18"/>
                <w:szCs w:val="18"/>
                <w:lang w:val="es-ES"/>
              </w:rPr>
            </w:pPr>
            <w:r w:rsidRPr="00610E81">
              <w:rPr>
                <w:color w:val="000000"/>
                <w:sz w:val="18"/>
                <w:szCs w:val="18"/>
                <w:lang w:val="es-ES"/>
              </w:rPr>
              <w:t>17,885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0B46"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3F0B"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15,015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B4ED5"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81,900</w:t>
            </w:r>
          </w:p>
        </w:tc>
      </w:tr>
      <w:tr w:rsidR="003D5B9C" w:rsidRPr="00610E81" w14:paraId="40A91133" w14:textId="77777777" w:rsidTr="00305D02">
        <w:trPr>
          <w:trHeight w:val="62"/>
          <w:jc w:val="center"/>
        </w:trPr>
        <w:tc>
          <w:tcPr>
            <w:tcW w:w="0" w:type="auto"/>
            <w:tcBorders>
              <w:top w:val="nil"/>
              <w:left w:val="single" w:sz="4" w:space="0" w:color="auto"/>
              <w:bottom w:val="single" w:sz="4" w:space="0" w:color="auto"/>
              <w:right w:val="single" w:sz="4" w:space="0" w:color="auto"/>
            </w:tcBorders>
            <w:shd w:val="clear" w:color="auto" w:fill="auto"/>
            <w:hideMark/>
          </w:tcPr>
          <w:p w14:paraId="2BA6B417" w14:textId="77777777" w:rsidR="003D5B9C" w:rsidRPr="00610E81" w:rsidRDefault="003D5B9C" w:rsidP="00305D02">
            <w:pPr>
              <w:jc w:val="left"/>
              <w:rPr>
                <w:color w:val="000000"/>
                <w:sz w:val="18"/>
                <w:szCs w:val="18"/>
                <w:lang w:val="es-ES"/>
              </w:rPr>
            </w:pPr>
            <w:r w:rsidRPr="00610E81">
              <w:rPr>
                <w:color w:val="000000"/>
                <w:sz w:val="18"/>
                <w:szCs w:val="18"/>
                <w:lang w:val="es-ES"/>
              </w:rPr>
              <w:t>3.1</w:t>
            </w:r>
          </w:p>
        </w:tc>
        <w:tc>
          <w:tcPr>
            <w:tcW w:w="0" w:type="auto"/>
            <w:tcBorders>
              <w:top w:val="single" w:sz="4" w:space="0" w:color="auto"/>
              <w:bottom w:val="single" w:sz="4" w:space="0" w:color="auto"/>
              <w:right w:val="single" w:sz="4" w:space="0" w:color="auto"/>
            </w:tcBorders>
            <w:hideMark/>
          </w:tcPr>
          <w:p w14:paraId="3557B3A4" w14:textId="77777777" w:rsidR="003D5B9C" w:rsidRPr="00610E81" w:rsidRDefault="003D5B9C" w:rsidP="00305D02">
            <w:pPr>
              <w:widowControl w:val="0"/>
              <w:jc w:val="left"/>
              <w:rPr>
                <w:sz w:val="18"/>
                <w:szCs w:val="18"/>
                <w:lang w:val="es-ES"/>
              </w:rPr>
            </w:pPr>
            <w:r w:rsidRPr="00610E81">
              <w:rPr>
                <w:sz w:val="18"/>
                <w:szCs w:val="18"/>
                <w:lang w:val="es-ES"/>
              </w:rPr>
              <w:t>Financiación total convenida ($EUA)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379E4" w14:textId="77777777" w:rsidR="003D5B9C" w:rsidRPr="00610E81" w:rsidRDefault="003D5B9C" w:rsidP="00305D02">
            <w:pPr>
              <w:jc w:val="right"/>
              <w:rPr>
                <w:color w:val="000000"/>
                <w:sz w:val="18"/>
                <w:szCs w:val="18"/>
                <w:lang w:val="es-ES"/>
              </w:rPr>
            </w:pPr>
            <w:r w:rsidRPr="00610E81">
              <w:rPr>
                <w:color w:val="000000"/>
                <w:sz w:val="18"/>
                <w:szCs w:val="18"/>
                <w:lang w:val="es-ES"/>
              </w:rPr>
              <w:t>292,750</w:t>
            </w:r>
          </w:p>
        </w:tc>
        <w:tc>
          <w:tcPr>
            <w:tcW w:w="0" w:type="auto"/>
            <w:tcBorders>
              <w:top w:val="single" w:sz="4" w:space="0" w:color="auto"/>
              <w:left w:val="nil"/>
              <w:bottom w:val="single" w:sz="4" w:space="0" w:color="auto"/>
              <w:right w:val="single" w:sz="4" w:space="0" w:color="auto"/>
            </w:tcBorders>
            <w:shd w:val="clear" w:color="auto" w:fill="auto"/>
          </w:tcPr>
          <w:p w14:paraId="34B7D51A"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0B7725E9" w14:textId="77777777" w:rsidR="003D5B9C" w:rsidRPr="00610E81" w:rsidRDefault="003D5B9C" w:rsidP="00305D02">
            <w:pPr>
              <w:jc w:val="right"/>
              <w:rPr>
                <w:color w:val="000000"/>
                <w:sz w:val="18"/>
                <w:szCs w:val="18"/>
                <w:lang w:val="es-ES"/>
              </w:rPr>
            </w:pPr>
            <w:r w:rsidRPr="00610E81">
              <w:rPr>
                <w:color w:val="000000"/>
                <w:sz w:val="18"/>
                <w:szCs w:val="18"/>
                <w:lang w:val="es-ES"/>
              </w:rPr>
              <w:t>407,250</w:t>
            </w:r>
          </w:p>
        </w:tc>
        <w:tc>
          <w:tcPr>
            <w:tcW w:w="0" w:type="auto"/>
            <w:tcBorders>
              <w:top w:val="single" w:sz="4" w:space="0" w:color="auto"/>
              <w:left w:val="nil"/>
              <w:bottom w:val="single" w:sz="4" w:space="0" w:color="auto"/>
              <w:right w:val="single" w:sz="4" w:space="0" w:color="auto"/>
            </w:tcBorders>
            <w:shd w:val="clear" w:color="auto" w:fill="auto"/>
          </w:tcPr>
          <w:p w14:paraId="74F603FE"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1D040D24" w14:textId="77777777" w:rsidR="003D5B9C" w:rsidRPr="00610E81" w:rsidRDefault="003D5B9C" w:rsidP="00305D02">
            <w:pPr>
              <w:jc w:val="right"/>
              <w:rPr>
                <w:color w:val="000000"/>
                <w:sz w:val="18"/>
                <w:szCs w:val="18"/>
                <w:lang w:val="es-ES"/>
              </w:rPr>
            </w:pPr>
            <w:r w:rsidRPr="00610E81">
              <w:rPr>
                <w:color w:val="000000"/>
                <w:sz w:val="18"/>
                <w:szCs w:val="18"/>
                <w:lang w:val="es-ES"/>
              </w:rPr>
              <w:t>255,500</w:t>
            </w:r>
          </w:p>
        </w:tc>
        <w:tc>
          <w:tcPr>
            <w:tcW w:w="0" w:type="auto"/>
            <w:tcBorders>
              <w:top w:val="single" w:sz="4" w:space="0" w:color="auto"/>
              <w:left w:val="nil"/>
              <w:bottom w:val="single" w:sz="4" w:space="0" w:color="auto"/>
              <w:right w:val="single" w:sz="4" w:space="0" w:color="auto"/>
            </w:tcBorders>
            <w:shd w:val="clear" w:color="auto" w:fill="auto"/>
          </w:tcPr>
          <w:p w14:paraId="3F78E27D"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1B95A908"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214,500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66A8"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1,170,000</w:t>
            </w:r>
          </w:p>
        </w:tc>
      </w:tr>
      <w:tr w:rsidR="003D5B9C" w:rsidRPr="00610E81" w14:paraId="69CEA408" w14:textId="77777777" w:rsidTr="00305D02">
        <w:trPr>
          <w:trHeight w:val="62"/>
          <w:jc w:val="center"/>
        </w:trPr>
        <w:tc>
          <w:tcPr>
            <w:tcW w:w="0" w:type="auto"/>
            <w:tcBorders>
              <w:top w:val="nil"/>
              <w:left w:val="single" w:sz="4" w:space="0" w:color="auto"/>
              <w:bottom w:val="single" w:sz="4" w:space="0" w:color="auto"/>
              <w:right w:val="single" w:sz="4" w:space="0" w:color="auto"/>
            </w:tcBorders>
            <w:shd w:val="clear" w:color="auto" w:fill="auto"/>
            <w:hideMark/>
          </w:tcPr>
          <w:p w14:paraId="3105A706" w14:textId="77777777" w:rsidR="003D5B9C" w:rsidRPr="00610E81" w:rsidRDefault="003D5B9C" w:rsidP="00305D02">
            <w:pPr>
              <w:jc w:val="left"/>
              <w:rPr>
                <w:color w:val="000000"/>
                <w:sz w:val="18"/>
                <w:szCs w:val="18"/>
                <w:lang w:val="es-ES"/>
              </w:rPr>
            </w:pPr>
            <w:r w:rsidRPr="00610E81">
              <w:rPr>
                <w:color w:val="000000"/>
                <w:sz w:val="18"/>
                <w:szCs w:val="18"/>
                <w:lang w:val="es-ES"/>
              </w:rPr>
              <w:t>3.2</w:t>
            </w:r>
          </w:p>
        </w:tc>
        <w:tc>
          <w:tcPr>
            <w:tcW w:w="0" w:type="auto"/>
            <w:tcBorders>
              <w:top w:val="single" w:sz="4" w:space="0" w:color="auto"/>
              <w:bottom w:val="single" w:sz="4" w:space="0" w:color="auto"/>
              <w:right w:val="single" w:sz="4" w:space="0" w:color="auto"/>
            </w:tcBorders>
            <w:hideMark/>
          </w:tcPr>
          <w:p w14:paraId="40E54E52" w14:textId="77777777" w:rsidR="003D5B9C" w:rsidRPr="00610E81" w:rsidRDefault="003D5B9C" w:rsidP="00305D02">
            <w:pPr>
              <w:widowControl w:val="0"/>
              <w:jc w:val="left"/>
              <w:rPr>
                <w:sz w:val="18"/>
                <w:szCs w:val="18"/>
                <w:lang w:val="es-ES"/>
              </w:rPr>
            </w:pPr>
            <w:r w:rsidRPr="00610E81">
              <w:rPr>
                <w:sz w:val="18"/>
                <w:szCs w:val="18"/>
                <w:lang w:val="es-ES"/>
              </w:rPr>
              <w:t>Total de gastos de apoyo ($EUA)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A8205" w14:textId="77777777" w:rsidR="003D5B9C" w:rsidRPr="00610E81" w:rsidRDefault="003D5B9C" w:rsidP="00305D02">
            <w:pPr>
              <w:jc w:val="right"/>
              <w:rPr>
                <w:color w:val="000000"/>
                <w:sz w:val="18"/>
                <w:szCs w:val="18"/>
                <w:lang w:val="es-ES"/>
              </w:rPr>
            </w:pPr>
            <w:r w:rsidRPr="00610E81">
              <w:rPr>
                <w:color w:val="000000"/>
                <w:sz w:val="18"/>
                <w:szCs w:val="18"/>
                <w:lang w:val="es-ES"/>
              </w:rPr>
              <w:t>20,493</w:t>
            </w:r>
          </w:p>
        </w:tc>
        <w:tc>
          <w:tcPr>
            <w:tcW w:w="0" w:type="auto"/>
            <w:tcBorders>
              <w:top w:val="single" w:sz="4" w:space="0" w:color="auto"/>
              <w:left w:val="nil"/>
              <w:bottom w:val="single" w:sz="4" w:space="0" w:color="auto"/>
              <w:right w:val="single" w:sz="4" w:space="0" w:color="auto"/>
            </w:tcBorders>
            <w:shd w:val="clear" w:color="auto" w:fill="auto"/>
          </w:tcPr>
          <w:p w14:paraId="205AD8AE"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58373D09" w14:textId="77777777" w:rsidR="003D5B9C" w:rsidRPr="00610E81" w:rsidRDefault="003D5B9C" w:rsidP="00305D02">
            <w:pPr>
              <w:jc w:val="right"/>
              <w:rPr>
                <w:color w:val="000000"/>
                <w:sz w:val="18"/>
                <w:szCs w:val="18"/>
                <w:lang w:val="es-ES"/>
              </w:rPr>
            </w:pPr>
            <w:r w:rsidRPr="00610E81">
              <w:rPr>
                <w:color w:val="000000"/>
                <w:sz w:val="18"/>
                <w:szCs w:val="18"/>
                <w:lang w:val="es-ES"/>
              </w:rPr>
              <w:t>28,507</w:t>
            </w:r>
          </w:p>
        </w:tc>
        <w:tc>
          <w:tcPr>
            <w:tcW w:w="0" w:type="auto"/>
            <w:tcBorders>
              <w:top w:val="single" w:sz="4" w:space="0" w:color="auto"/>
              <w:left w:val="nil"/>
              <w:bottom w:val="single" w:sz="4" w:space="0" w:color="auto"/>
              <w:right w:val="single" w:sz="4" w:space="0" w:color="auto"/>
            </w:tcBorders>
            <w:shd w:val="clear" w:color="auto" w:fill="auto"/>
          </w:tcPr>
          <w:p w14:paraId="5A2D7A74"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1DBF9B78" w14:textId="77777777" w:rsidR="003D5B9C" w:rsidRPr="00610E81" w:rsidRDefault="003D5B9C" w:rsidP="00305D02">
            <w:pPr>
              <w:jc w:val="right"/>
              <w:rPr>
                <w:color w:val="000000"/>
                <w:sz w:val="18"/>
                <w:szCs w:val="18"/>
                <w:lang w:val="es-ES"/>
              </w:rPr>
            </w:pPr>
            <w:r w:rsidRPr="00610E81">
              <w:rPr>
                <w:color w:val="000000"/>
                <w:sz w:val="18"/>
                <w:szCs w:val="18"/>
                <w:lang w:val="es-ES"/>
              </w:rPr>
              <w:t>17,885</w:t>
            </w:r>
          </w:p>
        </w:tc>
        <w:tc>
          <w:tcPr>
            <w:tcW w:w="0" w:type="auto"/>
            <w:tcBorders>
              <w:top w:val="single" w:sz="4" w:space="0" w:color="auto"/>
              <w:left w:val="nil"/>
              <w:bottom w:val="single" w:sz="4" w:space="0" w:color="auto"/>
              <w:right w:val="single" w:sz="4" w:space="0" w:color="auto"/>
            </w:tcBorders>
            <w:shd w:val="clear" w:color="auto" w:fill="auto"/>
          </w:tcPr>
          <w:p w14:paraId="5ABC1093"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7BD4CA44"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15,015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07E00"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81,900</w:t>
            </w:r>
          </w:p>
        </w:tc>
      </w:tr>
      <w:tr w:rsidR="003D5B9C" w:rsidRPr="00610E81" w14:paraId="542D3C44" w14:textId="77777777" w:rsidTr="00305D02">
        <w:trPr>
          <w:trHeight w:val="53"/>
          <w:jc w:val="center"/>
        </w:trPr>
        <w:tc>
          <w:tcPr>
            <w:tcW w:w="0" w:type="auto"/>
            <w:tcBorders>
              <w:top w:val="nil"/>
              <w:left w:val="single" w:sz="4" w:space="0" w:color="auto"/>
              <w:bottom w:val="single" w:sz="4" w:space="0" w:color="auto"/>
              <w:right w:val="single" w:sz="4" w:space="0" w:color="auto"/>
            </w:tcBorders>
            <w:shd w:val="clear" w:color="auto" w:fill="auto"/>
            <w:hideMark/>
          </w:tcPr>
          <w:p w14:paraId="3777C589" w14:textId="77777777" w:rsidR="003D5B9C" w:rsidRPr="00610E81" w:rsidRDefault="003D5B9C" w:rsidP="00305D02">
            <w:pPr>
              <w:jc w:val="left"/>
              <w:rPr>
                <w:color w:val="000000"/>
                <w:sz w:val="18"/>
                <w:szCs w:val="18"/>
                <w:lang w:val="es-ES"/>
              </w:rPr>
            </w:pPr>
            <w:r w:rsidRPr="00610E81">
              <w:rPr>
                <w:color w:val="000000"/>
                <w:sz w:val="18"/>
                <w:szCs w:val="18"/>
                <w:lang w:val="es-ES"/>
              </w:rPr>
              <w:t>3.3</w:t>
            </w:r>
          </w:p>
        </w:tc>
        <w:tc>
          <w:tcPr>
            <w:tcW w:w="0" w:type="auto"/>
            <w:tcBorders>
              <w:top w:val="single" w:sz="4" w:space="0" w:color="auto"/>
              <w:bottom w:val="single" w:sz="4" w:space="0" w:color="auto"/>
              <w:right w:val="single" w:sz="4" w:space="0" w:color="auto"/>
            </w:tcBorders>
            <w:hideMark/>
          </w:tcPr>
          <w:p w14:paraId="08E1F190" w14:textId="77777777" w:rsidR="003D5B9C" w:rsidRPr="00610E81" w:rsidRDefault="003D5B9C" w:rsidP="00305D02">
            <w:pPr>
              <w:widowControl w:val="0"/>
              <w:jc w:val="left"/>
              <w:rPr>
                <w:sz w:val="18"/>
                <w:szCs w:val="18"/>
                <w:lang w:val="es-ES"/>
              </w:rPr>
            </w:pPr>
            <w:r w:rsidRPr="00610E81">
              <w:rPr>
                <w:sz w:val="18"/>
                <w:szCs w:val="18"/>
                <w:lang w:val="es-ES"/>
              </w:rPr>
              <w:t>Total de gastos convenidos ($EUA)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CDE27" w14:textId="77777777" w:rsidR="003D5B9C" w:rsidRPr="00610E81" w:rsidRDefault="003D5B9C" w:rsidP="00305D02">
            <w:pPr>
              <w:jc w:val="right"/>
              <w:rPr>
                <w:color w:val="000000"/>
                <w:sz w:val="18"/>
                <w:szCs w:val="18"/>
                <w:lang w:val="es-ES"/>
              </w:rPr>
            </w:pPr>
            <w:r w:rsidRPr="00610E81">
              <w:rPr>
                <w:color w:val="000000"/>
                <w:sz w:val="18"/>
                <w:szCs w:val="18"/>
                <w:lang w:val="es-ES"/>
              </w:rPr>
              <w:t>313,243</w:t>
            </w:r>
          </w:p>
        </w:tc>
        <w:tc>
          <w:tcPr>
            <w:tcW w:w="0" w:type="auto"/>
            <w:tcBorders>
              <w:top w:val="single" w:sz="4" w:space="0" w:color="auto"/>
              <w:left w:val="nil"/>
              <w:bottom w:val="single" w:sz="4" w:space="0" w:color="auto"/>
              <w:right w:val="single" w:sz="4" w:space="0" w:color="auto"/>
            </w:tcBorders>
            <w:shd w:val="clear" w:color="auto" w:fill="auto"/>
          </w:tcPr>
          <w:p w14:paraId="25E36AE4"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208875CF" w14:textId="77777777" w:rsidR="003D5B9C" w:rsidRPr="00610E81" w:rsidRDefault="003D5B9C" w:rsidP="00305D02">
            <w:pPr>
              <w:jc w:val="right"/>
              <w:rPr>
                <w:color w:val="000000"/>
                <w:sz w:val="18"/>
                <w:szCs w:val="18"/>
                <w:lang w:val="es-ES"/>
              </w:rPr>
            </w:pPr>
            <w:r w:rsidRPr="00610E81">
              <w:rPr>
                <w:color w:val="000000"/>
                <w:sz w:val="18"/>
                <w:szCs w:val="18"/>
                <w:lang w:val="es-ES"/>
              </w:rPr>
              <w:t>435,757</w:t>
            </w:r>
          </w:p>
        </w:tc>
        <w:tc>
          <w:tcPr>
            <w:tcW w:w="0" w:type="auto"/>
            <w:tcBorders>
              <w:top w:val="single" w:sz="4" w:space="0" w:color="auto"/>
              <w:left w:val="nil"/>
              <w:bottom w:val="single" w:sz="4" w:space="0" w:color="auto"/>
              <w:right w:val="single" w:sz="4" w:space="0" w:color="auto"/>
            </w:tcBorders>
            <w:shd w:val="clear" w:color="auto" w:fill="auto"/>
          </w:tcPr>
          <w:p w14:paraId="2E1C5CE5"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112476BD" w14:textId="77777777" w:rsidR="003D5B9C" w:rsidRPr="00610E81" w:rsidRDefault="003D5B9C" w:rsidP="00305D02">
            <w:pPr>
              <w:jc w:val="right"/>
              <w:rPr>
                <w:color w:val="000000"/>
                <w:sz w:val="18"/>
                <w:szCs w:val="18"/>
                <w:lang w:val="es-ES"/>
              </w:rPr>
            </w:pPr>
            <w:r w:rsidRPr="00610E81">
              <w:rPr>
                <w:color w:val="000000"/>
                <w:sz w:val="18"/>
                <w:szCs w:val="18"/>
                <w:lang w:val="es-ES"/>
              </w:rPr>
              <w:t>273,385</w:t>
            </w:r>
          </w:p>
        </w:tc>
        <w:tc>
          <w:tcPr>
            <w:tcW w:w="0" w:type="auto"/>
            <w:tcBorders>
              <w:top w:val="single" w:sz="4" w:space="0" w:color="auto"/>
              <w:left w:val="nil"/>
              <w:bottom w:val="single" w:sz="4" w:space="0" w:color="auto"/>
              <w:right w:val="single" w:sz="4" w:space="0" w:color="auto"/>
            </w:tcBorders>
            <w:shd w:val="clear" w:color="auto" w:fill="auto"/>
          </w:tcPr>
          <w:p w14:paraId="3EEBF751"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c>
          <w:tcPr>
            <w:tcW w:w="0" w:type="auto"/>
            <w:tcBorders>
              <w:top w:val="single" w:sz="4" w:space="0" w:color="auto"/>
              <w:left w:val="nil"/>
              <w:bottom w:val="single" w:sz="4" w:space="0" w:color="auto"/>
              <w:right w:val="single" w:sz="4" w:space="0" w:color="auto"/>
            </w:tcBorders>
            <w:shd w:val="clear" w:color="auto" w:fill="auto"/>
          </w:tcPr>
          <w:p w14:paraId="7D7BC347"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229,515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F675E" w14:textId="77777777" w:rsidR="003D5B9C" w:rsidRPr="00610E81" w:rsidRDefault="003D5B9C" w:rsidP="00305D02">
            <w:pPr>
              <w:jc w:val="right"/>
              <w:rPr>
                <w:color w:val="000000"/>
                <w:sz w:val="18"/>
                <w:szCs w:val="18"/>
                <w:lang w:val="es-ES" w:eastAsia="en-CA"/>
              </w:rPr>
            </w:pPr>
            <w:r w:rsidRPr="00610E81">
              <w:rPr>
                <w:color w:val="000000"/>
                <w:sz w:val="18"/>
                <w:szCs w:val="18"/>
                <w:lang w:val="es-ES"/>
              </w:rPr>
              <w:t>1,251,900</w:t>
            </w:r>
          </w:p>
        </w:tc>
      </w:tr>
      <w:tr w:rsidR="003D5B9C" w:rsidRPr="00610E81" w14:paraId="117E74F7" w14:textId="77777777" w:rsidTr="00305D02">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DE29B" w14:textId="77777777" w:rsidR="003D5B9C" w:rsidRPr="00610E81" w:rsidRDefault="003D5B9C" w:rsidP="00305D02">
            <w:pPr>
              <w:jc w:val="left"/>
              <w:rPr>
                <w:color w:val="000000"/>
                <w:sz w:val="18"/>
                <w:szCs w:val="18"/>
                <w:lang w:val="es-ES"/>
              </w:rPr>
            </w:pPr>
            <w:r w:rsidRPr="00610E81">
              <w:rPr>
                <w:color w:val="000000"/>
                <w:sz w:val="18"/>
                <w:szCs w:val="18"/>
                <w:lang w:val="es-ES"/>
              </w:rPr>
              <w:t>4.1.1</w:t>
            </w:r>
          </w:p>
        </w:tc>
        <w:tc>
          <w:tcPr>
            <w:tcW w:w="0" w:type="auto"/>
            <w:gridSpan w:val="8"/>
            <w:tcBorders>
              <w:top w:val="single" w:sz="4" w:space="0" w:color="auto"/>
              <w:bottom w:val="single" w:sz="4" w:space="0" w:color="auto"/>
            </w:tcBorders>
            <w:hideMark/>
          </w:tcPr>
          <w:p w14:paraId="209B2F59" w14:textId="77777777" w:rsidR="003D5B9C" w:rsidRPr="00610E81" w:rsidRDefault="003D5B9C" w:rsidP="00305D02">
            <w:pPr>
              <w:keepNext/>
              <w:keepLines/>
              <w:pageBreakBefore/>
              <w:jc w:val="left"/>
              <w:rPr>
                <w:color w:val="000000"/>
                <w:sz w:val="18"/>
                <w:szCs w:val="18"/>
                <w:lang w:val="es-ES"/>
              </w:rPr>
            </w:pPr>
            <w:r w:rsidRPr="00610E81">
              <w:rPr>
                <w:sz w:val="18"/>
                <w:szCs w:val="18"/>
                <w:lang w:val="es-ES"/>
              </w:rPr>
              <w:t xml:space="preserve">Total convenido de eliminación de </w:t>
            </w:r>
            <w:r w:rsidRPr="00610E81">
              <w:rPr>
                <w:color w:val="000000"/>
                <w:sz w:val="18"/>
                <w:szCs w:val="18"/>
                <w:lang w:val="es-ES" w:eastAsia="en-CA"/>
              </w:rPr>
              <w:t>HCFC-22</w:t>
            </w:r>
            <w:r w:rsidRPr="00610E81">
              <w:rPr>
                <w:sz w:val="18"/>
                <w:szCs w:val="18"/>
                <w:lang w:val="es-ES"/>
              </w:rPr>
              <w:t xml:space="preserve"> por lograr, conforme a este Acuerdo (toneladas PAO)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C743767" w14:textId="77777777" w:rsidR="003D5B9C" w:rsidRPr="00610E81" w:rsidRDefault="003D5B9C" w:rsidP="00305D02">
            <w:pPr>
              <w:jc w:val="right"/>
              <w:rPr>
                <w:color w:val="000000"/>
                <w:sz w:val="18"/>
                <w:szCs w:val="18"/>
                <w:lang w:val="es-ES"/>
              </w:rPr>
            </w:pPr>
            <w:r w:rsidRPr="00610E81">
              <w:rPr>
                <w:color w:val="000000"/>
                <w:sz w:val="18"/>
                <w:szCs w:val="18"/>
                <w:lang w:val="es-ES" w:eastAsia="es-CO"/>
              </w:rPr>
              <w:t>13.66</w:t>
            </w:r>
          </w:p>
        </w:tc>
      </w:tr>
      <w:tr w:rsidR="003D5B9C" w:rsidRPr="00610E81" w14:paraId="66CFBCA1" w14:textId="77777777" w:rsidTr="00305D02">
        <w:trPr>
          <w:trHeight w:val="116"/>
          <w:jc w:val="center"/>
        </w:trPr>
        <w:tc>
          <w:tcPr>
            <w:tcW w:w="0" w:type="auto"/>
            <w:tcBorders>
              <w:top w:val="nil"/>
              <w:left w:val="single" w:sz="4" w:space="0" w:color="auto"/>
              <w:bottom w:val="single" w:sz="4" w:space="0" w:color="auto"/>
              <w:right w:val="single" w:sz="4" w:space="0" w:color="auto"/>
            </w:tcBorders>
            <w:shd w:val="clear" w:color="auto" w:fill="auto"/>
            <w:hideMark/>
          </w:tcPr>
          <w:p w14:paraId="3B59D5AA" w14:textId="77777777" w:rsidR="003D5B9C" w:rsidRPr="00610E81" w:rsidRDefault="003D5B9C" w:rsidP="00305D02">
            <w:pPr>
              <w:jc w:val="left"/>
              <w:rPr>
                <w:color w:val="000000"/>
                <w:sz w:val="18"/>
                <w:szCs w:val="18"/>
                <w:lang w:val="es-ES"/>
              </w:rPr>
            </w:pPr>
            <w:r w:rsidRPr="00610E81">
              <w:rPr>
                <w:color w:val="000000"/>
                <w:sz w:val="18"/>
                <w:szCs w:val="18"/>
                <w:lang w:val="es-ES"/>
              </w:rPr>
              <w:t>4.1.2</w:t>
            </w:r>
          </w:p>
        </w:tc>
        <w:tc>
          <w:tcPr>
            <w:tcW w:w="0" w:type="auto"/>
            <w:gridSpan w:val="8"/>
            <w:tcBorders>
              <w:top w:val="single" w:sz="4" w:space="0" w:color="auto"/>
              <w:bottom w:val="single" w:sz="4" w:space="0" w:color="auto"/>
            </w:tcBorders>
            <w:hideMark/>
          </w:tcPr>
          <w:p w14:paraId="00669B80"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 xml:space="preserve">Eliminación de </w:t>
            </w:r>
            <w:r w:rsidRPr="00610E81">
              <w:rPr>
                <w:color w:val="000000"/>
                <w:sz w:val="18"/>
                <w:szCs w:val="18"/>
                <w:lang w:val="es-ES" w:eastAsia="en-CA"/>
              </w:rPr>
              <w:t xml:space="preserve">HCFC-22 </w:t>
            </w:r>
            <w:r w:rsidRPr="00610E81">
              <w:rPr>
                <w:color w:val="000000"/>
                <w:sz w:val="18"/>
                <w:szCs w:val="18"/>
                <w:lang w:val="es-ES"/>
              </w:rPr>
              <w:t>por lograr en la etapa previa</w:t>
            </w:r>
            <w:r w:rsidRPr="00610E81">
              <w:rPr>
                <w:color w:val="000000"/>
                <w:sz w:val="18"/>
                <w:szCs w:val="18"/>
                <w:lang w:val="es-ES" w:eastAsia="en-CA"/>
              </w:rPr>
              <w:t xml:space="preserve"> (toneladas PAO)</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B682E93" w14:textId="77777777" w:rsidR="003D5B9C" w:rsidRPr="00610E81" w:rsidRDefault="003D5B9C" w:rsidP="00305D02">
            <w:pPr>
              <w:jc w:val="right"/>
              <w:rPr>
                <w:color w:val="000000"/>
                <w:sz w:val="18"/>
                <w:szCs w:val="18"/>
                <w:lang w:val="es-ES"/>
              </w:rPr>
            </w:pPr>
            <w:r w:rsidRPr="00610E81">
              <w:rPr>
                <w:color w:val="000000"/>
                <w:sz w:val="18"/>
                <w:szCs w:val="18"/>
                <w:lang w:val="es-ES" w:eastAsia="es-CO"/>
              </w:rPr>
              <w:t>7.36</w:t>
            </w:r>
          </w:p>
        </w:tc>
      </w:tr>
      <w:tr w:rsidR="003D5B9C" w:rsidRPr="00610E81" w14:paraId="5128AE60" w14:textId="77777777" w:rsidTr="00305D02">
        <w:trPr>
          <w:trHeight w:val="98"/>
          <w:jc w:val="center"/>
        </w:trPr>
        <w:tc>
          <w:tcPr>
            <w:tcW w:w="0" w:type="auto"/>
            <w:tcBorders>
              <w:top w:val="nil"/>
              <w:left w:val="single" w:sz="4" w:space="0" w:color="auto"/>
              <w:bottom w:val="single" w:sz="4" w:space="0" w:color="auto"/>
              <w:right w:val="single" w:sz="4" w:space="0" w:color="auto"/>
            </w:tcBorders>
            <w:shd w:val="clear" w:color="auto" w:fill="auto"/>
            <w:hideMark/>
          </w:tcPr>
          <w:p w14:paraId="4A84650C" w14:textId="77777777" w:rsidR="003D5B9C" w:rsidRPr="00610E81" w:rsidRDefault="003D5B9C" w:rsidP="00305D02">
            <w:pPr>
              <w:jc w:val="left"/>
              <w:rPr>
                <w:color w:val="000000"/>
                <w:sz w:val="18"/>
                <w:szCs w:val="18"/>
                <w:lang w:val="es-ES"/>
              </w:rPr>
            </w:pPr>
            <w:r w:rsidRPr="00610E81">
              <w:rPr>
                <w:color w:val="000000"/>
                <w:sz w:val="18"/>
                <w:szCs w:val="18"/>
                <w:lang w:val="es-ES"/>
              </w:rPr>
              <w:t>4.1.3</w:t>
            </w:r>
          </w:p>
        </w:tc>
        <w:tc>
          <w:tcPr>
            <w:tcW w:w="0" w:type="auto"/>
            <w:gridSpan w:val="8"/>
            <w:tcBorders>
              <w:top w:val="single" w:sz="4" w:space="0" w:color="auto"/>
              <w:bottom w:val="single" w:sz="4" w:space="0" w:color="auto"/>
            </w:tcBorders>
            <w:hideMark/>
          </w:tcPr>
          <w:p w14:paraId="5425612A"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Consumo admisible remanente de </w:t>
            </w:r>
            <w:r w:rsidRPr="00610E81">
              <w:rPr>
                <w:color w:val="000000"/>
                <w:sz w:val="18"/>
                <w:szCs w:val="18"/>
                <w:lang w:val="es-ES" w:eastAsia="en-CA"/>
              </w:rPr>
              <w:t xml:space="preserve">HCFC-22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90D6000"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r>
      <w:tr w:rsidR="003D5B9C" w:rsidRPr="00610E81" w14:paraId="1D98D0C5" w14:textId="77777777" w:rsidTr="00305D02">
        <w:trPr>
          <w:trHeight w:val="89"/>
          <w:jc w:val="center"/>
        </w:trPr>
        <w:tc>
          <w:tcPr>
            <w:tcW w:w="0" w:type="auto"/>
            <w:tcBorders>
              <w:top w:val="nil"/>
              <w:left w:val="single" w:sz="4" w:space="0" w:color="auto"/>
              <w:bottom w:val="single" w:sz="4" w:space="0" w:color="auto"/>
              <w:right w:val="single" w:sz="4" w:space="0" w:color="auto"/>
            </w:tcBorders>
            <w:shd w:val="clear" w:color="auto" w:fill="auto"/>
            <w:hideMark/>
          </w:tcPr>
          <w:p w14:paraId="20B67291" w14:textId="77777777" w:rsidR="003D5B9C" w:rsidRPr="00610E81" w:rsidRDefault="003D5B9C" w:rsidP="00305D02">
            <w:pPr>
              <w:jc w:val="left"/>
              <w:rPr>
                <w:color w:val="000000"/>
                <w:sz w:val="18"/>
                <w:szCs w:val="18"/>
                <w:lang w:val="es-ES"/>
              </w:rPr>
            </w:pPr>
            <w:r w:rsidRPr="00610E81">
              <w:rPr>
                <w:color w:val="000000"/>
                <w:sz w:val="18"/>
                <w:szCs w:val="18"/>
                <w:lang w:val="es-ES"/>
              </w:rPr>
              <w:t>4.2.1</w:t>
            </w:r>
          </w:p>
        </w:tc>
        <w:tc>
          <w:tcPr>
            <w:tcW w:w="0" w:type="auto"/>
            <w:gridSpan w:val="8"/>
            <w:tcBorders>
              <w:top w:val="single" w:sz="4" w:space="0" w:color="auto"/>
              <w:bottom w:val="single" w:sz="4" w:space="0" w:color="auto"/>
            </w:tcBorders>
            <w:hideMark/>
          </w:tcPr>
          <w:p w14:paraId="1255E86A"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Total convenido de eliminación </w:t>
            </w:r>
            <w:r w:rsidRPr="00610E81">
              <w:rPr>
                <w:color w:val="000000"/>
                <w:sz w:val="18"/>
                <w:szCs w:val="18"/>
                <w:lang w:val="es-ES" w:eastAsia="en-CA"/>
              </w:rPr>
              <w:t xml:space="preserve">HCFC-141b </w:t>
            </w:r>
            <w:r w:rsidRPr="00610E81">
              <w:rPr>
                <w:sz w:val="18"/>
                <w:szCs w:val="18"/>
                <w:lang w:val="es-ES"/>
              </w:rPr>
              <w:t xml:space="preserve">por lograr, conforme a este Acuerdo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04C1E5C8"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r>
      <w:tr w:rsidR="003D5B9C" w:rsidRPr="00610E81" w14:paraId="6AAEB592" w14:textId="77777777" w:rsidTr="00305D02">
        <w:trPr>
          <w:trHeight w:val="71"/>
          <w:jc w:val="center"/>
        </w:trPr>
        <w:tc>
          <w:tcPr>
            <w:tcW w:w="0" w:type="auto"/>
            <w:tcBorders>
              <w:top w:val="nil"/>
              <w:left w:val="single" w:sz="4" w:space="0" w:color="auto"/>
              <w:bottom w:val="single" w:sz="4" w:space="0" w:color="auto"/>
              <w:right w:val="single" w:sz="4" w:space="0" w:color="auto"/>
            </w:tcBorders>
            <w:shd w:val="clear" w:color="auto" w:fill="auto"/>
            <w:hideMark/>
          </w:tcPr>
          <w:p w14:paraId="0A8DE85E" w14:textId="77777777" w:rsidR="003D5B9C" w:rsidRPr="00610E81" w:rsidRDefault="003D5B9C" w:rsidP="00305D02">
            <w:pPr>
              <w:jc w:val="left"/>
              <w:rPr>
                <w:color w:val="000000"/>
                <w:sz w:val="18"/>
                <w:szCs w:val="18"/>
                <w:lang w:val="es-ES"/>
              </w:rPr>
            </w:pPr>
            <w:r w:rsidRPr="00610E81">
              <w:rPr>
                <w:color w:val="000000"/>
                <w:sz w:val="18"/>
                <w:szCs w:val="18"/>
                <w:lang w:val="es-ES"/>
              </w:rPr>
              <w:t>4.2.2</w:t>
            </w:r>
          </w:p>
        </w:tc>
        <w:tc>
          <w:tcPr>
            <w:tcW w:w="0" w:type="auto"/>
            <w:gridSpan w:val="8"/>
            <w:tcBorders>
              <w:top w:val="single" w:sz="4" w:space="0" w:color="auto"/>
              <w:bottom w:val="single" w:sz="4" w:space="0" w:color="auto"/>
            </w:tcBorders>
            <w:hideMark/>
          </w:tcPr>
          <w:p w14:paraId="0118069D"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 xml:space="preserve">Eliminación de </w:t>
            </w:r>
            <w:r w:rsidRPr="00610E81">
              <w:rPr>
                <w:color w:val="000000"/>
                <w:sz w:val="18"/>
                <w:szCs w:val="18"/>
                <w:lang w:val="es-ES" w:eastAsia="en-CA"/>
              </w:rPr>
              <w:t xml:space="preserve">HCFC-141b </w:t>
            </w:r>
            <w:r w:rsidRPr="00610E81">
              <w:rPr>
                <w:color w:val="000000"/>
                <w:sz w:val="18"/>
                <w:szCs w:val="18"/>
                <w:lang w:val="es-ES"/>
              </w:rPr>
              <w:t>por lograr en la etapa previa</w:t>
            </w:r>
            <w:r w:rsidRPr="00610E81">
              <w:rPr>
                <w:color w:val="000000"/>
                <w:sz w:val="18"/>
                <w:szCs w:val="18"/>
                <w:lang w:val="es-ES" w:eastAsia="en-CA"/>
              </w:rPr>
              <w:t xml:space="preserve"> (toneladas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1C26BD0" w14:textId="77777777" w:rsidR="003D5B9C" w:rsidRPr="00610E81" w:rsidRDefault="003D5B9C" w:rsidP="00305D02">
            <w:pPr>
              <w:jc w:val="right"/>
              <w:rPr>
                <w:color w:val="000000"/>
                <w:sz w:val="18"/>
                <w:szCs w:val="18"/>
                <w:lang w:val="es-ES"/>
              </w:rPr>
            </w:pPr>
            <w:r w:rsidRPr="00610E81">
              <w:rPr>
                <w:sz w:val="18"/>
                <w:szCs w:val="18"/>
                <w:lang w:val="es-ES"/>
              </w:rPr>
              <w:t>0.86</w:t>
            </w:r>
          </w:p>
        </w:tc>
      </w:tr>
      <w:tr w:rsidR="003D5B9C" w:rsidRPr="00610E81" w14:paraId="4219B64F"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hideMark/>
          </w:tcPr>
          <w:p w14:paraId="4B78916B" w14:textId="77777777" w:rsidR="003D5B9C" w:rsidRPr="00610E81" w:rsidRDefault="003D5B9C" w:rsidP="00305D02">
            <w:pPr>
              <w:jc w:val="left"/>
              <w:rPr>
                <w:color w:val="000000"/>
                <w:sz w:val="18"/>
                <w:szCs w:val="18"/>
                <w:lang w:val="es-ES"/>
              </w:rPr>
            </w:pPr>
            <w:r w:rsidRPr="00610E81">
              <w:rPr>
                <w:color w:val="000000"/>
                <w:sz w:val="18"/>
                <w:szCs w:val="18"/>
                <w:lang w:val="es-ES"/>
              </w:rPr>
              <w:t>4.2.3</w:t>
            </w:r>
          </w:p>
        </w:tc>
        <w:tc>
          <w:tcPr>
            <w:tcW w:w="0" w:type="auto"/>
            <w:gridSpan w:val="8"/>
            <w:tcBorders>
              <w:top w:val="single" w:sz="4" w:space="0" w:color="auto"/>
              <w:bottom w:val="single" w:sz="4" w:space="0" w:color="auto"/>
            </w:tcBorders>
            <w:hideMark/>
          </w:tcPr>
          <w:p w14:paraId="6B6FA344"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Consumo admisible remanente de </w:t>
            </w:r>
            <w:r w:rsidRPr="00610E81">
              <w:rPr>
                <w:color w:val="000000"/>
                <w:sz w:val="18"/>
                <w:szCs w:val="18"/>
                <w:lang w:val="es-ES" w:eastAsia="en-CA"/>
              </w:rPr>
              <w:t xml:space="preserve">HCFC-141b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4D74909"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r>
      <w:tr w:rsidR="003D5B9C" w:rsidRPr="00610E81" w14:paraId="02D59093"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6F73DEF2"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4.3.1</w:t>
            </w:r>
          </w:p>
        </w:tc>
        <w:tc>
          <w:tcPr>
            <w:tcW w:w="0" w:type="auto"/>
            <w:gridSpan w:val="8"/>
            <w:tcBorders>
              <w:top w:val="single" w:sz="4" w:space="0" w:color="auto"/>
              <w:bottom w:val="single" w:sz="4" w:space="0" w:color="auto"/>
            </w:tcBorders>
          </w:tcPr>
          <w:p w14:paraId="4B3CD97B" w14:textId="77777777" w:rsidR="003D5B9C" w:rsidRPr="00610E81" w:rsidRDefault="003D5B9C" w:rsidP="00305D02">
            <w:pPr>
              <w:keepNext/>
              <w:keepLines/>
              <w:pageBreakBefore/>
              <w:jc w:val="left"/>
              <w:rPr>
                <w:color w:val="000000"/>
                <w:sz w:val="18"/>
                <w:szCs w:val="18"/>
                <w:lang w:val="es-ES"/>
              </w:rPr>
            </w:pPr>
            <w:r w:rsidRPr="00610E81">
              <w:rPr>
                <w:sz w:val="18"/>
                <w:szCs w:val="18"/>
                <w:lang w:val="es-ES"/>
              </w:rPr>
              <w:t xml:space="preserve">Total convenido de eliminación de </w:t>
            </w:r>
            <w:r w:rsidRPr="00610E81">
              <w:rPr>
                <w:color w:val="000000"/>
                <w:sz w:val="18"/>
                <w:szCs w:val="18"/>
                <w:lang w:val="es-ES" w:eastAsia="en-CA"/>
              </w:rPr>
              <w:t>HCFC-142b</w:t>
            </w:r>
            <w:r w:rsidRPr="00610E81">
              <w:rPr>
                <w:sz w:val="18"/>
                <w:szCs w:val="18"/>
                <w:lang w:val="es-ES"/>
              </w:rPr>
              <w:t xml:space="preserve"> por lograr, conforme a este Acuerdo (toneladas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8702F5A"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s-CO"/>
              </w:rPr>
              <w:t>1.20</w:t>
            </w:r>
          </w:p>
        </w:tc>
      </w:tr>
      <w:tr w:rsidR="003D5B9C" w:rsidRPr="00610E81" w14:paraId="1C6E5E17"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56181B10"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4.3.2</w:t>
            </w:r>
          </w:p>
        </w:tc>
        <w:tc>
          <w:tcPr>
            <w:tcW w:w="0" w:type="auto"/>
            <w:gridSpan w:val="8"/>
            <w:tcBorders>
              <w:top w:val="single" w:sz="4" w:space="0" w:color="auto"/>
              <w:bottom w:val="single" w:sz="4" w:space="0" w:color="auto"/>
            </w:tcBorders>
          </w:tcPr>
          <w:p w14:paraId="75D30F7A"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 xml:space="preserve">Eliminación de </w:t>
            </w:r>
            <w:r w:rsidRPr="00610E81">
              <w:rPr>
                <w:color w:val="000000"/>
                <w:sz w:val="18"/>
                <w:szCs w:val="18"/>
                <w:lang w:val="es-ES" w:eastAsia="en-CA"/>
              </w:rPr>
              <w:t xml:space="preserve">HCFC-142b </w:t>
            </w:r>
            <w:r w:rsidRPr="00610E81">
              <w:rPr>
                <w:color w:val="000000"/>
                <w:sz w:val="18"/>
                <w:szCs w:val="18"/>
                <w:lang w:val="es-ES"/>
              </w:rPr>
              <w:t>por lograr en la etapa previa</w:t>
            </w:r>
            <w:r w:rsidRPr="00610E81">
              <w:rPr>
                <w:color w:val="000000"/>
                <w:sz w:val="18"/>
                <w:szCs w:val="18"/>
                <w:lang w:val="es-ES" w:eastAsia="en-CA"/>
              </w:rPr>
              <w:t xml:space="preserve"> (toneladas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D05A3EC" w14:textId="77777777" w:rsidR="003D5B9C" w:rsidRPr="00610E81" w:rsidRDefault="003D5B9C" w:rsidP="00305D02">
            <w:pPr>
              <w:jc w:val="right"/>
              <w:rPr>
                <w:color w:val="000000"/>
                <w:sz w:val="18"/>
                <w:szCs w:val="18"/>
                <w:lang w:val="es-ES" w:eastAsia="en-CA"/>
              </w:rPr>
            </w:pPr>
            <w:r w:rsidRPr="00610E81">
              <w:rPr>
                <w:sz w:val="18"/>
                <w:szCs w:val="18"/>
                <w:lang w:val="es-ES"/>
              </w:rPr>
              <w:t>0</w:t>
            </w:r>
          </w:p>
        </w:tc>
      </w:tr>
      <w:tr w:rsidR="003D5B9C" w:rsidRPr="00610E81" w14:paraId="76A0A487"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511C6B86"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4.3.3</w:t>
            </w:r>
          </w:p>
        </w:tc>
        <w:tc>
          <w:tcPr>
            <w:tcW w:w="0" w:type="auto"/>
            <w:gridSpan w:val="8"/>
            <w:tcBorders>
              <w:top w:val="single" w:sz="4" w:space="0" w:color="auto"/>
              <w:bottom w:val="single" w:sz="4" w:space="0" w:color="auto"/>
            </w:tcBorders>
          </w:tcPr>
          <w:p w14:paraId="4A55E558"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Consumo admisible remanente de </w:t>
            </w:r>
            <w:r w:rsidRPr="00610E81">
              <w:rPr>
                <w:color w:val="000000"/>
                <w:sz w:val="18"/>
                <w:szCs w:val="18"/>
                <w:lang w:val="es-ES" w:eastAsia="en-CA"/>
              </w:rPr>
              <w:t xml:space="preserve">HCFC-142b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C4C4FDC"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n-CA"/>
              </w:rPr>
              <w:t>0</w:t>
            </w:r>
          </w:p>
        </w:tc>
      </w:tr>
      <w:tr w:rsidR="003D5B9C" w:rsidRPr="00610E81" w14:paraId="279CAF49"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0BD4C7AE"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4.4.1</w:t>
            </w:r>
          </w:p>
        </w:tc>
        <w:tc>
          <w:tcPr>
            <w:tcW w:w="0" w:type="auto"/>
            <w:gridSpan w:val="8"/>
            <w:tcBorders>
              <w:top w:val="single" w:sz="4" w:space="0" w:color="auto"/>
              <w:bottom w:val="single" w:sz="4" w:space="0" w:color="auto"/>
            </w:tcBorders>
          </w:tcPr>
          <w:p w14:paraId="7CFD22C4"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Total convenido de eliminación </w:t>
            </w:r>
            <w:r w:rsidRPr="00610E81">
              <w:rPr>
                <w:color w:val="000000"/>
                <w:sz w:val="18"/>
                <w:szCs w:val="18"/>
                <w:lang w:val="es-ES" w:eastAsia="en-CA"/>
              </w:rPr>
              <w:t xml:space="preserve">HCFC-123 </w:t>
            </w:r>
            <w:r w:rsidRPr="00610E81">
              <w:rPr>
                <w:sz w:val="18"/>
                <w:szCs w:val="18"/>
                <w:lang w:val="es-ES"/>
              </w:rPr>
              <w:t xml:space="preserve">por lograr, conforme a este Acuerdo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62BC120"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s-CO"/>
              </w:rPr>
              <w:t>0.18</w:t>
            </w:r>
          </w:p>
        </w:tc>
      </w:tr>
      <w:tr w:rsidR="003D5B9C" w:rsidRPr="00610E81" w14:paraId="1B159464"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40FD4203"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4.4.2</w:t>
            </w:r>
          </w:p>
        </w:tc>
        <w:tc>
          <w:tcPr>
            <w:tcW w:w="0" w:type="auto"/>
            <w:gridSpan w:val="8"/>
            <w:tcBorders>
              <w:top w:val="single" w:sz="4" w:space="0" w:color="auto"/>
              <w:bottom w:val="single" w:sz="4" w:space="0" w:color="auto"/>
            </w:tcBorders>
          </w:tcPr>
          <w:p w14:paraId="4EDA334C"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 xml:space="preserve">Eliminación de </w:t>
            </w:r>
            <w:r w:rsidRPr="00610E81">
              <w:rPr>
                <w:color w:val="000000"/>
                <w:sz w:val="18"/>
                <w:szCs w:val="18"/>
                <w:lang w:val="es-ES" w:eastAsia="en-CA"/>
              </w:rPr>
              <w:t xml:space="preserve">HCFC-123 </w:t>
            </w:r>
            <w:r w:rsidRPr="00610E81">
              <w:rPr>
                <w:color w:val="000000"/>
                <w:sz w:val="18"/>
                <w:szCs w:val="18"/>
                <w:lang w:val="es-ES"/>
              </w:rPr>
              <w:t>por lograr en la etapa previa</w:t>
            </w:r>
            <w:r w:rsidRPr="00610E81">
              <w:rPr>
                <w:color w:val="000000"/>
                <w:sz w:val="18"/>
                <w:szCs w:val="18"/>
                <w:lang w:val="es-ES" w:eastAsia="en-CA"/>
              </w:rPr>
              <w:t xml:space="preserve"> (toneladas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23EECC05" w14:textId="77777777" w:rsidR="003D5B9C" w:rsidRPr="00610E81" w:rsidRDefault="003D5B9C" w:rsidP="00305D02">
            <w:pPr>
              <w:jc w:val="right"/>
              <w:rPr>
                <w:color w:val="000000"/>
                <w:sz w:val="18"/>
                <w:szCs w:val="18"/>
                <w:lang w:val="es-ES" w:eastAsia="en-CA"/>
              </w:rPr>
            </w:pPr>
            <w:r w:rsidRPr="00610E81">
              <w:rPr>
                <w:sz w:val="18"/>
                <w:szCs w:val="18"/>
                <w:lang w:val="es-ES"/>
              </w:rPr>
              <w:t>0</w:t>
            </w:r>
          </w:p>
        </w:tc>
      </w:tr>
      <w:tr w:rsidR="003D5B9C" w:rsidRPr="00610E81" w14:paraId="432EAD05"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25EA7920"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4.4.3</w:t>
            </w:r>
          </w:p>
        </w:tc>
        <w:tc>
          <w:tcPr>
            <w:tcW w:w="0" w:type="auto"/>
            <w:gridSpan w:val="8"/>
            <w:tcBorders>
              <w:top w:val="single" w:sz="4" w:space="0" w:color="auto"/>
              <w:bottom w:val="single" w:sz="4" w:space="0" w:color="auto"/>
            </w:tcBorders>
          </w:tcPr>
          <w:p w14:paraId="2F358E54"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Consumo admisible remanente de </w:t>
            </w:r>
            <w:r w:rsidRPr="00610E81">
              <w:rPr>
                <w:color w:val="000000"/>
                <w:sz w:val="18"/>
                <w:szCs w:val="18"/>
                <w:lang w:val="es-ES" w:eastAsia="en-CA"/>
              </w:rPr>
              <w:t xml:space="preserve">HCFC-123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4A1EDDB"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n-CA"/>
              </w:rPr>
              <w:t>0</w:t>
            </w:r>
          </w:p>
        </w:tc>
      </w:tr>
      <w:tr w:rsidR="003D5B9C" w:rsidRPr="00610E81" w14:paraId="064414B8"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0B07713"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4.5.1</w:t>
            </w:r>
          </w:p>
        </w:tc>
        <w:tc>
          <w:tcPr>
            <w:tcW w:w="0" w:type="auto"/>
            <w:gridSpan w:val="8"/>
            <w:tcBorders>
              <w:top w:val="single" w:sz="4" w:space="0" w:color="auto"/>
              <w:bottom w:val="single" w:sz="4" w:space="0" w:color="auto"/>
            </w:tcBorders>
          </w:tcPr>
          <w:p w14:paraId="3CD50113"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Total convenido de eliminación </w:t>
            </w:r>
            <w:r w:rsidRPr="00610E81">
              <w:rPr>
                <w:color w:val="000000"/>
                <w:sz w:val="18"/>
                <w:szCs w:val="18"/>
                <w:lang w:val="es-ES" w:eastAsia="en-CA"/>
              </w:rPr>
              <w:t xml:space="preserve">HCFC-124 </w:t>
            </w:r>
            <w:r w:rsidRPr="00610E81">
              <w:rPr>
                <w:sz w:val="18"/>
                <w:szCs w:val="18"/>
                <w:lang w:val="es-ES"/>
              </w:rPr>
              <w:t xml:space="preserve">por lograr, conforme a este Acuerdo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2970267"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s-CO"/>
              </w:rPr>
              <w:t>0.22</w:t>
            </w:r>
          </w:p>
        </w:tc>
      </w:tr>
      <w:tr w:rsidR="003D5B9C" w:rsidRPr="00610E81" w14:paraId="5CD44A4C"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CDB8E83"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4.5.2</w:t>
            </w:r>
          </w:p>
        </w:tc>
        <w:tc>
          <w:tcPr>
            <w:tcW w:w="0" w:type="auto"/>
            <w:gridSpan w:val="8"/>
            <w:tcBorders>
              <w:top w:val="single" w:sz="4" w:space="0" w:color="auto"/>
              <w:bottom w:val="single" w:sz="4" w:space="0" w:color="auto"/>
            </w:tcBorders>
          </w:tcPr>
          <w:p w14:paraId="0DF73639"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 xml:space="preserve">Eliminación de </w:t>
            </w:r>
            <w:r w:rsidRPr="00610E81">
              <w:rPr>
                <w:color w:val="000000"/>
                <w:sz w:val="18"/>
                <w:szCs w:val="18"/>
                <w:lang w:val="es-ES" w:eastAsia="en-CA"/>
              </w:rPr>
              <w:t xml:space="preserve">HCFC-124 </w:t>
            </w:r>
            <w:r w:rsidRPr="00610E81">
              <w:rPr>
                <w:color w:val="000000"/>
                <w:sz w:val="18"/>
                <w:szCs w:val="18"/>
                <w:lang w:val="es-ES"/>
              </w:rPr>
              <w:t>por lograr en la etapa previa</w:t>
            </w:r>
            <w:r w:rsidRPr="00610E81">
              <w:rPr>
                <w:color w:val="000000"/>
                <w:sz w:val="18"/>
                <w:szCs w:val="18"/>
                <w:lang w:val="es-ES" w:eastAsia="en-CA"/>
              </w:rPr>
              <w:t xml:space="preserve"> (toneladas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FE7DB48" w14:textId="77777777" w:rsidR="003D5B9C" w:rsidRPr="00610E81" w:rsidRDefault="003D5B9C" w:rsidP="00305D02">
            <w:pPr>
              <w:jc w:val="right"/>
              <w:rPr>
                <w:color w:val="000000"/>
                <w:sz w:val="18"/>
                <w:szCs w:val="18"/>
                <w:lang w:val="es-ES" w:eastAsia="en-CA"/>
              </w:rPr>
            </w:pPr>
            <w:r w:rsidRPr="00610E81">
              <w:rPr>
                <w:sz w:val="18"/>
                <w:szCs w:val="18"/>
                <w:lang w:val="es-ES"/>
              </w:rPr>
              <w:t>0</w:t>
            </w:r>
          </w:p>
        </w:tc>
      </w:tr>
      <w:tr w:rsidR="003D5B9C" w:rsidRPr="00610E81" w14:paraId="1EDC2DA4" w14:textId="77777777" w:rsidTr="00305D02">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57332A16" w14:textId="77777777" w:rsidR="003D5B9C" w:rsidRPr="00610E81" w:rsidRDefault="003D5B9C" w:rsidP="00305D02">
            <w:pPr>
              <w:jc w:val="left"/>
              <w:rPr>
                <w:color w:val="000000"/>
                <w:sz w:val="18"/>
                <w:szCs w:val="18"/>
                <w:lang w:val="es-ES" w:eastAsia="en-CA"/>
              </w:rPr>
            </w:pPr>
            <w:r w:rsidRPr="00610E81">
              <w:rPr>
                <w:color w:val="000000"/>
                <w:sz w:val="18"/>
                <w:szCs w:val="18"/>
                <w:lang w:val="es-ES" w:eastAsia="en-CA"/>
              </w:rPr>
              <w:t>4.5.3</w:t>
            </w:r>
          </w:p>
        </w:tc>
        <w:tc>
          <w:tcPr>
            <w:tcW w:w="0" w:type="auto"/>
            <w:gridSpan w:val="8"/>
            <w:tcBorders>
              <w:top w:val="single" w:sz="4" w:space="0" w:color="auto"/>
              <w:bottom w:val="single" w:sz="4" w:space="0" w:color="auto"/>
            </w:tcBorders>
          </w:tcPr>
          <w:p w14:paraId="60E27E15"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Consumo admisible remanente de </w:t>
            </w:r>
            <w:r w:rsidRPr="00610E81">
              <w:rPr>
                <w:color w:val="000000"/>
                <w:sz w:val="18"/>
                <w:szCs w:val="18"/>
                <w:lang w:val="es-ES" w:eastAsia="en-CA"/>
              </w:rPr>
              <w:t xml:space="preserve">HCFC-124 </w:t>
            </w:r>
            <w:r w:rsidRPr="00610E81">
              <w:rPr>
                <w:color w:val="000000"/>
                <w:sz w:val="18"/>
                <w:szCs w:val="18"/>
                <w:lang w:val="es-ES"/>
              </w:rPr>
              <w:t>(toneladas PAO)</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6C0BE1A3" w14:textId="77777777" w:rsidR="003D5B9C" w:rsidRPr="00610E81" w:rsidRDefault="003D5B9C" w:rsidP="00305D02">
            <w:pPr>
              <w:jc w:val="right"/>
              <w:rPr>
                <w:color w:val="000000"/>
                <w:sz w:val="18"/>
                <w:szCs w:val="18"/>
                <w:lang w:val="es-ES" w:eastAsia="en-CA"/>
              </w:rPr>
            </w:pPr>
            <w:r w:rsidRPr="00610E81">
              <w:rPr>
                <w:color w:val="000000"/>
                <w:sz w:val="18"/>
                <w:szCs w:val="18"/>
                <w:lang w:val="es-ES" w:eastAsia="en-CA"/>
              </w:rPr>
              <w:t>0</w:t>
            </w:r>
          </w:p>
        </w:tc>
      </w:tr>
      <w:tr w:rsidR="003D5B9C" w:rsidRPr="00610E81" w14:paraId="15A68A12" w14:textId="77777777" w:rsidTr="00305D02">
        <w:trPr>
          <w:trHeight w:val="53"/>
          <w:jc w:val="center"/>
        </w:trPr>
        <w:tc>
          <w:tcPr>
            <w:tcW w:w="0" w:type="auto"/>
            <w:tcBorders>
              <w:top w:val="nil"/>
              <w:left w:val="single" w:sz="4" w:space="0" w:color="auto"/>
              <w:bottom w:val="single" w:sz="4" w:space="0" w:color="auto"/>
              <w:right w:val="single" w:sz="4" w:space="0" w:color="auto"/>
            </w:tcBorders>
            <w:shd w:val="clear" w:color="auto" w:fill="auto"/>
            <w:hideMark/>
          </w:tcPr>
          <w:p w14:paraId="7FCFB721" w14:textId="77777777" w:rsidR="003D5B9C" w:rsidRPr="00610E81" w:rsidRDefault="003D5B9C" w:rsidP="00305D02">
            <w:pPr>
              <w:jc w:val="left"/>
              <w:rPr>
                <w:color w:val="000000"/>
                <w:sz w:val="18"/>
                <w:szCs w:val="18"/>
                <w:lang w:val="es-ES"/>
              </w:rPr>
            </w:pPr>
            <w:r w:rsidRPr="00610E81">
              <w:rPr>
                <w:color w:val="000000"/>
                <w:sz w:val="18"/>
                <w:szCs w:val="18"/>
                <w:lang w:val="es-ES"/>
              </w:rPr>
              <w:t>4.</w:t>
            </w:r>
            <w:r w:rsidRPr="00610E81">
              <w:rPr>
                <w:color w:val="000000"/>
                <w:sz w:val="18"/>
                <w:szCs w:val="18"/>
                <w:lang w:val="es-ES" w:eastAsia="en-CA"/>
              </w:rPr>
              <w:t>6</w:t>
            </w:r>
            <w:r w:rsidRPr="00610E81">
              <w:rPr>
                <w:color w:val="000000"/>
                <w:sz w:val="18"/>
                <w:szCs w:val="18"/>
                <w:lang w:val="es-ES"/>
              </w:rPr>
              <w:t>.1</w:t>
            </w:r>
          </w:p>
        </w:tc>
        <w:tc>
          <w:tcPr>
            <w:tcW w:w="0" w:type="auto"/>
            <w:gridSpan w:val="8"/>
            <w:tcBorders>
              <w:top w:val="single" w:sz="4" w:space="0" w:color="auto"/>
              <w:bottom w:val="single" w:sz="4" w:space="0" w:color="auto"/>
            </w:tcBorders>
            <w:hideMark/>
          </w:tcPr>
          <w:p w14:paraId="5EB162ED" w14:textId="77777777" w:rsidR="003D5B9C" w:rsidRPr="00610E81" w:rsidRDefault="003D5B9C" w:rsidP="00305D02">
            <w:pPr>
              <w:keepNext/>
              <w:keepLines/>
              <w:jc w:val="left"/>
              <w:rPr>
                <w:color w:val="000000"/>
                <w:sz w:val="18"/>
                <w:szCs w:val="18"/>
                <w:lang w:val="es-ES"/>
              </w:rPr>
            </w:pPr>
            <w:r w:rsidRPr="00610E81">
              <w:rPr>
                <w:sz w:val="18"/>
                <w:szCs w:val="18"/>
                <w:lang w:val="es-ES"/>
              </w:rPr>
              <w:t xml:space="preserve">Total convenido de eliminación de HCFC-141b en </w:t>
            </w:r>
            <w:proofErr w:type="spellStart"/>
            <w:r w:rsidRPr="00610E81">
              <w:rPr>
                <w:sz w:val="18"/>
                <w:szCs w:val="18"/>
                <w:lang w:val="es-ES"/>
              </w:rPr>
              <w:t>polioles</w:t>
            </w:r>
            <w:proofErr w:type="spellEnd"/>
            <w:r w:rsidRPr="00610E81">
              <w:rPr>
                <w:sz w:val="18"/>
                <w:szCs w:val="18"/>
                <w:lang w:val="es-ES"/>
              </w:rPr>
              <w:t xml:space="preserve"> premezclados importados, conforme a este acuerdo</w:t>
            </w:r>
            <w:r w:rsidRPr="00610E81">
              <w:rPr>
                <w:color w:val="000000"/>
                <w:sz w:val="18"/>
                <w:szCs w:val="18"/>
                <w:lang w:val="es-ES"/>
              </w:rPr>
              <w:t xml:space="preserve"> (toneladas PAO)</w:t>
            </w:r>
          </w:p>
        </w:tc>
        <w:tc>
          <w:tcPr>
            <w:tcW w:w="0" w:type="auto"/>
            <w:tcBorders>
              <w:top w:val="nil"/>
              <w:left w:val="single" w:sz="4" w:space="0" w:color="auto"/>
              <w:bottom w:val="single" w:sz="4" w:space="0" w:color="auto"/>
              <w:right w:val="single" w:sz="4" w:space="0" w:color="auto"/>
            </w:tcBorders>
            <w:shd w:val="clear" w:color="auto" w:fill="auto"/>
          </w:tcPr>
          <w:p w14:paraId="562CF457"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r>
      <w:tr w:rsidR="003D5B9C" w:rsidRPr="00610E81" w14:paraId="0D0532B0" w14:textId="77777777" w:rsidTr="00305D02">
        <w:trPr>
          <w:trHeight w:val="107"/>
          <w:jc w:val="center"/>
        </w:trPr>
        <w:tc>
          <w:tcPr>
            <w:tcW w:w="0" w:type="auto"/>
            <w:tcBorders>
              <w:top w:val="nil"/>
              <w:left w:val="single" w:sz="4" w:space="0" w:color="auto"/>
              <w:bottom w:val="single" w:sz="4" w:space="0" w:color="auto"/>
              <w:right w:val="single" w:sz="4" w:space="0" w:color="auto"/>
            </w:tcBorders>
            <w:shd w:val="clear" w:color="auto" w:fill="auto"/>
            <w:hideMark/>
          </w:tcPr>
          <w:p w14:paraId="310B8D90" w14:textId="77777777" w:rsidR="003D5B9C" w:rsidRPr="00610E81" w:rsidRDefault="003D5B9C" w:rsidP="00305D02">
            <w:pPr>
              <w:jc w:val="left"/>
              <w:rPr>
                <w:color w:val="000000"/>
                <w:sz w:val="18"/>
                <w:szCs w:val="18"/>
                <w:lang w:val="es-ES"/>
              </w:rPr>
            </w:pPr>
            <w:r w:rsidRPr="00610E81">
              <w:rPr>
                <w:color w:val="000000"/>
                <w:sz w:val="18"/>
                <w:szCs w:val="18"/>
                <w:lang w:val="es-ES"/>
              </w:rPr>
              <w:t>4.</w:t>
            </w:r>
            <w:r w:rsidRPr="00610E81">
              <w:rPr>
                <w:color w:val="000000"/>
                <w:sz w:val="18"/>
                <w:szCs w:val="18"/>
                <w:lang w:val="es-ES" w:eastAsia="en-CA"/>
              </w:rPr>
              <w:t>6</w:t>
            </w:r>
            <w:r w:rsidRPr="00610E81">
              <w:rPr>
                <w:color w:val="000000"/>
                <w:sz w:val="18"/>
                <w:szCs w:val="18"/>
                <w:lang w:val="es-ES"/>
              </w:rPr>
              <w:t>.2</w:t>
            </w:r>
          </w:p>
        </w:tc>
        <w:tc>
          <w:tcPr>
            <w:tcW w:w="0" w:type="auto"/>
            <w:gridSpan w:val="8"/>
            <w:tcBorders>
              <w:top w:val="single" w:sz="4" w:space="0" w:color="auto"/>
              <w:bottom w:val="single" w:sz="4" w:space="0" w:color="auto"/>
            </w:tcBorders>
            <w:hideMark/>
          </w:tcPr>
          <w:p w14:paraId="2342898F" w14:textId="77777777" w:rsidR="003D5B9C" w:rsidRPr="00610E81" w:rsidRDefault="003D5B9C" w:rsidP="00305D02">
            <w:pPr>
              <w:keepNext/>
              <w:keepLines/>
              <w:jc w:val="left"/>
              <w:rPr>
                <w:color w:val="000000"/>
                <w:sz w:val="18"/>
                <w:szCs w:val="18"/>
                <w:lang w:val="es-ES"/>
              </w:rPr>
            </w:pPr>
            <w:r w:rsidRPr="00610E81">
              <w:rPr>
                <w:color w:val="000000"/>
                <w:sz w:val="18"/>
                <w:szCs w:val="18"/>
                <w:lang w:val="es-ES"/>
              </w:rPr>
              <w:t xml:space="preserve">Eliminación de HCFC-141b </w:t>
            </w:r>
            <w:r w:rsidRPr="00610E81">
              <w:rPr>
                <w:sz w:val="18"/>
                <w:szCs w:val="18"/>
                <w:lang w:val="es-ES"/>
              </w:rPr>
              <w:t xml:space="preserve">en </w:t>
            </w:r>
            <w:proofErr w:type="spellStart"/>
            <w:r w:rsidRPr="00610E81">
              <w:rPr>
                <w:sz w:val="18"/>
                <w:szCs w:val="18"/>
                <w:lang w:val="es-ES"/>
              </w:rPr>
              <w:t>polioles</w:t>
            </w:r>
            <w:proofErr w:type="spellEnd"/>
            <w:r w:rsidRPr="00610E81">
              <w:rPr>
                <w:sz w:val="18"/>
                <w:szCs w:val="18"/>
                <w:lang w:val="es-ES"/>
              </w:rPr>
              <w:t xml:space="preserve"> premezclados importados</w:t>
            </w:r>
            <w:r w:rsidRPr="00610E81">
              <w:rPr>
                <w:color w:val="000000"/>
                <w:sz w:val="18"/>
                <w:szCs w:val="18"/>
                <w:lang w:val="es-ES"/>
              </w:rPr>
              <w:t xml:space="preserve"> por lograr en la etapa previa</w:t>
            </w:r>
            <w:r w:rsidRPr="00610E81">
              <w:rPr>
                <w:color w:val="000000"/>
                <w:sz w:val="18"/>
                <w:szCs w:val="18"/>
                <w:lang w:val="es-ES" w:eastAsia="en-CA"/>
              </w:rPr>
              <w:t xml:space="preserve"> (toneladas PAO)</w:t>
            </w:r>
          </w:p>
        </w:tc>
        <w:tc>
          <w:tcPr>
            <w:tcW w:w="0" w:type="auto"/>
            <w:tcBorders>
              <w:top w:val="nil"/>
              <w:left w:val="single" w:sz="4" w:space="0" w:color="auto"/>
              <w:bottom w:val="single" w:sz="4" w:space="0" w:color="auto"/>
              <w:right w:val="single" w:sz="4" w:space="0" w:color="auto"/>
            </w:tcBorders>
            <w:shd w:val="clear" w:color="auto" w:fill="auto"/>
          </w:tcPr>
          <w:p w14:paraId="4AA3E7EC" w14:textId="77777777" w:rsidR="003D5B9C" w:rsidRPr="00610E81" w:rsidRDefault="003D5B9C" w:rsidP="00305D02">
            <w:pPr>
              <w:jc w:val="right"/>
              <w:rPr>
                <w:color w:val="000000"/>
                <w:sz w:val="18"/>
                <w:szCs w:val="18"/>
                <w:lang w:val="es-ES"/>
              </w:rPr>
            </w:pPr>
            <w:r w:rsidRPr="00610E81">
              <w:rPr>
                <w:rFonts w:eastAsiaTheme="minorHAnsi"/>
                <w:color w:val="000000"/>
                <w:sz w:val="18"/>
                <w:szCs w:val="18"/>
                <w:lang w:val="es-ES"/>
              </w:rPr>
              <w:t>20.67</w:t>
            </w:r>
          </w:p>
        </w:tc>
      </w:tr>
      <w:tr w:rsidR="003D5B9C" w:rsidRPr="00610E81" w14:paraId="47638E0B" w14:textId="77777777" w:rsidTr="00305D02">
        <w:trPr>
          <w:trHeight w:val="9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63746" w14:textId="77777777" w:rsidR="003D5B9C" w:rsidRPr="00610E81" w:rsidRDefault="003D5B9C" w:rsidP="00305D02">
            <w:pPr>
              <w:jc w:val="left"/>
              <w:rPr>
                <w:color w:val="000000"/>
                <w:sz w:val="18"/>
                <w:szCs w:val="18"/>
                <w:lang w:val="es-ES"/>
              </w:rPr>
            </w:pPr>
            <w:r w:rsidRPr="00610E81">
              <w:rPr>
                <w:color w:val="000000"/>
                <w:sz w:val="18"/>
                <w:szCs w:val="18"/>
                <w:lang w:val="es-ES"/>
              </w:rPr>
              <w:t>4.</w:t>
            </w:r>
            <w:r w:rsidRPr="00610E81">
              <w:rPr>
                <w:color w:val="000000"/>
                <w:sz w:val="18"/>
                <w:szCs w:val="18"/>
                <w:lang w:val="es-ES" w:eastAsia="en-CA"/>
              </w:rPr>
              <w:t>6.</w:t>
            </w:r>
            <w:r w:rsidRPr="00610E81">
              <w:rPr>
                <w:color w:val="000000"/>
                <w:sz w:val="18"/>
                <w:szCs w:val="18"/>
                <w:lang w:val="es-ES"/>
              </w:rPr>
              <w:t>3</w:t>
            </w:r>
          </w:p>
        </w:tc>
        <w:tc>
          <w:tcPr>
            <w:tcW w:w="0" w:type="auto"/>
            <w:gridSpan w:val="8"/>
            <w:tcBorders>
              <w:top w:val="single" w:sz="4" w:space="0" w:color="auto"/>
              <w:bottom w:val="single" w:sz="4" w:space="0" w:color="auto"/>
            </w:tcBorders>
            <w:hideMark/>
          </w:tcPr>
          <w:p w14:paraId="213327C9" w14:textId="77777777" w:rsidR="003D5B9C" w:rsidRPr="00610E81" w:rsidRDefault="003D5B9C" w:rsidP="00305D02">
            <w:pPr>
              <w:keepNext/>
              <w:keepLines/>
              <w:jc w:val="left"/>
              <w:rPr>
                <w:color w:val="000000"/>
                <w:sz w:val="18"/>
                <w:szCs w:val="18"/>
                <w:lang w:val="es-ES"/>
              </w:rPr>
            </w:pPr>
            <w:r w:rsidRPr="00610E81">
              <w:rPr>
                <w:sz w:val="18"/>
                <w:szCs w:val="18"/>
                <w:lang w:val="es-ES"/>
              </w:rPr>
              <w:t>Consumo admisible remanente de HCFC-141b</w:t>
            </w:r>
            <w:r w:rsidRPr="00610E81">
              <w:rPr>
                <w:color w:val="000000"/>
                <w:sz w:val="18"/>
                <w:szCs w:val="18"/>
                <w:lang w:val="es-ES"/>
              </w:rPr>
              <w:t xml:space="preserve"> </w:t>
            </w:r>
            <w:r w:rsidRPr="00610E81">
              <w:rPr>
                <w:sz w:val="18"/>
                <w:szCs w:val="18"/>
                <w:lang w:val="es-ES"/>
              </w:rPr>
              <w:t xml:space="preserve">en </w:t>
            </w:r>
            <w:proofErr w:type="spellStart"/>
            <w:r w:rsidRPr="00610E81">
              <w:rPr>
                <w:sz w:val="18"/>
                <w:szCs w:val="18"/>
                <w:lang w:val="es-ES"/>
              </w:rPr>
              <w:t>polioles</w:t>
            </w:r>
            <w:proofErr w:type="spellEnd"/>
            <w:r w:rsidRPr="00610E81">
              <w:rPr>
                <w:sz w:val="18"/>
                <w:szCs w:val="18"/>
                <w:lang w:val="es-ES"/>
              </w:rPr>
              <w:t xml:space="preserve"> premezclados importados </w:t>
            </w:r>
            <w:r w:rsidRPr="00610E81">
              <w:rPr>
                <w:color w:val="000000"/>
                <w:sz w:val="18"/>
                <w:szCs w:val="18"/>
                <w:lang w:val="es-ES"/>
              </w:rPr>
              <w:t>(toneladas PAO)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A1C11" w14:textId="77777777" w:rsidR="003D5B9C" w:rsidRPr="00610E81" w:rsidRDefault="003D5B9C" w:rsidP="00305D02">
            <w:pPr>
              <w:jc w:val="right"/>
              <w:rPr>
                <w:color w:val="000000"/>
                <w:sz w:val="18"/>
                <w:szCs w:val="18"/>
                <w:lang w:val="es-ES"/>
              </w:rPr>
            </w:pPr>
            <w:r w:rsidRPr="00610E81">
              <w:rPr>
                <w:color w:val="000000"/>
                <w:sz w:val="18"/>
                <w:szCs w:val="18"/>
                <w:lang w:val="es-ES" w:eastAsia="en-CA"/>
              </w:rPr>
              <w:t>0</w:t>
            </w:r>
          </w:p>
        </w:tc>
      </w:tr>
    </w:tbl>
    <w:p w14:paraId="514D1BFA" w14:textId="77777777" w:rsidR="003D5B9C" w:rsidRPr="00610E81" w:rsidRDefault="003D5B9C" w:rsidP="003D5B9C">
      <w:pPr>
        <w:widowControl w:val="0"/>
        <w:spacing w:before="360"/>
        <w:rPr>
          <w:b/>
          <w:lang w:val="es-ES"/>
        </w:rPr>
      </w:pPr>
      <w:r w:rsidRPr="00610E81">
        <w:rPr>
          <w:b/>
          <w:bCs/>
          <w:lang w:val="es-ES"/>
        </w:rPr>
        <w:lastRenderedPageBreak/>
        <w:t>APÉNDICE 3-A: CALENDARIO DE APROBACIÓN DE LA FINANCIACIÓN</w:t>
      </w:r>
    </w:p>
    <w:p w14:paraId="163739D0" w14:textId="77777777" w:rsidR="003D5B9C" w:rsidRPr="00610E81" w:rsidRDefault="003D5B9C" w:rsidP="003D5B9C">
      <w:pPr>
        <w:widowControl w:val="0"/>
        <w:rPr>
          <w:lang w:val="es-ES"/>
        </w:rPr>
      </w:pPr>
    </w:p>
    <w:p w14:paraId="5FB19AEE" w14:textId="77777777" w:rsidR="003D5B9C" w:rsidRPr="003D5B9C" w:rsidRDefault="003D5B9C" w:rsidP="003D5B9C">
      <w:pPr>
        <w:pStyle w:val="Heading1"/>
        <w:widowControl w:val="0"/>
        <w:numPr>
          <w:ilvl w:val="0"/>
          <w:numId w:val="38"/>
        </w:numPr>
        <w:rPr>
          <w:lang w:val="es-ES"/>
        </w:rPr>
      </w:pPr>
      <w:r w:rsidRPr="003D5B9C">
        <w:rPr>
          <w:lang w:val="es-ES"/>
        </w:rPr>
        <w:t>La financiación para los tramos futuros se considerará para aprobación en la segunda reunión del año especificado en el Apéndice 2</w:t>
      </w:r>
      <w:r w:rsidRPr="003D5B9C">
        <w:rPr>
          <w:lang w:val="es-ES"/>
        </w:rPr>
        <w:noBreakHyphen/>
        <w:t>A.</w:t>
      </w:r>
    </w:p>
    <w:p w14:paraId="3B918968" w14:textId="77777777" w:rsidR="003D5B9C" w:rsidRPr="00610E81" w:rsidRDefault="003D5B9C" w:rsidP="003D5B9C">
      <w:pPr>
        <w:widowControl w:val="0"/>
        <w:spacing w:before="360"/>
        <w:rPr>
          <w:b/>
          <w:lang w:val="es-ES"/>
        </w:rPr>
      </w:pPr>
      <w:r w:rsidRPr="00610E81">
        <w:rPr>
          <w:b/>
          <w:bCs/>
          <w:lang w:val="es-ES"/>
        </w:rPr>
        <w:t>APÉNDICE 4-A: FORMATO DE LOS INFORMES Y PLANES DE EJECUCIÓN DE TRAMOS</w:t>
      </w:r>
    </w:p>
    <w:p w14:paraId="595138AA" w14:textId="77777777" w:rsidR="003D5B9C" w:rsidRPr="00610E81" w:rsidRDefault="003D5B9C" w:rsidP="003D5B9C">
      <w:pPr>
        <w:widowControl w:val="0"/>
        <w:rPr>
          <w:lang w:val="es-ES"/>
        </w:rPr>
      </w:pPr>
    </w:p>
    <w:p w14:paraId="1BF7C274" w14:textId="77777777" w:rsidR="003D5B9C" w:rsidRPr="003D5B9C" w:rsidRDefault="003D5B9C" w:rsidP="003D5B9C">
      <w:pPr>
        <w:pStyle w:val="Heading1"/>
        <w:widowControl w:val="0"/>
        <w:numPr>
          <w:ilvl w:val="0"/>
          <w:numId w:val="37"/>
        </w:numPr>
        <w:rPr>
          <w:lang w:val="es-ES"/>
        </w:rPr>
      </w:pPr>
      <w:r w:rsidRPr="003D5B9C">
        <w:rPr>
          <w:lang w:val="es-ES"/>
        </w:rPr>
        <w:t>La presentación del Informe de Ejecución de Tramos y de los Planes para cada tramo solicitado constará de cinco partes:</w:t>
      </w:r>
    </w:p>
    <w:p w14:paraId="0AEB96D0"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de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y problemas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Tramos presentado(s) anteriormente, tales como demoras, uso de la flexibilidad para reasignar fondos durante la ejecución de un tramo, como se estipula en el párrafo 7 de este Acuerdo, u otros cambios; </w:t>
      </w:r>
    </w:p>
    <w:p w14:paraId="0B0565A9" w14:textId="77777777" w:rsidR="003D5B9C" w:rsidRPr="00610E81" w:rsidRDefault="003D5B9C" w:rsidP="003D5B9C">
      <w:pPr>
        <w:widowControl w:val="0"/>
        <w:numPr>
          <w:ilvl w:val="1"/>
          <w:numId w:val="1"/>
        </w:numPr>
        <w:spacing w:after="240"/>
        <w:outlineLvl w:val="1"/>
        <w:rPr>
          <w:lang w:val="es-ES"/>
        </w:rPr>
      </w:pPr>
      <w:r w:rsidRPr="00610E81">
        <w:rPr>
          <w:lang w:val="es-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6919AB6E"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Igualmente, la descripción debería especificar y explicar en detalle tales cambios al Plan general. La descripción de las actividades futuras se puede presentar como parte del mismo documento donde figure el informe descriptivo previsto en el inciso b) </w:t>
      </w:r>
      <w:r w:rsidRPr="00610E81">
        <w:rPr>
          <w:i/>
          <w:iCs/>
          <w:lang w:val="es-ES"/>
        </w:rPr>
        <w:t>supra</w:t>
      </w:r>
      <w:r w:rsidRPr="00610E81">
        <w:rPr>
          <w:lang w:val="es-ES"/>
        </w:rPr>
        <w:t xml:space="preserve">; </w:t>
      </w:r>
    </w:p>
    <w:p w14:paraId="18D28D28" w14:textId="77777777" w:rsidR="003D5B9C" w:rsidRPr="00610E81" w:rsidRDefault="003D5B9C" w:rsidP="003D5B9C">
      <w:pPr>
        <w:keepNext/>
        <w:keepLines/>
        <w:widowControl w:val="0"/>
        <w:numPr>
          <w:ilvl w:val="1"/>
          <w:numId w:val="1"/>
        </w:numPr>
        <w:spacing w:after="240"/>
        <w:outlineLvl w:val="1"/>
        <w:rPr>
          <w:lang w:val="es-ES"/>
        </w:rPr>
      </w:pPr>
      <w:r w:rsidRPr="00610E81">
        <w:rPr>
          <w:lang w:val="es-ES"/>
        </w:rPr>
        <w:t>Un conjunto de información cuantitativa para todos los Informes y Planes de Ejecución de Tramos, presentada a través de una base de datos en Internet; y</w:t>
      </w:r>
    </w:p>
    <w:p w14:paraId="607DE41D"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Un Resumen Ejecutivo de unos cinco párrafos con una síntesis de la información estipulada en los incisos 1 a) a 1 d) </w:t>
      </w:r>
      <w:r w:rsidRPr="00610E81">
        <w:rPr>
          <w:i/>
          <w:iCs/>
          <w:lang w:val="es-ES"/>
        </w:rPr>
        <w:t>supra</w:t>
      </w:r>
      <w:r w:rsidRPr="00610E81">
        <w:rPr>
          <w:lang w:val="es-ES"/>
        </w:rPr>
        <w:t xml:space="preserve">. </w:t>
      </w:r>
    </w:p>
    <w:p w14:paraId="58A5094C" w14:textId="77777777" w:rsidR="003D5B9C" w:rsidRPr="00610E81" w:rsidRDefault="003D5B9C" w:rsidP="003D5B9C">
      <w:pPr>
        <w:numPr>
          <w:ilvl w:val="0"/>
          <w:numId w:val="1"/>
        </w:numPr>
        <w:spacing w:after="240"/>
        <w:outlineLvl w:val="0"/>
        <w:rPr>
          <w:lang w:val="es-ES"/>
        </w:rPr>
      </w:pPr>
      <w:r w:rsidRPr="00610E81">
        <w:rPr>
          <w:lang w:val="es-ES"/>
        </w:rPr>
        <w:t>En el caso en que en un año en particular se ejecute de forma paralela dos etapas del plan de gestión de eliminación de los HCFC, deberían tenerse en cuenta las siguientes consideraciones al elaborar los Informes y Planes de Ejecución de Tramos:</w:t>
      </w:r>
    </w:p>
    <w:p w14:paraId="4E627D81" w14:textId="77777777" w:rsidR="003D5B9C" w:rsidRPr="00610E81" w:rsidRDefault="003D5B9C" w:rsidP="00305D02">
      <w:pPr>
        <w:keepNext/>
        <w:keepLines/>
        <w:widowControl w:val="0"/>
        <w:numPr>
          <w:ilvl w:val="1"/>
          <w:numId w:val="1"/>
        </w:numPr>
        <w:spacing w:after="240"/>
        <w:outlineLvl w:val="1"/>
        <w:rPr>
          <w:lang w:val="es-ES"/>
        </w:rPr>
      </w:pPr>
      <w:r w:rsidRPr="00610E81">
        <w:rPr>
          <w:lang w:val="es-ES"/>
        </w:rPr>
        <w:lastRenderedPageBreak/>
        <w:t>Los Informes y Planes de Ejecución de Tramos a los que se haga referencia como parte de este Acuerdo harán referencia exclusivamente a las actividades y fondos cubiertos por este Acuerdo; y</w:t>
      </w:r>
    </w:p>
    <w:p w14:paraId="33758FFC" w14:textId="77777777" w:rsidR="003D5B9C" w:rsidRPr="00610E81" w:rsidRDefault="003D5B9C" w:rsidP="00305D02">
      <w:pPr>
        <w:keepNext/>
        <w:keepLines/>
        <w:widowControl w:val="0"/>
        <w:numPr>
          <w:ilvl w:val="1"/>
          <w:numId w:val="1"/>
        </w:numPr>
        <w:spacing w:after="240"/>
        <w:outlineLvl w:val="1"/>
        <w:rPr>
          <w:lang w:val="es-ES"/>
        </w:rPr>
      </w:pPr>
      <w:r w:rsidRPr="00610E81">
        <w:rPr>
          <w:lang w:val="es-ES"/>
        </w:rPr>
        <w:t>Si las etapas en curso de ejecución tuvieran diferentes objetivos de eliminación de consumo de HCFC bajo el Apéndice 2-A de cada Acuerdo en un año en particular, el objetivo de consumo más bajo se utilizará como referencia para los fines del cumplimiento de esos Acuerdos y servirá de base para la verificación independiente.</w:t>
      </w:r>
    </w:p>
    <w:p w14:paraId="40219362" w14:textId="77777777" w:rsidR="003D5B9C" w:rsidRPr="00610E81" w:rsidRDefault="003D5B9C" w:rsidP="003D5B9C">
      <w:pPr>
        <w:spacing w:before="360"/>
        <w:rPr>
          <w:b/>
          <w:lang w:val="es-ES"/>
        </w:rPr>
      </w:pPr>
      <w:r w:rsidRPr="00610E81">
        <w:rPr>
          <w:b/>
          <w:bCs/>
          <w:lang w:val="es-ES"/>
        </w:rPr>
        <w:t xml:space="preserve">APÉNDICE 5-A: INSTITUCIONES DE SUPERVISIÓN Y FUNCIONES </w:t>
      </w:r>
    </w:p>
    <w:p w14:paraId="631FF276" w14:textId="77777777" w:rsidR="003D5B9C" w:rsidRPr="00610E81" w:rsidRDefault="003D5B9C" w:rsidP="003D5B9C">
      <w:pPr>
        <w:rPr>
          <w:lang w:val="es-ES"/>
        </w:rPr>
      </w:pPr>
    </w:p>
    <w:p w14:paraId="5BA58D3B" w14:textId="77777777" w:rsidR="003D5B9C" w:rsidRPr="003D5B9C" w:rsidRDefault="003D5B9C" w:rsidP="003D5B9C">
      <w:pPr>
        <w:pStyle w:val="Heading1"/>
        <w:numPr>
          <w:ilvl w:val="0"/>
          <w:numId w:val="36"/>
        </w:numPr>
        <w:rPr>
          <w:lang w:val="es-ES"/>
        </w:rPr>
      </w:pPr>
      <w:r w:rsidRPr="003D5B9C">
        <w:rPr>
          <w:lang w:val="es-ES"/>
        </w:rPr>
        <w:t>El Ministerio de Producción, Comercio Exterior, Inversiones y Pesca (MPCEIP) es el centro de coordinación para el Protocolo de Montreal en el Ecuador. Las actividades que corresponden a la aplicación del Protocolo están en consonancia con las propuestas de estrategias de la Dirección Nacional de Medio Ambiente y Reconversión Tecnológica del Ministerio. Esta división se ocupa de la coordinación con las autoridades del Plan Nacional para la Eliminación de las Sustancias que Agotan el Ozono (SAO).</w:t>
      </w:r>
    </w:p>
    <w:p w14:paraId="7927EDA4" w14:textId="77777777" w:rsidR="003D5B9C" w:rsidRPr="00610E81" w:rsidRDefault="003D5B9C" w:rsidP="003D5B9C">
      <w:pPr>
        <w:pStyle w:val="Heading1"/>
        <w:rPr>
          <w:lang w:val="es-ES"/>
        </w:rPr>
      </w:pPr>
      <w:r w:rsidRPr="00610E81">
        <w:rPr>
          <w:lang w:val="es-ES"/>
        </w:rPr>
        <w:t>El proyecto se ejecuta por medio de la dependencia nacional de ozono establecida en el MPCEIP, como parte de la Dirección Nacional de Medio Ambiente y Reconversión Tecnológica, cuyas funciones son:</w:t>
      </w:r>
    </w:p>
    <w:p w14:paraId="0BD4AB49" w14:textId="77777777" w:rsidR="003D5B9C" w:rsidRPr="00610E81" w:rsidRDefault="003D5B9C" w:rsidP="003D5B9C">
      <w:pPr>
        <w:pStyle w:val="Heading2"/>
        <w:rPr>
          <w:lang w:val="es-ES"/>
        </w:rPr>
      </w:pPr>
      <w:r w:rsidRPr="00610E81">
        <w:rPr>
          <w:lang w:val="es-ES"/>
        </w:rPr>
        <w:t>Coordinar, en su calidad de centro de coordinación, todas las actividades relacionadas con la ejecución del programa de país para la eliminación de las SAO en el Ecuador,</w:t>
      </w:r>
    </w:p>
    <w:p w14:paraId="78BBC8FD" w14:textId="77777777" w:rsidR="003D5B9C" w:rsidRPr="00610E81" w:rsidRDefault="003D5B9C" w:rsidP="003D5B9C">
      <w:pPr>
        <w:pStyle w:val="Heading2"/>
        <w:rPr>
          <w:lang w:val="es-ES"/>
        </w:rPr>
      </w:pPr>
      <w:r w:rsidRPr="00610E81">
        <w:rPr>
          <w:lang w:val="es-ES"/>
        </w:rPr>
        <w:t>Supervisar y controlar el consumo de sustancias controladas por el Protocolo de Montreal,</w:t>
      </w:r>
    </w:p>
    <w:p w14:paraId="571A77F6" w14:textId="77777777" w:rsidR="003D5B9C" w:rsidRPr="00610E81" w:rsidRDefault="003D5B9C" w:rsidP="003D5B9C">
      <w:pPr>
        <w:pStyle w:val="Heading2"/>
        <w:rPr>
          <w:lang w:val="es-ES"/>
        </w:rPr>
      </w:pPr>
      <w:r w:rsidRPr="00610E81">
        <w:rPr>
          <w:lang w:val="es-ES"/>
        </w:rPr>
        <w:t>Difundir los datos y la información pertinente a todas las partes interesadas, e informar sobre los requisitos establecidos en el Protocolo de Montreal,</w:t>
      </w:r>
    </w:p>
    <w:p w14:paraId="2D79017E" w14:textId="77777777" w:rsidR="003D5B9C" w:rsidRPr="00610E81" w:rsidRDefault="003D5B9C" w:rsidP="003D5B9C">
      <w:pPr>
        <w:pStyle w:val="Heading2"/>
        <w:rPr>
          <w:lang w:val="es-ES"/>
        </w:rPr>
      </w:pPr>
      <w:r w:rsidRPr="00610E81">
        <w:rPr>
          <w:lang w:val="es-ES"/>
        </w:rPr>
        <w:t>Promover el conocimiento de cuestiones relacionadas con las SAO y sus alternativas,</w:t>
      </w:r>
    </w:p>
    <w:p w14:paraId="163B128C" w14:textId="77777777" w:rsidR="003D5B9C" w:rsidRPr="00610E81" w:rsidRDefault="003D5B9C" w:rsidP="003D5B9C">
      <w:pPr>
        <w:pStyle w:val="Heading2"/>
        <w:rPr>
          <w:lang w:val="es-ES"/>
        </w:rPr>
      </w:pPr>
      <w:r w:rsidRPr="00610E81">
        <w:rPr>
          <w:lang w:val="es-ES"/>
        </w:rPr>
        <w:t>Recibir, evaluar y presentar informes, que examinará el Comité Ejecutivo del Fondo Multilateral, en relación con otros proyectos que no hayan sido incluidos en el programa de país,</w:t>
      </w:r>
    </w:p>
    <w:p w14:paraId="73433B2E" w14:textId="77777777" w:rsidR="003D5B9C" w:rsidRPr="00610E81" w:rsidRDefault="003D5B9C" w:rsidP="003D5B9C">
      <w:pPr>
        <w:pStyle w:val="Heading2"/>
        <w:rPr>
          <w:lang w:val="es-ES"/>
        </w:rPr>
      </w:pPr>
      <w:r w:rsidRPr="00610E81">
        <w:rPr>
          <w:lang w:val="es-ES"/>
        </w:rPr>
        <w:t>Informar a la Secretaría del Ozono, al Fondo Multilateral, y al Organismo de Ejecución acerca del consumo y la eliminación de las sustancias controladas por el Protocolo de Montreal en el Ecuador,</w:t>
      </w:r>
    </w:p>
    <w:p w14:paraId="754247FF" w14:textId="77777777" w:rsidR="003D5B9C" w:rsidRPr="00610E81" w:rsidRDefault="003D5B9C" w:rsidP="003D5B9C">
      <w:pPr>
        <w:pStyle w:val="Heading2"/>
        <w:rPr>
          <w:lang w:val="es-ES"/>
        </w:rPr>
      </w:pPr>
      <w:r w:rsidRPr="00610E81">
        <w:rPr>
          <w:lang w:val="es-ES"/>
        </w:rPr>
        <w:t>Coordinar y ejecutar proyectos relacionados con las sustancias controladas por el Protocolo de Montreal en el país.</w:t>
      </w:r>
    </w:p>
    <w:p w14:paraId="0AD0FE3F" w14:textId="77777777" w:rsidR="003D5B9C" w:rsidRPr="00610E81" w:rsidRDefault="003D5B9C" w:rsidP="003D5B9C">
      <w:pPr>
        <w:pStyle w:val="Heading1"/>
        <w:rPr>
          <w:rFonts w:eastAsia="SimSun"/>
          <w:lang w:val="es-ES"/>
        </w:rPr>
      </w:pPr>
      <w:r w:rsidRPr="00610E81">
        <w:rPr>
          <w:lang w:val="es-ES"/>
        </w:rPr>
        <w:t xml:space="preserve">El MPCEIP tendrá a su cargo la supervisión del plan de ejecución para la eliminación, de hacer un seguimiento de la promulgación y la observancia de las políticas y la legislación. Los procedimientos destinados a la ejecución de estas actividades son: </w:t>
      </w:r>
    </w:p>
    <w:p w14:paraId="0EB66D10" w14:textId="77777777" w:rsidR="003D5B9C" w:rsidRPr="00610E81" w:rsidRDefault="003D5B9C" w:rsidP="003D5B9C">
      <w:pPr>
        <w:pStyle w:val="Heading2"/>
        <w:rPr>
          <w:lang w:val="es-ES"/>
        </w:rPr>
      </w:pPr>
      <w:r w:rsidRPr="00610E81">
        <w:rPr>
          <w:lang w:val="es-ES"/>
        </w:rPr>
        <w:t>Ejecución de todas las actividades de los componentes del PGEH, incluido el diseño de actividades detalladas, auditoría de las partes involucradas, identificación y selección de los beneficiarios, contratación de bienes y servicios, asistencia técnica constante a los beneficiarios de los proyectos, etc.</w:t>
      </w:r>
    </w:p>
    <w:p w14:paraId="0782BECE" w14:textId="77777777" w:rsidR="003D5B9C" w:rsidRPr="00610E81" w:rsidRDefault="003D5B9C" w:rsidP="003D5B9C">
      <w:pPr>
        <w:pStyle w:val="Heading2"/>
        <w:rPr>
          <w:lang w:val="es-ES"/>
        </w:rPr>
      </w:pPr>
      <w:r w:rsidRPr="00610E81">
        <w:rPr>
          <w:lang w:val="es-ES"/>
        </w:rPr>
        <w:t>Supervisión periódica de las tendencias y actitudes en el sector privado local relacionadas con el uso de los HCFC y sus posibles sustitutos.</w:t>
      </w:r>
    </w:p>
    <w:p w14:paraId="3DDE9CF5" w14:textId="77777777" w:rsidR="003D5B9C" w:rsidRPr="00610E81" w:rsidRDefault="003D5B9C" w:rsidP="003D5B9C">
      <w:pPr>
        <w:pStyle w:val="Heading2"/>
        <w:rPr>
          <w:lang w:val="es-ES"/>
        </w:rPr>
      </w:pPr>
      <w:r w:rsidRPr="00610E81">
        <w:rPr>
          <w:lang w:val="es-ES"/>
        </w:rPr>
        <w:lastRenderedPageBreak/>
        <w:t>Diseño, organización y ejecución (anual) de las actividades de supervisión de los proyectos, que incluyen el diseño de instrumentos para la recopilación y el análisis de datos.</w:t>
      </w:r>
    </w:p>
    <w:p w14:paraId="20383EB8" w14:textId="77777777" w:rsidR="003D5B9C" w:rsidRPr="00610E81" w:rsidRDefault="003D5B9C" w:rsidP="003D5B9C">
      <w:pPr>
        <w:pStyle w:val="Heading2"/>
        <w:rPr>
          <w:lang w:val="es-ES"/>
        </w:rPr>
      </w:pPr>
      <w:r w:rsidRPr="00610E81">
        <w:rPr>
          <w:lang w:val="es-ES"/>
        </w:rPr>
        <w:t>Análisis e información de los resultados de la supervisión, en particular el diseño de la aplicación de las medidas correctivas o las actividades de asistencia técnica, y organización de las reuniones correspondientes para el examen y la gestión de la supervisión.</w:t>
      </w:r>
    </w:p>
    <w:p w14:paraId="28CAD8E9" w14:textId="77777777" w:rsidR="003D5B9C" w:rsidRPr="00610E81" w:rsidRDefault="003D5B9C" w:rsidP="003D5B9C">
      <w:pPr>
        <w:pStyle w:val="Heading2"/>
        <w:rPr>
          <w:lang w:val="es-ES"/>
        </w:rPr>
      </w:pPr>
      <w:r w:rsidRPr="00610E81">
        <w:rPr>
          <w:lang w:val="es-ES"/>
        </w:rPr>
        <w:t>Elaboración y aplicación de las medidas correctivas.</w:t>
      </w:r>
    </w:p>
    <w:p w14:paraId="08F021BD" w14:textId="77777777" w:rsidR="003D5B9C" w:rsidRPr="00610E81" w:rsidRDefault="003D5B9C" w:rsidP="003D5B9C">
      <w:pPr>
        <w:pStyle w:val="Heading2"/>
        <w:rPr>
          <w:lang w:val="es-ES"/>
        </w:rPr>
      </w:pPr>
      <w:r w:rsidRPr="00610E81">
        <w:rPr>
          <w:lang w:val="es-ES"/>
        </w:rPr>
        <w:t>Ejecución periódica de las actividades de asistencia técnica para los beneficiarios de los proyectos.</w:t>
      </w:r>
    </w:p>
    <w:p w14:paraId="7F4B00E2" w14:textId="77777777" w:rsidR="003D5B9C" w:rsidRPr="00610E81" w:rsidRDefault="003D5B9C" w:rsidP="003D5B9C">
      <w:pPr>
        <w:pStyle w:val="Heading2"/>
        <w:rPr>
          <w:lang w:val="es-ES"/>
        </w:rPr>
      </w:pPr>
      <w:r w:rsidRPr="00610E81">
        <w:rPr>
          <w:lang w:val="es-ES"/>
        </w:rPr>
        <w:t>Preparación de informes anuales sobre la marcha de las actividades, informes semestrales sobre la ejecución del PGEH, y del plan semestral de ejecución para el Comité Ejecutivo del Fondo Multilateral, de conformidad con el formato definido. También se incluirá la preparación de cualquier otro informe necesario para el funcionamiento adecuado del proyecto del PGEH.</w:t>
      </w:r>
    </w:p>
    <w:p w14:paraId="7B6DEB43" w14:textId="77777777" w:rsidR="003D5B9C" w:rsidRPr="00610E81" w:rsidRDefault="003D5B9C" w:rsidP="003D5B9C">
      <w:pPr>
        <w:pStyle w:val="Heading1"/>
        <w:rPr>
          <w:rFonts w:eastAsiaTheme="minorHAnsi"/>
          <w:lang w:val="es-ES"/>
        </w:rPr>
      </w:pPr>
      <w:r w:rsidRPr="00610E81">
        <w:rPr>
          <w:lang w:val="es-ES"/>
        </w:rPr>
        <w:t>La gestión del plan de eliminación estará a cargo de un equipo dedicado a esta labor, que estará integrado por un coordinador designado por el MPCEIP y contará con el apoyo de representantes y expertos de los organismos de ejecución y la infraestructura de apoyo necesaria. El componente de apoyo a la gestión y la actualización de los instrumentos jurídicos del plan de eliminación incluirá las actividades siguientes:</w:t>
      </w:r>
    </w:p>
    <w:p w14:paraId="42E771A2" w14:textId="77777777" w:rsidR="003D5B9C" w:rsidRPr="00610E81" w:rsidRDefault="003D5B9C" w:rsidP="003D5B9C">
      <w:pPr>
        <w:pStyle w:val="Heading2"/>
        <w:rPr>
          <w:lang w:val="es-ES"/>
        </w:rPr>
      </w:pPr>
      <w:r w:rsidRPr="00610E81">
        <w:rPr>
          <w:lang w:val="es-ES"/>
        </w:rPr>
        <w:t>Gestión y coordinación de la ejecución del plan;</w:t>
      </w:r>
    </w:p>
    <w:p w14:paraId="43FF3D47" w14:textId="77777777" w:rsidR="003D5B9C" w:rsidRPr="00610E81" w:rsidRDefault="003D5B9C" w:rsidP="003D5B9C">
      <w:pPr>
        <w:pStyle w:val="Heading2"/>
        <w:rPr>
          <w:lang w:val="es-ES"/>
        </w:rPr>
      </w:pPr>
      <w:r w:rsidRPr="00610E81">
        <w:rPr>
          <w:lang w:val="es-ES"/>
        </w:rPr>
        <w:t>Establecimiento de un programa de desarrollo y aplicación para que el Gobierno pueda ejercer los mandatos requeridos y garantizar el cumplimiento por parte de la industria de las obligaciones de reducir el consume de SAO;</w:t>
      </w:r>
    </w:p>
    <w:p w14:paraId="31DE9613" w14:textId="77777777" w:rsidR="003D5B9C" w:rsidRPr="00610E81" w:rsidRDefault="003D5B9C" w:rsidP="003D5B9C">
      <w:pPr>
        <w:pStyle w:val="Heading2"/>
        <w:rPr>
          <w:lang w:val="es-ES"/>
        </w:rPr>
      </w:pPr>
      <w:r w:rsidRPr="00610E81">
        <w:rPr>
          <w:lang w:val="es-ES"/>
        </w:rPr>
        <w:t>Creación y realización de actividades de capacitación, sensibilización y creación de capacidad para asegurar un compromiso de alto nivel con los objetivos y obligaciones del Plan;</w:t>
      </w:r>
    </w:p>
    <w:p w14:paraId="4330231B" w14:textId="77777777" w:rsidR="003D5B9C" w:rsidRPr="00610E81" w:rsidRDefault="003D5B9C" w:rsidP="003D5B9C">
      <w:pPr>
        <w:pStyle w:val="Heading2"/>
        <w:rPr>
          <w:lang w:val="es-ES"/>
        </w:rPr>
      </w:pPr>
      <w:r w:rsidRPr="00610E81">
        <w:rPr>
          <w:lang w:val="es-ES"/>
        </w:rPr>
        <w:t>Preparación de planes de ejecución anuales que incluyan la determinación de la secuencia de participación de las empresas en las actividades;</w:t>
      </w:r>
    </w:p>
    <w:p w14:paraId="28BF923C" w14:textId="77777777" w:rsidR="003D5B9C" w:rsidRPr="00610E81" w:rsidRDefault="003D5B9C" w:rsidP="003D5B9C">
      <w:pPr>
        <w:pStyle w:val="Heading2"/>
        <w:rPr>
          <w:lang w:val="es-ES"/>
        </w:rPr>
      </w:pPr>
      <w:r w:rsidRPr="00610E81">
        <w:rPr>
          <w:lang w:val="es-ES"/>
        </w:rPr>
        <w:t>Establecimiento y funcionamiento de un sistema de presentación de informes sobre el uso de SAO y sus sustitutos por parte de los usuarios;</w:t>
      </w:r>
    </w:p>
    <w:p w14:paraId="5859CFF4" w14:textId="77777777" w:rsidR="003D5B9C" w:rsidRPr="00610E81" w:rsidRDefault="003D5B9C" w:rsidP="003D5B9C">
      <w:pPr>
        <w:pStyle w:val="Heading2"/>
        <w:rPr>
          <w:lang w:val="es-ES"/>
        </w:rPr>
      </w:pPr>
      <w:r w:rsidRPr="00610E81">
        <w:rPr>
          <w:lang w:val="es-ES"/>
        </w:rPr>
        <w:t>Informe sobre los progresos logrados en la ejecución del plan a los efectos del desembolso anual basado en los resultados; y</w:t>
      </w:r>
    </w:p>
    <w:p w14:paraId="088B9A69" w14:textId="77777777" w:rsidR="003D5B9C" w:rsidRPr="00610E81" w:rsidRDefault="003D5B9C" w:rsidP="003D5B9C">
      <w:pPr>
        <w:pStyle w:val="Heading2"/>
        <w:rPr>
          <w:lang w:val="es-ES"/>
        </w:rPr>
      </w:pPr>
      <w:r w:rsidRPr="00610E81">
        <w:rPr>
          <w:lang w:val="es-ES"/>
        </w:rPr>
        <w:t>Establecimiento y funcionamiento de un mecanismo descentralizado para supervisor y evaluar los resultados del plan, en asociación con las entidades reguladoras del medio ambiente para velar por la sostenibilidad.</w:t>
      </w:r>
    </w:p>
    <w:p w14:paraId="6EAF6EA8" w14:textId="77777777" w:rsidR="003D5B9C" w:rsidRPr="00610E81" w:rsidRDefault="003D5B9C" w:rsidP="003D5B9C">
      <w:pPr>
        <w:pStyle w:val="Heading1"/>
        <w:rPr>
          <w:rFonts w:eastAsiaTheme="minorHAnsi"/>
          <w:lang w:val="es-ES"/>
        </w:rPr>
      </w:pPr>
      <w:r w:rsidRPr="00610E81">
        <w:rPr>
          <w:lang w:val="es-ES"/>
        </w:rPr>
        <w:t>El País conviene en realizar evaluaciones, que podrían llevarse a cabo en el marco de los programas de trabajo de supervisión y evaluación del Fondo Multilateral o del programa de evaluación de cualquiera de los organismos que formen parte del presente Acuerdo.</w:t>
      </w:r>
    </w:p>
    <w:p w14:paraId="5B350BEE" w14:textId="77777777" w:rsidR="003D5B9C" w:rsidRPr="00610E81" w:rsidRDefault="003D5B9C" w:rsidP="003D5B9C">
      <w:pPr>
        <w:keepNext/>
        <w:keepLines/>
        <w:spacing w:before="360"/>
        <w:rPr>
          <w:b/>
          <w:lang w:val="es-ES"/>
        </w:rPr>
      </w:pPr>
      <w:r w:rsidRPr="00610E81">
        <w:rPr>
          <w:b/>
          <w:bCs/>
          <w:lang w:val="es-ES"/>
        </w:rPr>
        <w:lastRenderedPageBreak/>
        <w:t xml:space="preserve">APÉNDICE 6-A: FUNCIÓN DEL ORGANISMO DE EJECUCIÓN PRINCIPAL </w:t>
      </w:r>
    </w:p>
    <w:p w14:paraId="1D178EB1" w14:textId="77777777" w:rsidR="003D5B9C" w:rsidRPr="00610E81" w:rsidRDefault="003D5B9C" w:rsidP="003D5B9C">
      <w:pPr>
        <w:keepNext/>
        <w:keepLines/>
        <w:rPr>
          <w:lang w:val="es-ES"/>
        </w:rPr>
      </w:pPr>
    </w:p>
    <w:p w14:paraId="2BC9DEFD" w14:textId="77777777" w:rsidR="003D5B9C" w:rsidRPr="003D5B9C" w:rsidRDefault="003D5B9C" w:rsidP="003D5B9C">
      <w:pPr>
        <w:pStyle w:val="Heading1"/>
        <w:keepNext/>
        <w:keepLines/>
        <w:numPr>
          <w:ilvl w:val="0"/>
          <w:numId w:val="35"/>
        </w:numPr>
        <w:rPr>
          <w:lang w:val="es-ES"/>
        </w:rPr>
      </w:pPr>
      <w:r w:rsidRPr="003D5B9C">
        <w:rPr>
          <w:lang w:val="es-ES"/>
        </w:rPr>
        <w:t>El Organismo de Ejecución Principal tendrá a su cargo diversas responsabilidades, entre las que se incluyen, como mínimo, las siguientes:</w:t>
      </w:r>
    </w:p>
    <w:p w14:paraId="7A7C5CB5" w14:textId="77777777" w:rsidR="003D5B9C" w:rsidRPr="00610E81" w:rsidRDefault="003D5B9C" w:rsidP="003D5B9C">
      <w:pPr>
        <w:keepNext/>
        <w:keepLines/>
        <w:widowControl w:val="0"/>
        <w:numPr>
          <w:ilvl w:val="1"/>
          <w:numId w:val="1"/>
        </w:numPr>
        <w:spacing w:after="240"/>
        <w:outlineLvl w:val="1"/>
        <w:rPr>
          <w:lang w:val="es-ES"/>
        </w:rPr>
      </w:pPr>
      <w:r w:rsidRPr="00610E81">
        <w:rPr>
          <w:lang w:val="es-ES"/>
        </w:rPr>
        <w:t>Asegurar la verificación del desempeño y de los aspectos financieros de conformidad con el presente Acuerdo y con sus procedimientos y requisitos internos específicos, establecidos en el plan de gestión de eliminación de los HCFC del País;</w:t>
      </w:r>
    </w:p>
    <w:p w14:paraId="0FFD92EE" w14:textId="77777777" w:rsidR="003D5B9C" w:rsidRPr="00610E81" w:rsidRDefault="003D5B9C" w:rsidP="003D5B9C">
      <w:pPr>
        <w:widowControl w:val="0"/>
        <w:numPr>
          <w:ilvl w:val="1"/>
          <w:numId w:val="1"/>
        </w:numPr>
        <w:spacing w:after="240"/>
        <w:outlineLvl w:val="1"/>
        <w:rPr>
          <w:lang w:val="es-ES"/>
        </w:rPr>
      </w:pPr>
      <w:r w:rsidRPr="00610E81">
        <w:rPr>
          <w:lang w:val="es-ES"/>
        </w:rPr>
        <w:t>Brindar asistencia al País para preparar los Informes y Planes de Ejecución de Tramos conforme al Apéndice 4</w:t>
      </w:r>
      <w:r w:rsidRPr="00610E81">
        <w:rPr>
          <w:lang w:val="es-ES"/>
        </w:rPr>
        <w:noBreakHyphen/>
        <w:t>A;</w:t>
      </w:r>
    </w:p>
    <w:p w14:paraId="0DFA5BA7" w14:textId="77777777" w:rsidR="003D5B9C" w:rsidRPr="00610E81" w:rsidRDefault="003D5B9C" w:rsidP="003D5B9C">
      <w:pPr>
        <w:widowControl w:val="0"/>
        <w:numPr>
          <w:ilvl w:val="1"/>
          <w:numId w:val="1"/>
        </w:numPr>
        <w:spacing w:after="240"/>
        <w:outlineLvl w:val="1"/>
        <w:rPr>
          <w:lang w:val="es-ES"/>
        </w:rPr>
      </w:pPr>
      <w:r w:rsidRPr="00610E81">
        <w:rPr>
          <w:lang w:val="es-ES"/>
        </w:rPr>
        <w:t>Proporcionar al Comité Ejecutivo una verificación independiente de que se han alcanzado los Objetivos y se han completado las correspondientes actividades previstas en los tramos según lo indicado en el Plan de Ejecución de Tramos de conformidad con el Apéndice 4</w:t>
      </w:r>
      <w:r w:rsidRPr="00610E81">
        <w:rPr>
          <w:lang w:val="es-ES"/>
        </w:rPr>
        <w:noBreakHyphen/>
        <w:t xml:space="preserve">A; </w:t>
      </w:r>
    </w:p>
    <w:p w14:paraId="589AC911" w14:textId="77777777" w:rsidR="003D5B9C" w:rsidRPr="00610E81" w:rsidRDefault="003D5B9C" w:rsidP="003D5B9C">
      <w:pPr>
        <w:widowControl w:val="0"/>
        <w:numPr>
          <w:ilvl w:val="1"/>
          <w:numId w:val="1"/>
        </w:numPr>
        <w:spacing w:after="240"/>
        <w:outlineLvl w:val="1"/>
        <w:rPr>
          <w:lang w:val="es-ES"/>
        </w:rPr>
      </w:pPr>
      <w:r w:rsidRPr="00610E81">
        <w:rPr>
          <w:lang w:val="es-ES"/>
        </w:rPr>
        <w:t>Asegurar que las experiencias y logros se reflejen en actualizaciones del Plan general y en los Planes de Ejecución de Tramos futuros, de conformidad con los incisos 1 c) y 1 d) del Apéndice 4</w:t>
      </w:r>
      <w:r w:rsidRPr="00610E81">
        <w:rPr>
          <w:lang w:val="es-ES"/>
        </w:rPr>
        <w:noBreakHyphen/>
        <w:t>A;</w:t>
      </w:r>
    </w:p>
    <w:p w14:paraId="4520823E" w14:textId="77777777" w:rsidR="003D5B9C" w:rsidRPr="00610E81" w:rsidRDefault="003D5B9C" w:rsidP="003D5B9C">
      <w:pPr>
        <w:widowControl w:val="0"/>
        <w:numPr>
          <w:ilvl w:val="1"/>
          <w:numId w:val="1"/>
        </w:numPr>
        <w:spacing w:after="240"/>
        <w:outlineLvl w:val="1"/>
        <w:rPr>
          <w:lang w:val="es-ES"/>
        </w:rPr>
      </w:pPr>
      <w:r w:rsidRPr="00610E81">
        <w:rPr>
          <w:lang w:val="es-ES"/>
        </w:rPr>
        <w:t>Cumplir con los requisitos de información respecto de los Informes y Planes de Ejecución de Tramos y el Plan general especificados en el Apéndice 4</w:t>
      </w:r>
      <w:r w:rsidRPr="00610E81">
        <w:rPr>
          <w:lang w:val="es-ES"/>
        </w:rPr>
        <w:noBreakHyphen/>
        <w:t>A que se deben presentar al Comité Ejecutivo;</w:t>
      </w:r>
    </w:p>
    <w:p w14:paraId="0B31620A" w14:textId="616F1758" w:rsidR="003D5B9C" w:rsidRPr="00610E81" w:rsidRDefault="003D5B9C" w:rsidP="003D5B9C">
      <w:pPr>
        <w:keepNext/>
        <w:keepLines/>
        <w:widowControl w:val="0"/>
        <w:numPr>
          <w:ilvl w:val="1"/>
          <w:numId w:val="1"/>
        </w:numPr>
        <w:spacing w:after="240"/>
        <w:outlineLvl w:val="1"/>
        <w:rPr>
          <w:lang w:val="es-ES"/>
        </w:rPr>
      </w:pPr>
      <w:r w:rsidRPr="00610E81">
        <w:rPr>
          <w:lang w:val="es-ES"/>
        </w:rPr>
        <w:t xml:space="preserve">En el caso en que se solicite el último tramo de financiación con uno o más años de antelación al último año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008AC120" w14:textId="77777777" w:rsidR="003D5B9C" w:rsidRPr="00610E81" w:rsidRDefault="003D5B9C" w:rsidP="003D5B9C">
      <w:pPr>
        <w:widowControl w:val="0"/>
        <w:numPr>
          <w:ilvl w:val="1"/>
          <w:numId w:val="1"/>
        </w:numPr>
        <w:spacing w:after="240"/>
        <w:outlineLvl w:val="1"/>
        <w:rPr>
          <w:lang w:val="es-ES"/>
        </w:rPr>
      </w:pPr>
      <w:r w:rsidRPr="00610E81">
        <w:rPr>
          <w:lang w:val="es-ES"/>
        </w:rPr>
        <w:t>Asegurar que expertos técnicos independientes y competentes lleven a cabo las revisiones técnicas;</w:t>
      </w:r>
    </w:p>
    <w:p w14:paraId="661F9189" w14:textId="77777777" w:rsidR="003D5B9C" w:rsidRPr="00610E81" w:rsidRDefault="003D5B9C" w:rsidP="003D5B9C">
      <w:pPr>
        <w:widowControl w:val="0"/>
        <w:numPr>
          <w:ilvl w:val="1"/>
          <w:numId w:val="1"/>
        </w:numPr>
        <w:spacing w:after="240"/>
        <w:outlineLvl w:val="1"/>
        <w:rPr>
          <w:lang w:val="es-ES"/>
        </w:rPr>
      </w:pPr>
      <w:r w:rsidRPr="00610E81">
        <w:rPr>
          <w:lang w:val="es-ES"/>
        </w:rPr>
        <w:t>Emprender las misiones de supervisión requeridas;</w:t>
      </w:r>
    </w:p>
    <w:p w14:paraId="641F155A" w14:textId="77777777" w:rsidR="003D5B9C" w:rsidRPr="00610E81" w:rsidRDefault="003D5B9C" w:rsidP="003D5B9C">
      <w:pPr>
        <w:widowControl w:val="0"/>
        <w:numPr>
          <w:ilvl w:val="1"/>
          <w:numId w:val="1"/>
        </w:numPr>
        <w:spacing w:after="240"/>
        <w:outlineLvl w:val="1"/>
        <w:rPr>
          <w:lang w:val="es-ES"/>
        </w:rPr>
      </w:pPr>
      <w:r w:rsidRPr="00610E81">
        <w:rPr>
          <w:lang w:val="es-ES"/>
        </w:rPr>
        <w:t>Asegurar la existencia de un mecanismo operativo que permita la ejecución eficaz y transparente del Plan de Ejecución de Tramos y la presentación de datos exactos;</w:t>
      </w:r>
    </w:p>
    <w:p w14:paraId="1783082C"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En el caso de que se reduzca la financiación por falta de cumplimiento conforme al párrafo 11 del Acuerdo, determinar, en consulta con el País, la asignación de las reducciones a las diferentes partidas presupuestarias y a la financiación del Organismo de Ejecución Principal; </w:t>
      </w:r>
    </w:p>
    <w:p w14:paraId="18DD37BC" w14:textId="77777777" w:rsidR="003D5B9C" w:rsidRPr="00610E81" w:rsidRDefault="003D5B9C" w:rsidP="003D5B9C">
      <w:pPr>
        <w:widowControl w:val="0"/>
        <w:numPr>
          <w:ilvl w:val="1"/>
          <w:numId w:val="1"/>
        </w:numPr>
        <w:spacing w:after="240"/>
        <w:outlineLvl w:val="1"/>
        <w:rPr>
          <w:lang w:val="es-ES"/>
        </w:rPr>
      </w:pPr>
      <w:r w:rsidRPr="00610E81">
        <w:rPr>
          <w:lang w:val="es-ES"/>
        </w:rPr>
        <w:t xml:space="preserve">Asegurar que los desembolsos a favor del País se basen en el uso de los indicadores; </w:t>
      </w:r>
    </w:p>
    <w:p w14:paraId="79AFE02A" w14:textId="77777777" w:rsidR="003D5B9C" w:rsidRPr="00610E81" w:rsidRDefault="003D5B9C" w:rsidP="003D5B9C">
      <w:pPr>
        <w:widowControl w:val="0"/>
        <w:numPr>
          <w:ilvl w:val="1"/>
          <w:numId w:val="1"/>
        </w:numPr>
        <w:spacing w:after="240"/>
        <w:outlineLvl w:val="1"/>
        <w:rPr>
          <w:lang w:val="es-ES"/>
        </w:rPr>
      </w:pPr>
      <w:r w:rsidRPr="00610E81">
        <w:rPr>
          <w:lang w:val="es-ES"/>
        </w:rPr>
        <w:t>Brindar asistencia respecto de políticas, gestión y apoyo técnico, cuando sea necesario; y</w:t>
      </w:r>
    </w:p>
    <w:p w14:paraId="6B37A64A" w14:textId="77777777" w:rsidR="003D5B9C" w:rsidRPr="00610E81" w:rsidRDefault="003D5B9C" w:rsidP="003D5B9C">
      <w:pPr>
        <w:widowControl w:val="0"/>
        <w:numPr>
          <w:ilvl w:val="1"/>
          <w:numId w:val="1"/>
        </w:numPr>
        <w:spacing w:after="240"/>
        <w:outlineLvl w:val="1"/>
        <w:rPr>
          <w:lang w:val="es-ES"/>
        </w:rPr>
      </w:pPr>
      <w:r w:rsidRPr="00610E81">
        <w:rPr>
          <w:lang w:val="es-ES"/>
        </w:rPr>
        <w:t>Liberación de fondos en fecha al País/empresas participantes para terminar las actividades relacionadas con el proyecto.</w:t>
      </w:r>
    </w:p>
    <w:p w14:paraId="50F3489D" w14:textId="77777777" w:rsidR="003D5B9C" w:rsidRPr="00610E81" w:rsidRDefault="003D5B9C" w:rsidP="003D5B9C">
      <w:pPr>
        <w:widowControl w:val="0"/>
        <w:numPr>
          <w:ilvl w:val="0"/>
          <w:numId w:val="1"/>
        </w:numPr>
        <w:spacing w:after="240"/>
        <w:outlineLvl w:val="0"/>
        <w:rPr>
          <w:lang w:val="es-ES"/>
        </w:rPr>
      </w:pPr>
      <w:r w:rsidRPr="00610E81">
        <w:rPr>
          <w:lang w:val="es-ES"/>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sidRPr="00610E81">
        <w:rPr>
          <w:lang w:val="es-ES"/>
        </w:rPr>
        <w:noBreakHyphen/>
        <w:t>A, conforme al inciso 5 b) del Acuerdo y el inciso 1 b) del Apéndice 4</w:t>
      </w:r>
      <w:r w:rsidRPr="00610E81">
        <w:rPr>
          <w:lang w:val="es-ES"/>
        </w:rPr>
        <w:noBreakHyphen/>
        <w:t>A.</w:t>
      </w:r>
    </w:p>
    <w:p w14:paraId="20357FE3" w14:textId="77777777" w:rsidR="003D5B9C" w:rsidRPr="00610E81" w:rsidRDefault="003D5B9C" w:rsidP="003D5B9C">
      <w:pPr>
        <w:widowControl w:val="0"/>
        <w:rPr>
          <w:b/>
          <w:lang w:val="es-ES"/>
        </w:rPr>
      </w:pPr>
      <w:r w:rsidRPr="00610E81">
        <w:rPr>
          <w:b/>
          <w:bCs/>
          <w:lang w:val="es-ES"/>
        </w:rPr>
        <w:lastRenderedPageBreak/>
        <w:t>APÉNDICE 7-A: REDUCCIONES DE LA FINANCIACIÓN EN CASO DE INCUMPLIMIENTO</w:t>
      </w:r>
    </w:p>
    <w:p w14:paraId="3F77DA91" w14:textId="77777777" w:rsidR="003D5B9C" w:rsidRPr="00610E81" w:rsidRDefault="003D5B9C" w:rsidP="003D5B9C">
      <w:pPr>
        <w:widowControl w:val="0"/>
        <w:rPr>
          <w:lang w:val="es-ES"/>
        </w:rPr>
      </w:pPr>
    </w:p>
    <w:p w14:paraId="7408C1DE" w14:textId="77777777" w:rsidR="003D5B9C" w:rsidRPr="003D5B9C" w:rsidRDefault="003D5B9C" w:rsidP="003D5B9C">
      <w:pPr>
        <w:pStyle w:val="Heading1"/>
        <w:widowControl w:val="0"/>
        <w:numPr>
          <w:ilvl w:val="0"/>
          <w:numId w:val="34"/>
        </w:numPr>
        <w:rPr>
          <w:lang w:val="es-ES"/>
        </w:rPr>
      </w:pPr>
      <w:r w:rsidRPr="003D5B9C">
        <w:rPr>
          <w:lang w:val="es-ES"/>
        </w:rPr>
        <w:t>De conformidad con el párrafo 11 del Acuerdo, el monto de financiación proporcionada podrá reducirse en 180 $EUA por kg PAO de consumo que supere el nivel definido en la fila 1.2 del Apéndice 2</w:t>
      </w:r>
      <w:r w:rsidRPr="003D5B9C">
        <w:rPr>
          <w:lang w:val="es-ES"/>
        </w:rPr>
        <w:noBreakHyphen/>
        <w:t xml:space="preserve">A para cada año en que no se haya logrado el objetivo especificado en la fila 1.2 del Apéndice 2-A, quedando entendido que la reducción de financiación máxima no excedería el nivel de financiación del tramo que se solicita. Otras medidas podrían considerarse en casos donde el incumplimiento se extiende durante dos años consecutivos. </w:t>
      </w:r>
    </w:p>
    <w:p w14:paraId="0F024FA5" w14:textId="77777777" w:rsidR="003D5B9C" w:rsidRPr="00610E81" w:rsidRDefault="003D5B9C" w:rsidP="003D5B9C">
      <w:pPr>
        <w:widowControl w:val="0"/>
        <w:numPr>
          <w:ilvl w:val="0"/>
          <w:numId w:val="7"/>
        </w:numPr>
        <w:spacing w:after="240"/>
        <w:outlineLvl w:val="0"/>
        <w:rPr>
          <w:lang w:val="es-ES"/>
        </w:rPr>
      </w:pPr>
      <w:r w:rsidRPr="00610E81">
        <w:rPr>
          <w:lang w:val="es-ES"/>
        </w:rPr>
        <w:t>En el caso de que deba aplicarse esta sanción respecto a un año en el que estén vigentes dos acuerdos (dos etapas del plan de gestión de eliminación de los HCFC que se ejecuten en forma paralela) que prevean sanciones de diferente cuantía, la aplicación de la sanción se determinará caso por caso tomando en cuenta los sectores específicos que llevan al incumplimiento. Si no fuera posible precisar el sector, o si ambas etapas se ocuparan del mismo sector, se aplicará de ambas sanciones la que fuera mayor.</w:t>
      </w:r>
    </w:p>
    <w:p w14:paraId="35CA4E28" w14:textId="2321243F" w:rsidR="0087455A" w:rsidRPr="003D5B9C" w:rsidRDefault="0087455A">
      <w:pPr>
        <w:jc w:val="center"/>
        <w:rPr>
          <w:b/>
          <w:bCs/>
          <w:lang w:val="es-ES"/>
        </w:rPr>
      </w:pPr>
    </w:p>
    <w:p w14:paraId="35264F10" w14:textId="77777777" w:rsidR="0028399A" w:rsidRPr="003D5B9C" w:rsidRDefault="0028399A">
      <w:pPr>
        <w:jc w:val="center"/>
        <w:rPr>
          <w:b/>
          <w:bCs/>
          <w:lang w:val="es-419"/>
        </w:rPr>
        <w:sectPr w:rsidR="0028399A" w:rsidRPr="003D5B9C">
          <w:headerReference w:type="even" r:id="rId32"/>
          <w:headerReference w:type="default" r:id="rId33"/>
          <w:footerReference w:type="default" r:id="rId34"/>
          <w:headerReference w:type="first" r:id="rId35"/>
          <w:footerReference w:type="first" r:id="rId36"/>
          <w:pgSz w:w="12240" w:h="15840" w:code="1"/>
          <w:pgMar w:top="720" w:right="1440" w:bottom="864" w:left="1440" w:header="720" w:footer="475" w:gutter="0"/>
          <w:pgNumType w:start="1"/>
          <w:cols w:space="720"/>
          <w:titlePg/>
        </w:sectPr>
      </w:pPr>
    </w:p>
    <w:p w14:paraId="25978896" w14:textId="4F868E7B" w:rsidR="0028399A" w:rsidRPr="00756D59" w:rsidRDefault="0028399A" w:rsidP="0028399A">
      <w:pPr>
        <w:jc w:val="center"/>
        <w:rPr>
          <w:b/>
        </w:rPr>
      </w:pPr>
      <w:proofErr w:type="spellStart"/>
      <w:r w:rsidRPr="00756D59">
        <w:rPr>
          <w:b/>
        </w:rPr>
        <w:lastRenderedPageBreak/>
        <w:t>Annex</w:t>
      </w:r>
      <w:r w:rsidR="00C167B1">
        <w:rPr>
          <w:b/>
        </w:rPr>
        <w:t>o</w:t>
      </w:r>
      <w:proofErr w:type="spellEnd"/>
      <w:r w:rsidRPr="00756D59">
        <w:rPr>
          <w:b/>
        </w:rPr>
        <w:t xml:space="preserve"> VI</w:t>
      </w:r>
      <w:r>
        <w:rPr>
          <w:b/>
        </w:rPr>
        <w:t>I</w:t>
      </w:r>
    </w:p>
    <w:p w14:paraId="415F9AD7" w14:textId="77777777" w:rsidR="0028399A" w:rsidRPr="00756D59" w:rsidRDefault="0028399A" w:rsidP="0028399A">
      <w:pPr>
        <w:jc w:val="center"/>
        <w:rPr>
          <w:b/>
        </w:rPr>
      </w:pPr>
    </w:p>
    <w:p w14:paraId="0BC3F45D" w14:textId="77777777" w:rsidR="0028399A" w:rsidRPr="00756D59" w:rsidRDefault="0028399A" w:rsidP="0028399A">
      <w:pPr>
        <w:jc w:val="center"/>
      </w:pPr>
      <w:r w:rsidRPr="00756D59">
        <w:rPr>
          <w:b/>
        </w:rPr>
        <w:t>REPORT ON HFC-RELATED ACTIVITIES THAT REQUIRE AN EXTENSION OF THEIR COMPLETION DATE</w:t>
      </w:r>
    </w:p>
    <w:p w14:paraId="7782477C" w14:textId="77777777" w:rsidR="0028399A" w:rsidRPr="00756D59" w:rsidRDefault="0028399A" w:rsidP="0028399A">
      <w:pPr>
        <w:rPr>
          <w:b/>
        </w:rPr>
      </w:pPr>
    </w:p>
    <w:tbl>
      <w:tblPr>
        <w:tblStyle w:val="TableGrid"/>
        <w:tblW w:w="14314" w:type="dxa"/>
        <w:tblLook w:val="04A0" w:firstRow="1" w:lastRow="0" w:firstColumn="1" w:lastColumn="0" w:noHBand="0" w:noVBand="1"/>
      </w:tblPr>
      <w:tblGrid>
        <w:gridCol w:w="2261"/>
        <w:gridCol w:w="3352"/>
        <w:gridCol w:w="1236"/>
        <w:gridCol w:w="1305"/>
        <w:gridCol w:w="4531"/>
        <w:gridCol w:w="1629"/>
      </w:tblGrid>
      <w:tr w:rsidR="0028399A" w:rsidRPr="00756D59" w14:paraId="61B8BC64" w14:textId="77777777" w:rsidTr="00305D02">
        <w:trPr>
          <w:trHeight w:val="652"/>
          <w:tblHeader/>
        </w:trPr>
        <w:tc>
          <w:tcPr>
            <w:tcW w:w="2261" w:type="dxa"/>
            <w:shd w:val="clear" w:color="auto" w:fill="auto"/>
            <w:tcMar>
              <w:left w:w="58" w:type="dxa"/>
              <w:right w:w="58" w:type="dxa"/>
            </w:tcMar>
            <w:vAlign w:val="center"/>
          </w:tcPr>
          <w:p w14:paraId="5BFD469F" w14:textId="77777777" w:rsidR="0028399A" w:rsidRPr="00756D59" w:rsidRDefault="0028399A" w:rsidP="00305D02">
            <w:pPr>
              <w:jc w:val="center"/>
              <w:rPr>
                <w:b/>
                <w:bCs/>
                <w:sz w:val="20"/>
                <w:szCs w:val="20"/>
                <w:lang w:eastAsia="en-CA"/>
              </w:rPr>
            </w:pPr>
            <w:r w:rsidRPr="00756D59">
              <w:rPr>
                <w:b/>
                <w:bCs/>
                <w:sz w:val="20"/>
                <w:szCs w:val="20"/>
                <w:lang w:eastAsia="en-CA"/>
              </w:rPr>
              <w:t>AGENCY/Country/Code</w:t>
            </w:r>
          </w:p>
        </w:tc>
        <w:tc>
          <w:tcPr>
            <w:tcW w:w="3352" w:type="dxa"/>
            <w:shd w:val="clear" w:color="auto" w:fill="auto"/>
            <w:tcMar>
              <w:left w:w="58" w:type="dxa"/>
              <w:right w:w="58" w:type="dxa"/>
            </w:tcMar>
            <w:vAlign w:val="center"/>
          </w:tcPr>
          <w:p w14:paraId="1E8B353B" w14:textId="77777777" w:rsidR="0028399A" w:rsidRPr="00756D59" w:rsidRDefault="0028399A" w:rsidP="00305D02">
            <w:pPr>
              <w:jc w:val="center"/>
              <w:rPr>
                <w:b/>
                <w:bCs/>
                <w:sz w:val="20"/>
                <w:szCs w:val="20"/>
                <w:lang w:eastAsia="en-CA"/>
              </w:rPr>
            </w:pPr>
            <w:r w:rsidRPr="00756D59">
              <w:rPr>
                <w:b/>
                <w:bCs/>
                <w:sz w:val="20"/>
                <w:szCs w:val="20"/>
                <w:lang w:eastAsia="en-CA"/>
              </w:rPr>
              <w:t>Project title</w:t>
            </w:r>
          </w:p>
        </w:tc>
        <w:tc>
          <w:tcPr>
            <w:tcW w:w="1236" w:type="dxa"/>
            <w:shd w:val="clear" w:color="auto" w:fill="auto"/>
            <w:tcMar>
              <w:left w:w="58" w:type="dxa"/>
              <w:right w:w="58" w:type="dxa"/>
            </w:tcMar>
            <w:vAlign w:val="center"/>
          </w:tcPr>
          <w:p w14:paraId="5D85C863" w14:textId="77777777" w:rsidR="0028399A" w:rsidRPr="00756D59" w:rsidRDefault="0028399A" w:rsidP="00305D02">
            <w:pPr>
              <w:jc w:val="center"/>
              <w:rPr>
                <w:b/>
                <w:bCs/>
                <w:sz w:val="20"/>
                <w:szCs w:val="20"/>
                <w:lang w:eastAsia="en-CA"/>
              </w:rPr>
            </w:pPr>
            <w:r w:rsidRPr="00756D59">
              <w:rPr>
                <w:b/>
                <w:bCs/>
                <w:sz w:val="20"/>
                <w:szCs w:val="20"/>
                <w:lang w:eastAsia="en-CA"/>
              </w:rPr>
              <w:t>Date approved</w:t>
            </w:r>
          </w:p>
        </w:tc>
        <w:tc>
          <w:tcPr>
            <w:tcW w:w="1305" w:type="dxa"/>
            <w:shd w:val="clear" w:color="auto" w:fill="auto"/>
            <w:tcMar>
              <w:left w:w="58" w:type="dxa"/>
              <w:right w:w="58" w:type="dxa"/>
            </w:tcMar>
            <w:vAlign w:val="center"/>
          </w:tcPr>
          <w:p w14:paraId="70656164" w14:textId="77777777" w:rsidR="0028399A" w:rsidRPr="00756D59" w:rsidRDefault="0028399A" w:rsidP="00305D02">
            <w:pPr>
              <w:jc w:val="center"/>
              <w:rPr>
                <w:b/>
                <w:bCs/>
                <w:sz w:val="20"/>
                <w:szCs w:val="20"/>
                <w:lang w:eastAsia="en-CA"/>
              </w:rPr>
            </w:pPr>
            <w:r w:rsidRPr="00756D59">
              <w:rPr>
                <w:b/>
                <w:bCs/>
                <w:sz w:val="20"/>
                <w:szCs w:val="20"/>
                <w:lang w:eastAsia="en-CA"/>
              </w:rPr>
              <w:t>Disbursement rate (%)</w:t>
            </w:r>
          </w:p>
        </w:tc>
        <w:tc>
          <w:tcPr>
            <w:tcW w:w="4531" w:type="dxa"/>
            <w:shd w:val="clear" w:color="auto" w:fill="auto"/>
            <w:tcMar>
              <w:left w:w="58" w:type="dxa"/>
              <w:right w:w="58" w:type="dxa"/>
            </w:tcMar>
            <w:vAlign w:val="center"/>
          </w:tcPr>
          <w:p w14:paraId="7C563AF3" w14:textId="77777777" w:rsidR="0028399A" w:rsidRPr="00756D59" w:rsidRDefault="0028399A" w:rsidP="00305D02">
            <w:pPr>
              <w:jc w:val="center"/>
              <w:rPr>
                <w:b/>
                <w:bCs/>
                <w:sz w:val="20"/>
                <w:szCs w:val="20"/>
                <w:lang w:eastAsia="en-CA"/>
              </w:rPr>
            </w:pPr>
            <w:r w:rsidRPr="00756D59">
              <w:rPr>
                <w:b/>
                <w:bCs/>
                <w:sz w:val="20"/>
                <w:szCs w:val="20"/>
                <w:lang w:eastAsia="en-CA"/>
              </w:rPr>
              <w:t>Activities to be completed by revised completion date</w:t>
            </w:r>
          </w:p>
        </w:tc>
        <w:tc>
          <w:tcPr>
            <w:tcW w:w="1629" w:type="dxa"/>
            <w:shd w:val="clear" w:color="auto" w:fill="auto"/>
            <w:tcMar>
              <w:left w:w="58" w:type="dxa"/>
              <w:right w:w="58" w:type="dxa"/>
            </w:tcMar>
            <w:vAlign w:val="center"/>
          </w:tcPr>
          <w:p w14:paraId="132085C6" w14:textId="77777777" w:rsidR="0028399A" w:rsidRPr="00756D59" w:rsidRDefault="0028399A" w:rsidP="00305D02">
            <w:pPr>
              <w:jc w:val="center"/>
              <w:rPr>
                <w:b/>
                <w:bCs/>
                <w:sz w:val="20"/>
                <w:szCs w:val="20"/>
                <w:lang w:eastAsia="en-CA"/>
              </w:rPr>
            </w:pPr>
            <w:r w:rsidRPr="00756D59">
              <w:rPr>
                <w:b/>
                <w:bCs/>
                <w:sz w:val="20"/>
                <w:szCs w:val="20"/>
                <w:lang w:eastAsia="en-CA"/>
              </w:rPr>
              <w:t>Proposed revised completion date (month/year)</w:t>
            </w:r>
          </w:p>
        </w:tc>
      </w:tr>
      <w:tr w:rsidR="0028399A" w:rsidRPr="00756D59" w14:paraId="2252D1A3" w14:textId="77777777" w:rsidTr="00305D02">
        <w:trPr>
          <w:trHeight w:val="190"/>
        </w:trPr>
        <w:tc>
          <w:tcPr>
            <w:tcW w:w="2261" w:type="dxa"/>
            <w:shd w:val="clear" w:color="auto" w:fill="auto"/>
            <w:tcMar>
              <w:left w:w="58" w:type="dxa"/>
              <w:right w:w="58" w:type="dxa"/>
            </w:tcMar>
          </w:tcPr>
          <w:p w14:paraId="072042C4" w14:textId="77777777" w:rsidR="0028399A" w:rsidRPr="00756D59" w:rsidRDefault="0028399A" w:rsidP="00305D02">
            <w:pPr>
              <w:spacing w:after="60"/>
              <w:rPr>
                <w:lang w:eastAsia="en-CA"/>
              </w:rPr>
            </w:pPr>
            <w:r w:rsidRPr="00756D59">
              <w:rPr>
                <w:b/>
              </w:rPr>
              <w:t>CANADA</w:t>
            </w:r>
          </w:p>
        </w:tc>
        <w:tc>
          <w:tcPr>
            <w:tcW w:w="3352" w:type="dxa"/>
            <w:shd w:val="clear" w:color="auto" w:fill="auto"/>
            <w:tcMar>
              <w:left w:w="58" w:type="dxa"/>
              <w:right w:w="58" w:type="dxa"/>
            </w:tcMar>
          </w:tcPr>
          <w:p w14:paraId="7BAE0508" w14:textId="77777777" w:rsidR="0028399A" w:rsidRPr="00756D59" w:rsidRDefault="0028399A" w:rsidP="00305D02">
            <w:pPr>
              <w:jc w:val="left"/>
              <w:rPr>
                <w:sz w:val="20"/>
                <w:szCs w:val="20"/>
                <w:lang w:eastAsia="en-CA"/>
              </w:rPr>
            </w:pPr>
          </w:p>
        </w:tc>
        <w:tc>
          <w:tcPr>
            <w:tcW w:w="1236" w:type="dxa"/>
            <w:shd w:val="clear" w:color="auto" w:fill="auto"/>
            <w:tcMar>
              <w:left w:w="58" w:type="dxa"/>
              <w:right w:w="58" w:type="dxa"/>
            </w:tcMar>
          </w:tcPr>
          <w:p w14:paraId="5E040E13" w14:textId="77777777" w:rsidR="0028399A" w:rsidRPr="00756D59" w:rsidRDefault="0028399A" w:rsidP="00305D02">
            <w:pPr>
              <w:jc w:val="center"/>
              <w:rPr>
                <w:sz w:val="20"/>
                <w:szCs w:val="20"/>
                <w:lang w:eastAsia="en-CA"/>
              </w:rPr>
            </w:pPr>
          </w:p>
        </w:tc>
        <w:tc>
          <w:tcPr>
            <w:tcW w:w="1305" w:type="dxa"/>
            <w:shd w:val="clear" w:color="auto" w:fill="auto"/>
            <w:tcMar>
              <w:left w:w="58" w:type="dxa"/>
              <w:right w:w="58" w:type="dxa"/>
            </w:tcMar>
          </w:tcPr>
          <w:p w14:paraId="5C9CC6A4" w14:textId="77777777" w:rsidR="0028399A" w:rsidRPr="00756D59" w:rsidRDefault="0028399A" w:rsidP="00305D02">
            <w:pPr>
              <w:jc w:val="center"/>
              <w:rPr>
                <w:sz w:val="20"/>
                <w:szCs w:val="20"/>
                <w:lang w:eastAsia="en-CA"/>
              </w:rPr>
            </w:pPr>
          </w:p>
        </w:tc>
        <w:tc>
          <w:tcPr>
            <w:tcW w:w="4531" w:type="dxa"/>
            <w:shd w:val="clear" w:color="auto" w:fill="auto"/>
            <w:tcMar>
              <w:left w:w="58" w:type="dxa"/>
              <w:right w:w="58" w:type="dxa"/>
            </w:tcMar>
          </w:tcPr>
          <w:p w14:paraId="057D7652" w14:textId="77777777" w:rsidR="0028399A" w:rsidRPr="00756D59" w:rsidRDefault="0028399A" w:rsidP="00305D02">
            <w:pPr>
              <w:jc w:val="left"/>
              <w:rPr>
                <w:sz w:val="20"/>
                <w:szCs w:val="20"/>
                <w:lang w:eastAsia="en-CA"/>
              </w:rPr>
            </w:pPr>
          </w:p>
        </w:tc>
        <w:tc>
          <w:tcPr>
            <w:tcW w:w="1629" w:type="dxa"/>
            <w:shd w:val="clear" w:color="auto" w:fill="auto"/>
            <w:tcMar>
              <w:left w:w="58" w:type="dxa"/>
              <w:right w:w="58" w:type="dxa"/>
            </w:tcMar>
          </w:tcPr>
          <w:p w14:paraId="3930DB1E" w14:textId="77777777" w:rsidR="0028399A" w:rsidRPr="00756D59" w:rsidRDefault="0028399A" w:rsidP="00305D02">
            <w:pPr>
              <w:jc w:val="center"/>
              <w:rPr>
                <w:sz w:val="20"/>
                <w:szCs w:val="20"/>
                <w:lang w:eastAsia="en-CA"/>
              </w:rPr>
            </w:pPr>
          </w:p>
        </w:tc>
      </w:tr>
      <w:tr w:rsidR="0028399A" w:rsidRPr="00756D59" w14:paraId="296F2DF6" w14:textId="77777777" w:rsidTr="00305D02">
        <w:trPr>
          <w:trHeight w:val="453"/>
        </w:trPr>
        <w:tc>
          <w:tcPr>
            <w:tcW w:w="2261" w:type="dxa"/>
            <w:shd w:val="clear" w:color="auto" w:fill="auto"/>
            <w:tcMar>
              <w:left w:w="58" w:type="dxa"/>
              <w:right w:w="58" w:type="dxa"/>
            </w:tcMar>
          </w:tcPr>
          <w:p w14:paraId="5E41157B" w14:textId="77777777" w:rsidR="0028399A" w:rsidRPr="00756D59" w:rsidRDefault="0028399A" w:rsidP="00305D02">
            <w:pPr>
              <w:jc w:val="left"/>
              <w:rPr>
                <w:sz w:val="20"/>
                <w:szCs w:val="20"/>
                <w:lang w:eastAsia="en-CA"/>
              </w:rPr>
            </w:pPr>
            <w:r w:rsidRPr="00756D59">
              <w:rPr>
                <w:sz w:val="20"/>
                <w:szCs w:val="20"/>
                <w:lang w:eastAsia="en-CA"/>
              </w:rPr>
              <w:t>Bangladesh</w:t>
            </w:r>
          </w:p>
          <w:p w14:paraId="01E20387" w14:textId="77777777" w:rsidR="0028399A" w:rsidRPr="00756D59" w:rsidRDefault="0028399A" w:rsidP="00305D02">
            <w:pPr>
              <w:jc w:val="left"/>
              <w:rPr>
                <w:sz w:val="20"/>
                <w:szCs w:val="20"/>
                <w:lang w:eastAsia="en-CA"/>
              </w:rPr>
            </w:pPr>
            <w:r w:rsidRPr="00756D59">
              <w:rPr>
                <w:sz w:val="20"/>
                <w:szCs w:val="20"/>
                <w:lang w:eastAsia="en-CA"/>
              </w:rPr>
              <w:t>BGD/SEV/81/TAS/53</w:t>
            </w:r>
          </w:p>
        </w:tc>
        <w:tc>
          <w:tcPr>
            <w:tcW w:w="3352" w:type="dxa"/>
            <w:shd w:val="clear" w:color="auto" w:fill="auto"/>
            <w:tcMar>
              <w:left w:w="58" w:type="dxa"/>
              <w:right w:w="58" w:type="dxa"/>
            </w:tcMar>
          </w:tcPr>
          <w:p w14:paraId="56ADFE7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6C085D25"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7EA4895" w14:textId="77777777" w:rsidR="0028399A" w:rsidRPr="00756D59" w:rsidRDefault="0028399A" w:rsidP="00305D02">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11EF4496" w14:textId="77777777" w:rsidR="0028399A" w:rsidRPr="00756D59" w:rsidRDefault="0028399A" w:rsidP="00305D02">
            <w:pPr>
              <w:jc w:val="left"/>
              <w:rPr>
                <w:sz w:val="20"/>
                <w:szCs w:val="20"/>
                <w:lang w:eastAsia="en-CA"/>
              </w:rPr>
            </w:pPr>
            <w:r w:rsidRPr="00756D59">
              <w:rPr>
                <w:sz w:val="20"/>
                <w:szCs w:val="20"/>
                <w:lang w:eastAsia="en-CA"/>
              </w:rPr>
              <w:t>To complete remaining activities under UNDP component.</w:t>
            </w:r>
          </w:p>
        </w:tc>
        <w:tc>
          <w:tcPr>
            <w:tcW w:w="1629" w:type="dxa"/>
            <w:shd w:val="clear" w:color="auto" w:fill="auto"/>
            <w:tcMar>
              <w:left w:w="58" w:type="dxa"/>
              <w:right w:w="58" w:type="dxa"/>
            </w:tcMar>
          </w:tcPr>
          <w:p w14:paraId="2326FAC5" w14:textId="77777777" w:rsidR="0028399A" w:rsidRPr="00756D59" w:rsidRDefault="0028399A" w:rsidP="00305D02">
            <w:pPr>
              <w:jc w:val="center"/>
              <w:rPr>
                <w:sz w:val="20"/>
                <w:szCs w:val="20"/>
                <w:lang w:eastAsia="en-CA"/>
              </w:rPr>
            </w:pPr>
            <w:r w:rsidRPr="00756D59">
              <w:rPr>
                <w:sz w:val="20"/>
                <w:szCs w:val="20"/>
                <w:lang w:eastAsia="en-CA"/>
              </w:rPr>
              <w:t>Jun-22</w:t>
            </w:r>
          </w:p>
        </w:tc>
      </w:tr>
      <w:tr w:rsidR="0028399A" w:rsidRPr="00756D59" w14:paraId="331F4C48" w14:textId="77777777" w:rsidTr="00305D02">
        <w:trPr>
          <w:trHeight w:val="704"/>
        </w:trPr>
        <w:tc>
          <w:tcPr>
            <w:tcW w:w="2261" w:type="dxa"/>
            <w:shd w:val="clear" w:color="auto" w:fill="auto"/>
            <w:tcMar>
              <w:left w:w="58" w:type="dxa"/>
              <w:right w:w="58" w:type="dxa"/>
            </w:tcMar>
          </w:tcPr>
          <w:p w14:paraId="2942FA67" w14:textId="77777777" w:rsidR="0028399A" w:rsidRPr="00756D59" w:rsidRDefault="0028399A" w:rsidP="00305D02">
            <w:pPr>
              <w:jc w:val="left"/>
              <w:rPr>
                <w:sz w:val="20"/>
                <w:szCs w:val="20"/>
                <w:lang w:eastAsia="en-CA"/>
              </w:rPr>
            </w:pPr>
            <w:r w:rsidRPr="00756D59">
              <w:rPr>
                <w:sz w:val="20"/>
                <w:szCs w:val="20"/>
                <w:lang w:eastAsia="en-CA"/>
              </w:rPr>
              <w:t>Cuba</w:t>
            </w:r>
          </w:p>
          <w:p w14:paraId="098D1890" w14:textId="77777777" w:rsidR="0028399A" w:rsidRPr="00756D59" w:rsidRDefault="0028399A" w:rsidP="00305D02">
            <w:pPr>
              <w:jc w:val="left"/>
              <w:rPr>
                <w:sz w:val="20"/>
                <w:szCs w:val="20"/>
                <w:lang w:eastAsia="en-CA"/>
              </w:rPr>
            </w:pPr>
            <w:r w:rsidRPr="00756D59">
              <w:rPr>
                <w:sz w:val="20"/>
                <w:szCs w:val="20"/>
                <w:lang w:eastAsia="en-CA"/>
              </w:rPr>
              <w:t>CUB/SEV/81/TAS/58</w:t>
            </w:r>
          </w:p>
        </w:tc>
        <w:tc>
          <w:tcPr>
            <w:tcW w:w="3352" w:type="dxa"/>
            <w:shd w:val="clear" w:color="auto" w:fill="auto"/>
            <w:tcMar>
              <w:left w:w="58" w:type="dxa"/>
              <w:right w:w="58" w:type="dxa"/>
            </w:tcMar>
          </w:tcPr>
          <w:p w14:paraId="04F4094F"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2115C9A2"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BE50C97" w14:textId="77777777" w:rsidR="0028399A" w:rsidRPr="00756D59" w:rsidRDefault="0028399A" w:rsidP="00305D02">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7D20D44B" w14:textId="77777777" w:rsidR="0028399A" w:rsidRPr="00756D59" w:rsidRDefault="0028399A" w:rsidP="00305D02">
            <w:pPr>
              <w:jc w:val="left"/>
              <w:rPr>
                <w:sz w:val="20"/>
                <w:szCs w:val="20"/>
                <w:lang w:eastAsia="en-CA"/>
              </w:rPr>
            </w:pPr>
            <w:r w:rsidRPr="00756D59">
              <w:rPr>
                <w:sz w:val="20"/>
                <w:szCs w:val="20"/>
                <w:lang w:eastAsia="en-CA"/>
              </w:rPr>
              <w:t>Workshop to present the draft national strategy for phasing down HFCs to stakeholders and distribution of promotional material.</w:t>
            </w:r>
          </w:p>
        </w:tc>
        <w:tc>
          <w:tcPr>
            <w:tcW w:w="1629" w:type="dxa"/>
            <w:shd w:val="clear" w:color="auto" w:fill="auto"/>
            <w:tcMar>
              <w:left w:w="58" w:type="dxa"/>
              <w:right w:w="58" w:type="dxa"/>
            </w:tcMar>
          </w:tcPr>
          <w:p w14:paraId="6F7D4079"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27F4A82B" w14:textId="77777777" w:rsidTr="00305D02">
        <w:trPr>
          <w:trHeight w:val="625"/>
        </w:trPr>
        <w:tc>
          <w:tcPr>
            <w:tcW w:w="2261" w:type="dxa"/>
            <w:shd w:val="clear" w:color="auto" w:fill="auto"/>
            <w:tcMar>
              <w:left w:w="58" w:type="dxa"/>
              <w:right w:w="58" w:type="dxa"/>
            </w:tcMar>
          </w:tcPr>
          <w:p w14:paraId="52BE3667" w14:textId="77777777" w:rsidR="0028399A" w:rsidRPr="00756D59" w:rsidRDefault="0028399A" w:rsidP="00305D02">
            <w:pPr>
              <w:jc w:val="left"/>
              <w:rPr>
                <w:sz w:val="20"/>
                <w:szCs w:val="20"/>
                <w:lang w:val="es-419" w:eastAsia="en-CA"/>
              </w:rPr>
            </w:pPr>
            <w:r w:rsidRPr="00756D59">
              <w:rPr>
                <w:sz w:val="20"/>
                <w:szCs w:val="20"/>
                <w:lang w:val="es-419" w:eastAsia="en-CA"/>
              </w:rPr>
              <w:t xml:space="preserve">El Salvador </w:t>
            </w:r>
          </w:p>
          <w:p w14:paraId="6639FBDC" w14:textId="77777777" w:rsidR="0028399A" w:rsidRPr="00756D59" w:rsidRDefault="0028399A" w:rsidP="00305D02">
            <w:pPr>
              <w:jc w:val="left"/>
              <w:rPr>
                <w:sz w:val="20"/>
                <w:szCs w:val="20"/>
                <w:lang w:val="es-419" w:eastAsia="en-CA"/>
              </w:rPr>
            </w:pPr>
            <w:r w:rsidRPr="00756D59">
              <w:rPr>
                <w:sz w:val="20"/>
                <w:szCs w:val="20"/>
                <w:lang w:val="es-419" w:eastAsia="en-CA"/>
              </w:rPr>
              <w:t>ELS/SEV/81/TAS/38</w:t>
            </w:r>
          </w:p>
        </w:tc>
        <w:tc>
          <w:tcPr>
            <w:tcW w:w="3352" w:type="dxa"/>
            <w:shd w:val="clear" w:color="auto" w:fill="auto"/>
            <w:tcMar>
              <w:left w:w="58" w:type="dxa"/>
              <w:right w:w="58" w:type="dxa"/>
            </w:tcMar>
          </w:tcPr>
          <w:p w14:paraId="59801D15"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22E899A1"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05A77A6" w14:textId="77777777" w:rsidR="0028399A" w:rsidRPr="00756D59" w:rsidRDefault="0028399A" w:rsidP="00305D02">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39AD040E" w14:textId="77777777" w:rsidR="0028399A" w:rsidRPr="00756D59" w:rsidRDefault="0028399A" w:rsidP="00305D02">
            <w:pPr>
              <w:jc w:val="left"/>
              <w:rPr>
                <w:sz w:val="20"/>
                <w:szCs w:val="20"/>
                <w:lang w:eastAsia="en-CA"/>
              </w:rPr>
            </w:pPr>
            <w:r w:rsidRPr="00756D59">
              <w:rPr>
                <w:sz w:val="20"/>
                <w:szCs w:val="20"/>
                <w:lang w:eastAsia="en-CA"/>
              </w:rPr>
              <w:t>Finalization of the draft national strategy for phasing down HFCs including assessment of the servicing sector needs; and distribution of promotional material.</w:t>
            </w:r>
          </w:p>
        </w:tc>
        <w:tc>
          <w:tcPr>
            <w:tcW w:w="1629" w:type="dxa"/>
            <w:shd w:val="clear" w:color="auto" w:fill="auto"/>
            <w:tcMar>
              <w:left w:w="58" w:type="dxa"/>
              <w:right w:w="58" w:type="dxa"/>
            </w:tcMar>
          </w:tcPr>
          <w:p w14:paraId="3D816461"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3BF4AC0C" w14:textId="77777777" w:rsidTr="00305D02">
        <w:trPr>
          <w:trHeight w:val="965"/>
        </w:trPr>
        <w:tc>
          <w:tcPr>
            <w:tcW w:w="2261" w:type="dxa"/>
            <w:shd w:val="clear" w:color="auto" w:fill="auto"/>
            <w:tcMar>
              <w:left w:w="58" w:type="dxa"/>
              <w:right w:w="58" w:type="dxa"/>
            </w:tcMar>
          </w:tcPr>
          <w:p w14:paraId="6FE445AC" w14:textId="77777777" w:rsidR="0028399A" w:rsidRPr="00756D59" w:rsidRDefault="0028399A" w:rsidP="00305D02">
            <w:pPr>
              <w:jc w:val="left"/>
              <w:rPr>
                <w:sz w:val="20"/>
                <w:szCs w:val="20"/>
                <w:lang w:eastAsia="en-CA"/>
              </w:rPr>
            </w:pPr>
            <w:r w:rsidRPr="00756D59">
              <w:rPr>
                <w:sz w:val="20"/>
                <w:szCs w:val="20"/>
                <w:lang w:eastAsia="en-CA"/>
              </w:rPr>
              <w:t xml:space="preserve">Panama </w:t>
            </w:r>
          </w:p>
          <w:p w14:paraId="2351BF56" w14:textId="77777777" w:rsidR="0028399A" w:rsidRPr="00756D59" w:rsidRDefault="0028399A" w:rsidP="00305D02">
            <w:pPr>
              <w:jc w:val="left"/>
              <w:rPr>
                <w:sz w:val="20"/>
                <w:szCs w:val="20"/>
                <w:lang w:eastAsia="en-CA"/>
              </w:rPr>
            </w:pPr>
            <w:r w:rsidRPr="00756D59">
              <w:rPr>
                <w:sz w:val="20"/>
                <w:szCs w:val="20"/>
                <w:lang w:eastAsia="en-CA"/>
              </w:rPr>
              <w:t>PAN/SEV/81/TAS/47</w:t>
            </w:r>
          </w:p>
        </w:tc>
        <w:tc>
          <w:tcPr>
            <w:tcW w:w="3352" w:type="dxa"/>
            <w:shd w:val="clear" w:color="auto" w:fill="auto"/>
            <w:tcMar>
              <w:left w:w="58" w:type="dxa"/>
              <w:right w:w="58" w:type="dxa"/>
            </w:tcMar>
          </w:tcPr>
          <w:p w14:paraId="122616C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5A452756"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A02F3EC" w14:textId="77777777" w:rsidR="0028399A" w:rsidRPr="00756D59" w:rsidRDefault="0028399A" w:rsidP="00305D02">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4E546ADE" w14:textId="77777777" w:rsidR="0028399A" w:rsidRPr="00756D59" w:rsidRDefault="0028399A" w:rsidP="00305D02">
            <w:pPr>
              <w:jc w:val="left"/>
              <w:rPr>
                <w:sz w:val="20"/>
                <w:szCs w:val="20"/>
                <w:lang w:eastAsia="en-CA"/>
              </w:rPr>
            </w:pPr>
            <w:r w:rsidRPr="00756D59">
              <w:rPr>
                <w:sz w:val="20"/>
                <w:szCs w:val="20"/>
                <w:lang w:eastAsia="en-CA"/>
              </w:rPr>
              <w:t xml:space="preserve">Conducting a </w:t>
            </w:r>
            <w:proofErr w:type="spellStart"/>
            <w:r w:rsidRPr="00756D59">
              <w:rPr>
                <w:sz w:val="20"/>
                <w:szCs w:val="20"/>
                <w:lang w:eastAsia="en-CA"/>
              </w:rPr>
              <w:t>multisectoral</w:t>
            </w:r>
            <w:proofErr w:type="spellEnd"/>
            <w:r w:rsidRPr="00756D59">
              <w:rPr>
                <w:sz w:val="20"/>
                <w:szCs w:val="20"/>
                <w:lang w:eastAsia="en-CA"/>
              </w:rPr>
              <w:t xml:space="preserve"> coordination group meeting to present the draft national strategy for phasing down HFCs to stakeholders; and distribution of promotional material.</w:t>
            </w:r>
          </w:p>
        </w:tc>
        <w:tc>
          <w:tcPr>
            <w:tcW w:w="1629" w:type="dxa"/>
            <w:shd w:val="clear" w:color="auto" w:fill="auto"/>
            <w:tcMar>
              <w:left w:w="58" w:type="dxa"/>
              <w:right w:w="58" w:type="dxa"/>
            </w:tcMar>
          </w:tcPr>
          <w:p w14:paraId="1794A117" w14:textId="77777777" w:rsidR="0028399A" w:rsidRPr="00756D59" w:rsidRDefault="0028399A" w:rsidP="00305D02">
            <w:pPr>
              <w:jc w:val="center"/>
              <w:rPr>
                <w:sz w:val="20"/>
                <w:szCs w:val="20"/>
                <w:lang w:eastAsia="en-CA"/>
              </w:rPr>
            </w:pPr>
            <w:r w:rsidRPr="00756D59">
              <w:rPr>
                <w:sz w:val="20"/>
                <w:szCs w:val="20"/>
                <w:lang w:eastAsia="en-CA"/>
              </w:rPr>
              <w:t>Sep-21</w:t>
            </w:r>
          </w:p>
        </w:tc>
      </w:tr>
      <w:tr w:rsidR="0028399A" w:rsidRPr="00756D59" w14:paraId="5B4C394A" w14:textId="77777777" w:rsidTr="00305D02">
        <w:trPr>
          <w:trHeight w:val="256"/>
        </w:trPr>
        <w:tc>
          <w:tcPr>
            <w:tcW w:w="2261" w:type="dxa"/>
            <w:tcMar>
              <w:left w:w="58" w:type="dxa"/>
              <w:right w:w="58" w:type="dxa"/>
            </w:tcMar>
          </w:tcPr>
          <w:p w14:paraId="34792725" w14:textId="77777777" w:rsidR="0028399A" w:rsidRPr="00756D59" w:rsidRDefault="0028399A" w:rsidP="00305D02">
            <w:pPr>
              <w:spacing w:after="60"/>
              <w:jc w:val="left"/>
              <w:rPr>
                <w:bCs/>
                <w:lang w:eastAsia="en-CA"/>
              </w:rPr>
            </w:pPr>
            <w:r w:rsidRPr="00756D59">
              <w:rPr>
                <w:b/>
              </w:rPr>
              <w:t>FRANCE</w:t>
            </w:r>
          </w:p>
        </w:tc>
        <w:tc>
          <w:tcPr>
            <w:tcW w:w="3352" w:type="dxa"/>
            <w:tcMar>
              <w:left w:w="58" w:type="dxa"/>
              <w:right w:w="58" w:type="dxa"/>
            </w:tcMar>
          </w:tcPr>
          <w:p w14:paraId="26DF87AA" w14:textId="77777777" w:rsidR="0028399A" w:rsidRPr="00756D59" w:rsidRDefault="0028399A" w:rsidP="00305D02">
            <w:pPr>
              <w:jc w:val="left"/>
              <w:rPr>
                <w:bCs/>
                <w:sz w:val="20"/>
                <w:szCs w:val="20"/>
                <w:lang w:eastAsia="en-CA"/>
              </w:rPr>
            </w:pPr>
          </w:p>
        </w:tc>
        <w:tc>
          <w:tcPr>
            <w:tcW w:w="1236" w:type="dxa"/>
            <w:tcMar>
              <w:left w:w="58" w:type="dxa"/>
              <w:right w:w="58" w:type="dxa"/>
            </w:tcMar>
          </w:tcPr>
          <w:p w14:paraId="68645AB3" w14:textId="77777777" w:rsidR="0028399A" w:rsidRPr="00756D59" w:rsidRDefault="0028399A" w:rsidP="00305D02">
            <w:pPr>
              <w:jc w:val="center"/>
              <w:rPr>
                <w:bCs/>
                <w:sz w:val="20"/>
                <w:szCs w:val="20"/>
                <w:lang w:eastAsia="en-CA"/>
              </w:rPr>
            </w:pPr>
          </w:p>
        </w:tc>
        <w:tc>
          <w:tcPr>
            <w:tcW w:w="1305" w:type="dxa"/>
            <w:shd w:val="clear" w:color="auto" w:fill="auto"/>
            <w:tcMar>
              <w:left w:w="58" w:type="dxa"/>
              <w:right w:w="58" w:type="dxa"/>
            </w:tcMar>
          </w:tcPr>
          <w:p w14:paraId="6CF86BFA" w14:textId="77777777" w:rsidR="0028399A" w:rsidRPr="00756D59" w:rsidRDefault="0028399A" w:rsidP="00305D02">
            <w:pPr>
              <w:jc w:val="center"/>
              <w:rPr>
                <w:bCs/>
                <w:sz w:val="20"/>
                <w:szCs w:val="20"/>
                <w:lang w:eastAsia="en-CA"/>
              </w:rPr>
            </w:pPr>
          </w:p>
        </w:tc>
        <w:tc>
          <w:tcPr>
            <w:tcW w:w="4531" w:type="dxa"/>
            <w:tcMar>
              <w:left w:w="58" w:type="dxa"/>
              <w:right w:w="58" w:type="dxa"/>
            </w:tcMar>
          </w:tcPr>
          <w:p w14:paraId="115345B1" w14:textId="77777777" w:rsidR="0028399A" w:rsidRPr="00756D59" w:rsidRDefault="0028399A" w:rsidP="00305D02">
            <w:pPr>
              <w:jc w:val="left"/>
              <w:rPr>
                <w:bCs/>
                <w:sz w:val="20"/>
                <w:szCs w:val="20"/>
                <w:lang w:eastAsia="en-CA"/>
              </w:rPr>
            </w:pPr>
          </w:p>
        </w:tc>
        <w:tc>
          <w:tcPr>
            <w:tcW w:w="1629" w:type="dxa"/>
            <w:shd w:val="clear" w:color="auto" w:fill="auto"/>
            <w:tcMar>
              <w:left w:w="58" w:type="dxa"/>
              <w:right w:w="58" w:type="dxa"/>
            </w:tcMar>
          </w:tcPr>
          <w:p w14:paraId="42A5521F" w14:textId="77777777" w:rsidR="0028399A" w:rsidRPr="00756D59" w:rsidRDefault="0028399A" w:rsidP="00305D02">
            <w:pPr>
              <w:jc w:val="center"/>
              <w:rPr>
                <w:bCs/>
                <w:sz w:val="20"/>
                <w:szCs w:val="20"/>
                <w:lang w:eastAsia="en-CA"/>
              </w:rPr>
            </w:pPr>
          </w:p>
        </w:tc>
      </w:tr>
      <w:tr w:rsidR="0028399A" w:rsidRPr="00756D59" w14:paraId="3C186E02" w14:textId="77777777" w:rsidTr="00305D02">
        <w:trPr>
          <w:trHeight w:val="1158"/>
        </w:trPr>
        <w:tc>
          <w:tcPr>
            <w:tcW w:w="2261" w:type="dxa"/>
            <w:tcMar>
              <w:left w:w="58" w:type="dxa"/>
              <w:right w:w="58" w:type="dxa"/>
            </w:tcMar>
          </w:tcPr>
          <w:p w14:paraId="163EB768" w14:textId="77777777" w:rsidR="0028399A" w:rsidRPr="00756D59" w:rsidRDefault="0028399A" w:rsidP="00305D02">
            <w:pPr>
              <w:jc w:val="left"/>
              <w:rPr>
                <w:bCs/>
                <w:sz w:val="20"/>
                <w:szCs w:val="20"/>
                <w:lang w:eastAsia="en-CA"/>
              </w:rPr>
            </w:pPr>
            <w:r w:rsidRPr="00756D59">
              <w:rPr>
                <w:bCs/>
                <w:sz w:val="20"/>
                <w:szCs w:val="20"/>
                <w:lang w:eastAsia="en-CA"/>
              </w:rPr>
              <w:t>Zimbabwe</w:t>
            </w:r>
          </w:p>
          <w:p w14:paraId="7F0EDD5B" w14:textId="77777777" w:rsidR="0028399A" w:rsidRPr="00756D59" w:rsidRDefault="0028399A" w:rsidP="00305D02">
            <w:pPr>
              <w:jc w:val="left"/>
              <w:rPr>
                <w:bCs/>
                <w:sz w:val="20"/>
                <w:szCs w:val="20"/>
                <w:lang w:eastAsia="en-CA"/>
              </w:rPr>
            </w:pPr>
            <w:r w:rsidRPr="00756D59">
              <w:rPr>
                <w:bCs/>
                <w:sz w:val="20"/>
                <w:szCs w:val="20"/>
                <w:lang w:eastAsia="en-CA"/>
              </w:rPr>
              <w:t>ZIM/REF/82/INV/56</w:t>
            </w:r>
          </w:p>
        </w:tc>
        <w:tc>
          <w:tcPr>
            <w:tcW w:w="3352" w:type="dxa"/>
            <w:tcMar>
              <w:left w:w="58" w:type="dxa"/>
              <w:right w:w="58" w:type="dxa"/>
            </w:tcMar>
          </w:tcPr>
          <w:p w14:paraId="784EDE52" w14:textId="77777777" w:rsidR="0028399A" w:rsidRPr="00756D59" w:rsidRDefault="0028399A" w:rsidP="00305D02">
            <w:pPr>
              <w:jc w:val="left"/>
              <w:rPr>
                <w:bCs/>
                <w:sz w:val="20"/>
                <w:szCs w:val="20"/>
                <w:lang w:eastAsia="en-CA"/>
              </w:rPr>
            </w:pPr>
            <w:r w:rsidRPr="00756D59">
              <w:rPr>
                <w:bCs/>
                <w:sz w:val="20"/>
                <w:szCs w:val="20"/>
                <w:lang w:eastAsia="en-CA"/>
              </w:rPr>
              <w:t>Conversion from HFC-134a to isobutane in the manufacture of domestic refrigerators at Capri (SME Harare)</w:t>
            </w:r>
          </w:p>
        </w:tc>
        <w:tc>
          <w:tcPr>
            <w:tcW w:w="1236" w:type="dxa"/>
            <w:tcMar>
              <w:left w:w="58" w:type="dxa"/>
              <w:right w:w="58" w:type="dxa"/>
            </w:tcMar>
          </w:tcPr>
          <w:p w14:paraId="04B3F025" w14:textId="77777777" w:rsidR="0028399A" w:rsidRPr="00756D59" w:rsidRDefault="0028399A" w:rsidP="00305D02">
            <w:pPr>
              <w:jc w:val="center"/>
              <w:rPr>
                <w:bCs/>
                <w:sz w:val="20"/>
                <w:szCs w:val="20"/>
                <w:lang w:eastAsia="en-CA"/>
              </w:rPr>
            </w:pPr>
            <w:r w:rsidRPr="00756D59">
              <w:rPr>
                <w:bCs/>
                <w:sz w:val="20"/>
                <w:szCs w:val="20"/>
                <w:lang w:eastAsia="en-CA"/>
              </w:rPr>
              <w:t>Dec-18</w:t>
            </w:r>
          </w:p>
        </w:tc>
        <w:tc>
          <w:tcPr>
            <w:tcW w:w="1305" w:type="dxa"/>
            <w:shd w:val="clear" w:color="auto" w:fill="auto"/>
            <w:tcMar>
              <w:left w:w="58" w:type="dxa"/>
              <w:right w:w="58" w:type="dxa"/>
            </w:tcMar>
          </w:tcPr>
          <w:p w14:paraId="061074C4" w14:textId="77777777" w:rsidR="0028399A" w:rsidRPr="00756D59" w:rsidRDefault="0028399A" w:rsidP="00305D02">
            <w:pPr>
              <w:jc w:val="center"/>
              <w:rPr>
                <w:sz w:val="20"/>
                <w:szCs w:val="20"/>
                <w:lang w:eastAsia="en-CA"/>
              </w:rPr>
            </w:pPr>
            <w:r w:rsidRPr="00756D59">
              <w:rPr>
                <w:sz w:val="20"/>
                <w:szCs w:val="20"/>
                <w:lang w:eastAsia="en-CA"/>
              </w:rPr>
              <w:t>0</w:t>
            </w:r>
          </w:p>
        </w:tc>
        <w:tc>
          <w:tcPr>
            <w:tcW w:w="4531" w:type="dxa"/>
            <w:tcMar>
              <w:left w:w="58" w:type="dxa"/>
              <w:right w:w="58" w:type="dxa"/>
            </w:tcMar>
          </w:tcPr>
          <w:p w14:paraId="405C34F5" w14:textId="77777777" w:rsidR="0028399A" w:rsidRPr="00756D59" w:rsidRDefault="0028399A" w:rsidP="00305D02">
            <w:pPr>
              <w:jc w:val="left"/>
              <w:rPr>
                <w:bCs/>
                <w:sz w:val="20"/>
                <w:szCs w:val="20"/>
                <w:lang w:eastAsia="en-CA"/>
              </w:rPr>
            </w:pPr>
            <w:r w:rsidRPr="00756D59">
              <w:rPr>
                <w:bCs/>
                <w:sz w:val="20"/>
                <w:szCs w:val="20"/>
                <w:lang w:eastAsia="en-CA"/>
              </w:rPr>
              <w:t>Finalization of co-financing required for the beneficiary enterprise to implement the project.</w:t>
            </w:r>
            <w:r w:rsidRPr="00756D59">
              <w:rPr>
                <w:sz w:val="20"/>
                <w:szCs w:val="20"/>
              </w:rPr>
              <w:t xml:space="preserve"> </w:t>
            </w:r>
            <w:r w:rsidRPr="00756D59">
              <w:rPr>
                <w:bCs/>
                <w:sz w:val="20"/>
                <w:szCs w:val="20"/>
                <w:lang w:eastAsia="en-CA"/>
              </w:rPr>
              <w:t>With gradual recovery from the COVID</w:t>
            </w:r>
            <w:r w:rsidRPr="00756D59">
              <w:rPr>
                <w:bCs/>
                <w:sz w:val="20"/>
                <w:szCs w:val="20"/>
                <w:lang w:eastAsia="en-CA"/>
              </w:rPr>
              <w:noBreakHyphen/>
              <w:t>19 pandemic thus improvements in the economy, activities are expected to progress faster.</w:t>
            </w:r>
          </w:p>
        </w:tc>
        <w:tc>
          <w:tcPr>
            <w:tcW w:w="1629" w:type="dxa"/>
            <w:shd w:val="clear" w:color="auto" w:fill="auto"/>
            <w:tcMar>
              <w:left w:w="58" w:type="dxa"/>
              <w:right w:w="58" w:type="dxa"/>
            </w:tcMar>
          </w:tcPr>
          <w:p w14:paraId="2C6865DC" w14:textId="77777777" w:rsidR="0028399A" w:rsidRPr="00756D59" w:rsidRDefault="0028399A" w:rsidP="00305D02">
            <w:pPr>
              <w:jc w:val="center"/>
              <w:rPr>
                <w:bCs/>
                <w:sz w:val="20"/>
                <w:szCs w:val="20"/>
                <w:lang w:eastAsia="en-CA"/>
              </w:rPr>
            </w:pPr>
            <w:r w:rsidRPr="00756D59">
              <w:rPr>
                <w:bCs/>
                <w:sz w:val="20"/>
                <w:szCs w:val="20"/>
                <w:lang w:eastAsia="en-CA"/>
              </w:rPr>
              <w:t>Jun-23</w:t>
            </w:r>
          </w:p>
        </w:tc>
      </w:tr>
      <w:tr w:rsidR="0028399A" w:rsidRPr="00756D59" w14:paraId="40497100" w14:textId="77777777" w:rsidTr="00305D02">
        <w:trPr>
          <w:trHeight w:val="162"/>
        </w:trPr>
        <w:tc>
          <w:tcPr>
            <w:tcW w:w="2261" w:type="dxa"/>
            <w:tcMar>
              <w:left w:w="58" w:type="dxa"/>
              <w:right w:w="58" w:type="dxa"/>
            </w:tcMar>
          </w:tcPr>
          <w:p w14:paraId="10410857" w14:textId="77777777" w:rsidR="0028399A" w:rsidRPr="00756D59" w:rsidRDefault="0028399A" w:rsidP="00305D02">
            <w:pPr>
              <w:spacing w:after="60"/>
              <w:jc w:val="left"/>
              <w:rPr>
                <w:bCs/>
                <w:lang w:eastAsia="en-CA"/>
              </w:rPr>
            </w:pPr>
            <w:r w:rsidRPr="00756D59">
              <w:rPr>
                <w:b/>
              </w:rPr>
              <w:t>GERMANY</w:t>
            </w:r>
          </w:p>
        </w:tc>
        <w:tc>
          <w:tcPr>
            <w:tcW w:w="3352" w:type="dxa"/>
            <w:tcMar>
              <w:left w:w="58" w:type="dxa"/>
              <w:right w:w="58" w:type="dxa"/>
            </w:tcMar>
          </w:tcPr>
          <w:p w14:paraId="29E99B44" w14:textId="77777777" w:rsidR="0028399A" w:rsidRPr="00756D59" w:rsidRDefault="0028399A" w:rsidP="00305D02">
            <w:pPr>
              <w:jc w:val="left"/>
              <w:rPr>
                <w:bCs/>
                <w:sz w:val="20"/>
                <w:szCs w:val="20"/>
                <w:lang w:eastAsia="en-CA"/>
              </w:rPr>
            </w:pPr>
          </w:p>
        </w:tc>
        <w:tc>
          <w:tcPr>
            <w:tcW w:w="1236" w:type="dxa"/>
            <w:tcMar>
              <w:left w:w="58" w:type="dxa"/>
              <w:right w:w="58" w:type="dxa"/>
            </w:tcMar>
          </w:tcPr>
          <w:p w14:paraId="01F6593F" w14:textId="77777777" w:rsidR="0028399A" w:rsidRPr="00756D59" w:rsidRDefault="0028399A" w:rsidP="00305D02">
            <w:pPr>
              <w:jc w:val="center"/>
              <w:rPr>
                <w:bCs/>
                <w:sz w:val="20"/>
                <w:szCs w:val="20"/>
                <w:lang w:eastAsia="en-CA"/>
              </w:rPr>
            </w:pPr>
          </w:p>
        </w:tc>
        <w:tc>
          <w:tcPr>
            <w:tcW w:w="1305" w:type="dxa"/>
            <w:shd w:val="clear" w:color="auto" w:fill="auto"/>
            <w:tcMar>
              <w:left w:w="58" w:type="dxa"/>
              <w:right w:w="58" w:type="dxa"/>
            </w:tcMar>
          </w:tcPr>
          <w:p w14:paraId="62CA7BAF" w14:textId="77777777" w:rsidR="0028399A" w:rsidRPr="00756D59" w:rsidRDefault="0028399A" w:rsidP="00305D02">
            <w:pPr>
              <w:jc w:val="center"/>
              <w:rPr>
                <w:bCs/>
                <w:sz w:val="20"/>
                <w:szCs w:val="20"/>
                <w:lang w:eastAsia="en-CA"/>
              </w:rPr>
            </w:pPr>
          </w:p>
        </w:tc>
        <w:tc>
          <w:tcPr>
            <w:tcW w:w="4531" w:type="dxa"/>
            <w:tcMar>
              <w:left w:w="58" w:type="dxa"/>
              <w:right w:w="58" w:type="dxa"/>
            </w:tcMar>
          </w:tcPr>
          <w:p w14:paraId="0CF7D274" w14:textId="77777777" w:rsidR="0028399A" w:rsidRPr="00756D59" w:rsidRDefault="0028399A" w:rsidP="00305D02">
            <w:pPr>
              <w:jc w:val="left"/>
              <w:rPr>
                <w:bCs/>
                <w:sz w:val="20"/>
                <w:szCs w:val="20"/>
                <w:lang w:eastAsia="en-CA"/>
              </w:rPr>
            </w:pPr>
          </w:p>
        </w:tc>
        <w:tc>
          <w:tcPr>
            <w:tcW w:w="1629" w:type="dxa"/>
            <w:shd w:val="clear" w:color="auto" w:fill="auto"/>
            <w:tcMar>
              <w:left w:w="58" w:type="dxa"/>
              <w:right w:w="58" w:type="dxa"/>
            </w:tcMar>
          </w:tcPr>
          <w:p w14:paraId="1A516982" w14:textId="77777777" w:rsidR="0028399A" w:rsidRPr="00756D59" w:rsidRDefault="0028399A" w:rsidP="00305D02">
            <w:pPr>
              <w:jc w:val="center"/>
              <w:rPr>
                <w:bCs/>
                <w:sz w:val="20"/>
                <w:szCs w:val="20"/>
                <w:lang w:eastAsia="en-CA"/>
              </w:rPr>
            </w:pPr>
          </w:p>
        </w:tc>
      </w:tr>
      <w:tr w:rsidR="0028399A" w:rsidRPr="00756D59" w14:paraId="4485AD78" w14:textId="77777777" w:rsidTr="00305D02">
        <w:trPr>
          <w:trHeight w:val="337"/>
        </w:trPr>
        <w:tc>
          <w:tcPr>
            <w:tcW w:w="2261" w:type="dxa"/>
            <w:tcMar>
              <w:left w:w="58" w:type="dxa"/>
              <w:right w:w="58" w:type="dxa"/>
            </w:tcMar>
          </w:tcPr>
          <w:p w14:paraId="5C80DF7F" w14:textId="77777777" w:rsidR="0028399A" w:rsidRPr="00756D59" w:rsidRDefault="0028399A" w:rsidP="00305D02">
            <w:pPr>
              <w:jc w:val="left"/>
              <w:rPr>
                <w:sz w:val="20"/>
                <w:szCs w:val="20"/>
                <w:lang w:eastAsia="en-CA"/>
              </w:rPr>
            </w:pPr>
            <w:r w:rsidRPr="00756D59">
              <w:rPr>
                <w:sz w:val="20"/>
                <w:szCs w:val="20"/>
                <w:lang w:eastAsia="en-CA"/>
              </w:rPr>
              <w:t xml:space="preserve">Liberia </w:t>
            </w:r>
          </w:p>
          <w:p w14:paraId="570AE473" w14:textId="77777777" w:rsidR="0028399A" w:rsidRPr="00756D59" w:rsidRDefault="0028399A" w:rsidP="00305D02">
            <w:pPr>
              <w:jc w:val="left"/>
              <w:rPr>
                <w:b/>
                <w:sz w:val="20"/>
                <w:szCs w:val="20"/>
              </w:rPr>
            </w:pPr>
            <w:r w:rsidRPr="00756D59">
              <w:rPr>
                <w:sz w:val="20"/>
                <w:szCs w:val="20"/>
                <w:lang w:eastAsia="en-CA"/>
              </w:rPr>
              <w:t>LIR/SEV/80/TAS/01+</w:t>
            </w:r>
          </w:p>
        </w:tc>
        <w:tc>
          <w:tcPr>
            <w:tcW w:w="3352" w:type="dxa"/>
            <w:tcMar>
              <w:left w:w="58" w:type="dxa"/>
              <w:right w:w="58" w:type="dxa"/>
            </w:tcMar>
          </w:tcPr>
          <w:p w14:paraId="57EAFD65" w14:textId="77777777" w:rsidR="0028399A" w:rsidRPr="00756D59" w:rsidRDefault="0028399A" w:rsidP="00305D02">
            <w:pPr>
              <w:jc w:val="left"/>
              <w:rPr>
                <w:bCs/>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D0801ED" w14:textId="77777777" w:rsidR="0028399A" w:rsidRPr="00756D59" w:rsidRDefault="0028399A" w:rsidP="00305D02">
            <w:pPr>
              <w:jc w:val="center"/>
              <w:rPr>
                <w:bCs/>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73ED310" w14:textId="77777777" w:rsidR="0028399A" w:rsidRPr="00756D59" w:rsidRDefault="0028399A" w:rsidP="00305D02">
            <w:pPr>
              <w:jc w:val="center"/>
              <w:rPr>
                <w:bCs/>
                <w:sz w:val="20"/>
                <w:szCs w:val="20"/>
                <w:lang w:eastAsia="en-CA"/>
              </w:rPr>
            </w:pPr>
            <w:r w:rsidRPr="00756D59">
              <w:rPr>
                <w:sz w:val="20"/>
                <w:szCs w:val="20"/>
                <w:lang w:eastAsia="en-CA"/>
              </w:rPr>
              <w:t>74.8</w:t>
            </w:r>
          </w:p>
        </w:tc>
        <w:tc>
          <w:tcPr>
            <w:tcW w:w="4531" w:type="dxa"/>
            <w:tcMar>
              <w:left w:w="58" w:type="dxa"/>
              <w:right w:w="58" w:type="dxa"/>
            </w:tcMar>
          </w:tcPr>
          <w:p w14:paraId="7033F14A" w14:textId="77777777" w:rsidR="0028399A" w:rsidRPr="00756D59" w:rsidRDefault="0028399A" w:rsidP="00305D02">
            <w:pPr>
              <w:jc w:val="left"/>
              <w:rPr>
                <w:bCs/>
                <w:sz w:val="20"/>
                <w:szCs w:val="20"/>
                <w:lang w:eastAsia="en-CA"/>
              </w:rPr>
            </w:pPr>
            <w:r w:rsidRPr="00756D59">
              <w:rPr>
                <w:sz w:val="20"/>
                <w:szCs w:val="20"/>
                <w:lang w:eastAsia="en-CA"/>
              </w:rPr>
              <w:t>Approval of the amendment to regulations.</w:t>
            </w:r>
          </w:p>
        </w:tc>
        <w:tc>
          <w:tcPr>
            <w:tcW w:w="1629" w:type="dxa"/>
            <w:shd w:val="clear" w:color="auto" w:fill="auto"/>
            <w:tcMar>
              <w:left w:w="58" w:type="dxa"/>
              <w:right w:w="58" w:type="dxa"/>
            </w:tcMar>
          </w:tcPr>
          <w:p w14:paraId="13BC93FB" w14:textId="77777777" w:rsidR="0028399A" w:rsidRPr="00756D59" w:rsidRDefault="0028399A" w:rsidP="00305D02">
            <w:pPr>
              <w:jc w:val="center"/>
              <w:rPr>
                <w:bCs/>
                <w:sz w:val="20"/>
                <w:szCs w:val="20"/>
                <w:lang w:eastAsia="en-CA"/>
              </w:rPr>
            </w:pPr>
            <w:r w:rsidRPr="00756D59">
              <w:rPr>
                <w:sz w:val="20"/>
                <w:szCs w:val="20"/>
                <w:lang w:eastAsia="en-CA"/>
              </w:rPr>
              <w:t>Dec-21</w:t>
            </w:r>
          </w:p>
        </w:tc>
      </w:tr>
      <w:tr w:rsidR="0028399A" w:rsidRPr="00756D59" w14:paraId="150D9CFD" w14:textId="77777777" w:rsidTr="00305D02">
        <w:trPr>
          <w:trHeight w:val="337"/>
        </w:trPr>
        <w:tc>
          <w:tcPr>
            <w:tcW w:w="2261" w:type="dxa"/>
            <w:tcMar>
              <w:left w:w="58" w:type="dxa"/>
              <w:right w:w="58" w:type="dxa"/>
            </w:tcMar>
          </w:tcPr>
          <w:p w14:paraId="575CB1A7" w14:textId="77777777" w:rsidR="0028399A" w:rsidRPr="00756D59" w:rsidRDefault="0028399A" w:rsidP="00305D02">
            <w:pPr>
              <w:jc w:val="left"/>
              <w:rPr>
                <w:sz w:val="20"/>
                <w:szCs w:val="20"/>
                <w:lang w:eastAsia="en-CA"/>
              </w:rPr>
            </w:pPr>
            <w:r w:rsidRPr="00756D59">
              <w:rPr>
                <w:sz w:val="20"/>
                <w:szCs w:val="20"/>
                <w:lang w:eastAsia="en-CA"/>
              </w:rPr>
              <w:t>Papua New Guinea</w:t>
            </w:r>
          </w:p>
          <w:p w14:paraId="1A184470" w14:textId="77777777" w:rsidR="0028399A" w:rsidRPr="00756D59" w:rsidRDefault="0028399A" w:rsidP="00305D02">
            <w:pPr>
              <w:jc w:val="left"/>
              <w:rPr>
                <w:sz w:val="20"/>
                <w:szCs w:val="20"/>
                <w:lang w:eastAsia="en-CA"/>
              </w:rPr>
            </w:pPr>
            <w:r w:rsidRPr="00756D59">
              <w:rPr>
                <w:sz w:val="20"/>
                <w:szCs w:val="20"/>
                <w:lang w:eastAsia="en-CA"/>
              </w:rPr>
              <w:t>PNG/SEV/80/TAS/01+</w:t>
            </w:r>
          </w:p>
        </w:tc>
        <w:tc>
          <w:tcPr>
            <w:tcW w:w="3352" w:type="dxa"/>
            <w:tcMar>
              <w:left w:w="58" w:type="dxa"/>
              <w:right w:w="58" w:type="dxa"/>
            </w:tcMar>
          </w:tcPr>
          <w:p w14:paraId="30063E5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A91D47C"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7918D30" w14:textId="77777777" w:rsidR="0028399A" w:rsidRPr="00756D59" w:rsidRDefault="0028399A" w:rsidP="00305D02">
            <w:pPr>
              <w:jc w:val="center"/>
              <w:rPr>
                <w:sz w:val="20"/>
                <w:szCs w:val="20"/>
                <w:lang w:eastAsia="en-CA"/>
              </w:rPr>
            </w:pPr>
            <w:r w:rsidRPr="00756D59">
              <w:rPr>
                <w:sz w:val="20"/>
                <w:szCs w:val="20"/>
                <w:lang w:eastAsia="en-CA"/>
              </w:rPr>
              <w:t>86.7</w:t>
            </w:r>
          </w:p>
        </w:tc>
        <w:tc>
          <w:tcPr>
            <w:tcW w:w="4531" w:type="dxa"/>
            <w:tcMar>
              <w:left w:w="58" w:type="dxa"/>
              <w:right w:w="58" w:type="dxa"/>
            </w:tcMar>
          </w:tcPr>
          <w:p w14:paraId="35E232E5" w14:textId="77777777" w:rsidR="0028399A" w:rsidRPr="00756D59" w:rsidRDefault="0028399A" w:rsidP="00305D02">
            <w:pPr>
              <w:jc w:val="left"/>
              <w:rPr>
                <w:sz w:val="20"/>
                <w:szCs w:val="20"/>
                <w:lang w:eastAsia="en-CA"/>
              </w:rPr>
            </w:pPr>
            <w:r w:rsidRPr="00756D59">
              <w:rPr>
                <w:sz w:val="20"/>
                <w:szCs w:val="20"/>
                <w:lang w:eastAsia="en-CA"/>
              </w:rPr>
              <w:t>Support for ratification of Kigali Amendment; and finalization of the amendment to ODS regulations including tax on HFCs.</w:t>
            </w:r>
          </w:p>
        </w:tc>
        <w:tc>
          <w:tcPr>
            <w:tcW w:w="1629" w:type="dxa"/>
            <w:shd w:val="clear" w:color="auto" w:fill="auto"/>
            <w:tcMar>
              <w:left w:w="58" w:type="dxa"/>
              <w:right w:w="58" w:type="dxa"/>
            </w:tcMar>
          </w:tcPr>
          <w:p w14:paraId="41C74778"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0F21B646" w14:textId="77777777" w:rsidTr="00305D02">
        <w:trPr>
          <w:trHeight w:val="337"/>
        </w:trPr>
        <w:tc>
          <w:tcPr>
            <w:tcW w:w="2261" w:type="dxa"/>
            <w:tcMar>
              <w:left w:w="58" w:type="dxa"/>
              <w:right w:w="58" w:type="dxa"/>
            </w:tcMar>
          </w:tcPr>
          <w:p w14:paraId="464C59F2" w14:textId="77777777" w:rsidR="0028399A" w:rsidRPr="00756D59" w:rsidRDefault="0028399A" w:rsidP="00305D02">
            <w:pPr>
              <w:jc w:val="left"/>
              <w:rPr>
                <w:sz w:val="20"/>
                <w:szCs w:val="20"/>
                <w:lang w:eastAsia="en-CA"/>
              </w:rPr>
            </w:pPr>
            <w:r w:rsidRPr="00756D59">
              <w:rPr>
                <w:sz w:val="20"/>
                <w:szCs w:val="20"/>
                <w:lang w:eastAsia="en-CA"/>
              </w:rPr>
              <w:t xml:space="preserve">Seychelles </w:t>
            </w:r>
          </w:p>
          <w:p w14:paraId="7A23700D" w14:textId="77777777" w:rsidR="0028399A" w:rsidRPr="00756D59" w:rsidRDefault="0028399A" w:rsidP="00305D02">
            <w:pPr>
              <w:jc w:val="left"/>
              <w:rPr>
                <w:sz w:val="20"/>
                <w:szCs w:val="20"/>
                <w:lang w:eastAsia="en-CA"/>
              </w:rPr>
            </w:pPr>
            <w:r w:rsidRPr="00756D59">
              <w:rPr>
                <w:sz w:val="20"/>
                <w:szCs w:val="20"/>
                <w:lang w:eastAsia="en-CA"/>
              </w:rPr>
              <w:t>SEY/SEV/80/TAS/01+</w:t>
            </w:r>
          </w:p>
        </w:tc>
        <w:tc>
          <w:tcPr>
            <w:tcW w:w="3352" w:type="dxa"/>
            <w:tcMar>
              <w:left w:w="58" w:type="dxa"/>
              <w:right w:w="58" w:type="dxa"/>
            </w:tcMar>
          </w:tcPr>
          <w:p w14:paraId="3C8EAC71"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87A3F7F"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14E2B9D0" w14:textId="77777777" w:rsidR="0028399A" w:rsidRPr="00756D59" w:rsidRDefault="0028399A" w:rsidP="00305D02">
            <w:pPr>
              <w:jc w:val="center"/>
              <w:rPr>
                <w:sz w:val="20"/>
                <w:szCs w:val="20"/>
                <w:lang w:eastAsia="en-CA"/>
              </w:rPr>
            </w:pPr>
            <w:r w:rsidRPr="00756D59">
              <w:rPr>
                <w:sz w:val="20"/>
                <w:szCs w:val="20"/>
                <w:lang w:eastAsia="en-CA"/>
              </w:rPr>
              <w:t>87.5</w:t>
            </w:r>
          </w:p>
        </w:tc>
        <w:tc>
          <w:tcPr>
            <w:tcW w:w="4531" w:type="dxa"/>
            <w:tcMar>
              <w:left w:w="58" w:type="dxa"/>
              <w:right w:w="58" w:type="dxa"/>
            </w:tcMar>
          </w:tcPr>
          <w:p w14:paraId="58FF2FC3" w14:textId="77777777" w:rsidR="0028399A" w:rsidRPr="00756D59" w:rsidRDefault="0028399A" w:rsidP="00305D02">
            <w:pPr>
              <w:jc w:val="left"/>
              <w:rPr>
                <w:sz w:val="20"/>
                <w:szCs w:val="20"/>
                <w:lang w:eastAsia="en-CA"/>
              </w:rPr>
            </w:pPr>
            <w:r w:rsidRPr="00756D59">
              <w:rPr>
                <w:sz w:val="20"/>
                <w:szCs w:val="20"/>
                <w:lang w:eastAsia="en-CA"/>
              </w:rPr>
              <w:t>Monitoring compliance with the guidelines for the newly amended regulations through onsite monitoring of commercial and industrial refrigeration equipment.</w:t>
            </w:r>
          </w:p>
        </w:tc>
        <w:tc>
          <w:tcPr>
            <w:tcW w:w="1629" w:type="dxa"/>
            <w:shd w:val="clear" w:color="auto" w:fill="auto"/>
            <w:tcMar>
              <w:left w:w="58" w:type="dxa"/>
              <w:right w:w="58" w:type="dxa"/>
            </w:tcMar>
          </w:tcPr>
          <w:p w14:paraId="50D82574"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082C958A" w14:textId="77777777" w:rsidTr="00305D02">
        <w:trPr>
          <w:trHeight w:val="337"/>
        </w:trPr>
        <w:tc>
          <w:tcPr>
            <w:tcW w:w="2261" w:type="dxa"/>
            <w:tcMar>
              <w:left w:w="58" w:type="dxa"/>
              <w:right w:w="58" w:type="dxa"/>
            </w:tcMar>
          </w:tcPr>
          <w:p w14:paraId="1B5A5AD2" w14:textId="77777777" w:rsidR="0028399A" w:rsidRPr="00756D59" w:rsidRDefault="0028399A" w:rsidP="00305D02">
            <w:pPr>
              <w:keepNext/>
              <w:jc w:val="left"/>
              <w:rPr>
                <w:lang w:eastAsia="en-CA"/>
              </w:rPr>
            </w:pPr>
            <w:r w:rsidRPr="00756D59">
              <w:rPr>
                <w:b/>
                <w:lang w:eastAsia="en-CA"/>
              </w:rPr>
              <w:lastRenderedPageBreak/>
              <w:t>ITALY</w:t>
            </w:r>
          </w:p>
        </w:tc>
        <w:tc>
          <w:tcPr>
            <w:tcW w:w="3352" w:type="dxa"/>
            <w:tcMar>
              <w:left w:w="58" w:type="dxa"/>
              <w:right w:w="58" w:type="dxa"/>
            </w:tcMar>
          </w:tcPr>
          <w:p w14:paraId="745AF763" w14:textId="77777777" w:rsidR="0028399A" w:rsidRPr="00756D59" w:rsidRDefault="0028399A" w:rsidP="00305D02">
            <w:pPr>
              <w:keepNext/>
              <w:jc w:val="left"/>
              <w:rPr>
                <w:sz w:val="20"/>
                <w:szCs w:val="20"/>
                <w:lang w:eastAsia="en-CA"/>
              </w:rPr>
            </w:pPr>
            <w:bookmarkStart w:id="3" w:name="_GoBack"/>
            <w:bookmarkEnd w:id="3"/>
          </w:p>
        </w:tc>
        <w:tc>
          <w:tcPr>
            <w:tcW w:w="1236" w:type="dxa"/>
            <w:tcMar>
              <w:left w:w="58" w:type="dxa"/>
              <w:right w:w="58" w:type="dxa"/>
            </w:tcMar>
          </w:tcPr>
          <w:p w14:paraId="60D18DA5" w14:textId="77777777" w:rsidR="0028399A" w:rsidRPr="00756D59" w:rsidRDefault="0028399A" w:rsidP="00305D02">
            <w:pPr>
              <w:keepNext/>
              <w:jc w:val="center"/>
              <w:rPr>
                <w:sz w:val="20"/>
                <w:szCs w:val="20"/>
                <w:lang w:eastAsia="en-CA"/>
              </w:rPr>
            </w:pPr>
          </w:p>
        </w:tc>
        <w:tc>
          <w:tcPr>
            <w:tcW w:w="1305" w:type="dxa"/>
            <w:shd w:val="clear" w:color="auto" w:fill="auto"/>
            <w:tcMar>
              <w:left w:w="58" w:type="dxa"/>
              <w:right w:w="58" w:type="dxa"/>
            </w:tcMar>
          </w:tcPr>
          <w:p w14:paraId="6233D65F" w14:textId="77777777" w:rsidR="0028399A" w:rsidRPr="00756D59" w:rsidRDefault="0028399A" w:rsidP="00305D02">
            <w:pPr>
              <w:keepNext/>
              <w:jc w:val="center"/>
              <w:rPr>
                <w:sz w:val="20"/>
                <w:szCs w:val="20"/>
                <w:lang w:eastAsia="en-CA"/>
              </w:rPr>
            </w:pPr>
          </w:p>
        </w:tc>
        <w:tc>
          <w:tcPr>
            <w:tcW w:w="4531" w:type="dxa"/>
            <w:tcMar>
              <w:left w:w="58" w:type="dxa"/>
              <w:right w:w="58" w:type="dxa"/>
            </w:tcMar>
          </w:tcPr>
          <w:p w14:paraId="79B3D5C5" w14:textId="77777777" w:rsidR="0028399A" w:rsidRPr="00756D59" w:rsidRDefault="0028399A" w:rsidP="00305D02">
            <w:pPr>
              <w:keepNext/>
              <w:jc w:val="left"/>
              <w:rPr>
                <w:sz w:val="20"/>
                <w:szCs w:val="20"/>
                <w:lang w:eastAsia="en-CA"/>
              </w:rPr>
            </w:pPr>
          </w:p>
        </w:tc>
        <w:tc>
          <w:tcPr>
            <w:tcW w:w="1629" w:type="dxa"/>
            <w:shd w:val="clear" w:color="auto" w:fill="auto"/>
            <w:tcMar>
              <w:left w:w="58" w:type="dxa"/>
              <w:right w:w="58" w:type="dxa"/>
            </w:tcMar>
          </w:tcPr>
          <w:p w14:paraId="031CEFEA" w14:textId="77777777" w:rsidR="0028399A" w:rsidRPr="00756D59" w:rsidRDefault="0028399A" w:rsidP="00305D02">
            <w:pPr>
              <w:keepNext/>
              <w:jc w:val="center"/>
              <w:rPr>
                <w:sz w:val="20"/>
                <w:szCs w:val="20"/>
                <w:lang w:eastAsia="en-CA"/>
              </w:rPr>
            </w:pPr>
          </w:p>
        </w:tc>
      </w:tr>
      <w:tr w:rsidR="0028399A" w:rsidRPr="00756D59" w14:paraId="5D733DFB" w14:textId="77777777" w:rsidTr="00305D02">
        <w:trPr>
          <w:trHeight w:val="337"/>
        </w:trPr>
        <w:tc>
          <w:tcPr>
            <w:tcW w:w="2261" w:type="dxa"/>
            <w:tcMar>
              <w:left w:w="58" w:type="dxa"/>
              <w:right w:w="58" w:type="dxa"/>
            </w:tcMar>
          </w:tcPr>
          <w:p w14:paraId="31718516" w14:textId="77777777" w:rsidR="0028399A" w:rsidRPr="00756D59" w:rsidRDefault="0028399A" w:rsidP="00305D02">
            <w:pPr>
              <w:keepNext/>
              <w:rPr>
                <w:sz w:val="20"/>
                <w:szCs w:val="20"/>
                <w:lang w:eastAsia="en-CA"/>
              </w:rPr>
            </w:pPr>
            <w:r w:rsidRPr="00756D59">
              <w:rPr>
                <w:sz w:val="20"/>
                <w:szCs w:val="20"/>
                <w:lang w:eastAsia="en-CA"/>
              </w:rPr>
              <w:t>Maldives</w:t>
            </w:r>
          </w:p>
          <w:p w14:paraId="6B0B5F11" w14:textId="77777777" w:rsidR="0028399A" w:rsidRPr="00756D59" w:rsidRDefault="0028399A" w:rsidP="00305D02">
            <w:pPr>
              <w:keepNext/>
              <w:jc w:val="left"/>
              <w:rPr>
                <w:b/>
                <w:sz w:val="20"/>
                <w:szCs w:val="20"/>
                <w:lang w:eastAsia="en-CA"/>
              </w:rPr>
            </w:pPr>
            <w:r w:rsidRPr="00756D59">
              <w:rPr>
                <w:sz w:val="20"/>
                <w:szCs w:val="20"/>
                <w:lang w:eastAsia="en-CA"/>
              </w:rPr>
              <w:t>MDV/SEV/80/TAS/02+</w:t>
            </w:r>
          </w:p>
        </w:tc>
        <w:tc>
          <w:tcPr>
            <w:tcW w:w="3352" w:type="dxa"/>
            <w:tcMar>
              <w:left w:w="58" w:type="dxa"/>
              <w:right w:w="58" w:type="dxa"/>
            </w:tcMar>
          </w:tcPr>
          <w:p w14:paraId="2E4B0813" w14:textId="77777777" w:rsidR="0028399A" w:rsidRPr="00756D59" w:rsidRDefault="0028399A" w:rsidP="00305D02">
            <w:pPr>
              <w:keepNext/>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F818A8F" w14:textId="77777777" w:rsidR="0028399A" w:rsidRPr="00756D59" w:rsidRDefault="0028399A" w:rsidP="00305D02">
            <w:pPr>
              <w:keepNext/>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7AD58A0" w14:textId="77777777" w:rsidR="0028399A" w:rsidRPr="00756D59" w:rsidRDefault="0028399A" w:rsidP="00305D02">
            <w:pPr>
              <w:keepNext/>
              <w:jc w:val="center"/>
              <w:rPr>
                <w:sz w:val="20"/>
                <w:szCs w:val="20"/>
                <w:lang w:eastAsia="en-CA"/>
              </w:rPr>
            </w:pPr>
            <w:r w:rsidRPr="00756D59">
              <w:rPr>
                <w:sz w:val="20"/>
                <w:szCs w:val="20"/>
                <w:lang w:eastAsia="en-CA"/>
              </w:rPr>
              <w:t>29</w:t>
            </w:r>
          </w:p>
        </w:tc>
        <w:tc>
          <w:tcPr>
            <w:tcW w:w="4531" w:type="dxa"/>
            <w:tcMar>
              <w:left w:w="58" w:type="dxa"/>
              <w:right w:w="58" w:type="dxa"/>
            </w:tcMar>
          </w:tcPr>
          <w:p w14:paraId="502DF9AB" w14:textId="77777777" w:rsidR="0028399A" w:rsidRPr="00756D59" w:rsidRDefault="0028399A" w:rsidP="00305D02">
            <w:pPr>
              <w:keepNext/>
              <w:jc w:val="left"/>
              <w:rPr>
                <w:sz w:val="20"/>
                <w:szCs w:val="20"/>
                <w:lang w:eastAsia="en-CA"/>
              </w:rPr>
            </w:pPr>
            <w:r w:rsidRPr="00756D59">
              <w:rPr>
                <w:sz w:val="20"/>
                <w:szCs w:val="20"/>
                <w:lang w:eastAsia="en-CA"/>
              </w:rPr>
              <w:t>Finalization of country assessment report; conducting roundtable workshops and remaining training activities; finalization of the amendment to the draft regulation; and conducting a survey for cold chain database.</w:t>
            </w:r>
          </w:p>
        </w:tc>
        <w:tc>
          <w:tcPr>
            <w:tcW w:w="1629" w:type="dxa"/>
            <w:shd w:val="clear" w:color="auto" w:fill="auto"/>
            <w:tcMar>
              <w:left w:w="58" w:type="dxa"/>
              <w:right w:w="58" w:type="dxa"/>
            </w:tcMar>
          </w:tcPr>
          <w:p w14:paraId="0ED00597" w14:textId="77777777" w:rsidR="0028399A" w:rsidRPr="00756D59" w:rsidRDefault="0028399A" w:rsidP="00305D02">
            <w:pPr>
              <w:keepNext/>
              <w:jc w:val="center"/>
              <w:rPr>
                <w:sz w:val="20"/>
                <w:szCs w:val="20"/>
                <w:lang w:eastAsia="en-CA"/>
              </w:rPr>
            </w:pPr>
            <w:r w:rsidRPr="00756D59">
              <w:rPr>
                <w:sz w:val="20"/>
                <w:szCs w:val="20"/>
                <w:lang w:eastAsia="en-CA"/>
              </w:rPr>
              <w:t>Jun-22</w:t>
            </w:r>
          </w:p>
        </w:tc>
      </w:tr>
      <w:tr w:rsidR="0028399A" w:rsidRPr="00756D59" w14:paraId="4ED9045B" w14:textId="77777777" w:rsidTr="00305D02">
        <w:trPr>
          <w:trHeight w:val="337"/>
        </w:trPr>
        <w:tc>
          <w:tcPr>
            <w:tcW w:w="2261" w:type="dxa"/>
            <w:tcMar>
              <w:left w:w="58" w:type="dxa"/>
              <w:right w:w="58" w:type="dxa"/>
            </w:tcMar>
          </w:tcPr>
          <w:p w14:paraId="291DB501" w14:textId="77777777" w:rsidR="0028399A" w:rsidRPr="00756D59" w:rsidRDefault="0028399A" w:rsidP="00305D02">
            <w:pPr>
              <w:jc w:val="left"/>
              <w:rPr>
                <w:b/>
              </w:rPr>
            </w:pPr>
            <w:r w:rsidRPr="00756D59">
              <w:rPr>
                <w:b/>
              </w:rPr>
              <w:t>UNDP</w:t>
            </w:r>
          </w:p>
        </w:tc>
        <w:tc>
          <w:tcPr>
            <w:tcW w:w="3352" w:type="dxa"/>
            <w:tcMar>
              <w:left w:w="58" w:type="dxa"/>
              <w:right w:w="58" w:type="dxa"/>
            </w:tcMar>
          </w:tcPr>
          <w:p w14:paraId="73B5B3A3" w14:textId="77777777" w:rsidR="0028399A" w:rsidRPr="00756D59" w:rsidRDefault="0028399A" w:rsidP="00305D02">
            <w:pPr>
              <w:jc w:val="left"/>
              <w:rPr>
                <w:sz w:val="20"/>
                <w:szCs w:val="20"/>
                <w:lang w:eastAsia="en-CA"/>
              </w:rPr>
            </w:pPr>
          </w:p>
        </w:tc>
        <w:tc>
          <w:tcPr>
            <w:tcW w:w="1236" w:type="dxa"/>
            <w:tcMar>
              <w:left w:w="58" w:type="dxa"/>
              <w:right w:w="58" w:type="dxa"/>
            </w:tcMar>
          </w:tcPr>
          <w:p w14:paraId="1CB970F9" w14:textId="77777777" w:rsidR="0028399A" w:rsidRPr="00756D59" w:rsidRDefault="0028399A" w:rsidP="00305D02">
            <w:pPr>
              <w:jc w:val="center"/>
              <w:rPr>
                <w:sz w:val="20"/>
                <w:szCs w:val="20"/>
                <w:lang w:eastAsia="en-CA"/>
              </w:rPr>
            </w:pPr>
          </w:p>
        </w:tc>
        <w:tc>
          <w:tcPr>
            <w:tcW w:w="1305" w:type="dxa"/>
            <w:shd w:val="clear" w:color="auto" w:fill="auto"/>
            <w:tcMar>
              <w:left w:w="58" w:type="dxa"/>
              <w:right w:w="58" w:type="dxa"/>
            </w:tcMar>
          </w:tcPr>
          <w:p w14:paraId="112FC492" w14:textId="77777777" w:rsidR="0028399A" w:rsidRPr="00756D59" w:rsidRDefault="0028399A" w:rsidP="00305D02">
            <w:pPr>
              <w:jc w:val="center"/>
              <w:rPr>
                <w:sz w:val="20"/>
                <w:szCs w:val="20"/>
                <w:lang w:eastAsia="en-CA"/>
              </w:rPr>
            </w:pPr>
          </w:p>
        </w:tc>
        <w:tc>
          <w:tcPr>
            <w:tcW w:w="4531" w:type="dxa"/>
            <w:tcMar>
              <w:left w:w="58" w:type="dxa"/>
              <w:right w:w="58" w:type="dxa"/>
            </w:tcMar>
          </w:tcPr>
          <w:p w14:paraId="7094CCC8" w14:textId="77777777" w:rsidR="0028399A" w:rsidRPr="00756D59" w:rsidRDefault="0028399A" w:rsidP="00305D02">
            <w:pPr>
              <w:jc w:val="left"/>
              <w:rPr>
                <w:sz w:val="20"/>
                <w:szCs w:val="20"/>
                <w:lang w:eastAsia="en-CA"/>
              </w:rPr>
            </w:pPr>
          </w:p>
        </w:tc>
        <w:tc>
          <w:tcPr>
            <w:tcW w:w="1629" w:type="dxa"/>
            <w:shd w:val="clear" w:color="auto" w:fill="auto"/>
            <w:tcMar>
              <w:left w:w="58" w:type="dxa"/>
              <w:right w:w="58" w:type="dxa"/>
            </w:tcMar>
          </w:tcPr>
          <w:p w14:paraId="17811A42" w14:textId="77777777" w:rsidR="0028399A" w:rsidRPr="00756D59" w:rsidRDefault="0028399A" w:rsidP="00305D02">
            <w:pPr>
              <w:jc w:val="center"/>
              <w:rPr>
                <w:sz w:val="20"/>
                <w:szCs w:val="20"/>
                <w:lang w:eastAsia="en-CA"/>
              </w:rPr>
            </w:pPr>
          </w:p>
        </w:tc>
      </w:tr>
      <w:tr w:rsidR="0028399A" w:rsidRPr="00756D59" w14:paraId="422CBE0E" w14:textId="77777777" w:rsidTr="00305D02">
        <w:trPr>
          <w:trHeight w:val="337"/>
        </w:trPr>
        <w:tc>
          <w:tcPr>
            <w:tcW w:w="2261" w:type="dxa"/>
            <w:tcMar>
              <w:left w:w="58" w:type="dxa"/>
              <w:right w:w="58" w:type="dxa"/>
            </w:tcMar>
          </w:tcPr>
          <w:p w14:paraId="7689019B" w14:textId="77777777" w:rsidR="0028399A" w:rsidRPr="00756D59" w:rsidRDefault="0028399A" w:rsidP="00305D02">
            <w:pPr>
              <w:jc w:val="left"/>
              <w:rPr>
                <w:sz w:val="20"/>
                <w:szCs w:val="20"/>
                <w:lang w:eastAsia="en-CA"/>
              </w:rPr>
            </w:pPr>
            <w:r w:rsidRPr="00756D59">
              <w:rPr>
                <w:sz w:val="20"/>
                <w:szCs w:val="20"/>
                <w:lang w:eastAsia="en-CA"/>
              </w:rPr>
              <w:t xml:space="preserve">Bangladesh </w:t>
            </w:r>
          </w:p>
          <w:p w14:paraId="010F7C64" w14:textId="77777777" w:rsidR="0028399A" w:rsidRPr="00756D59" w:rsidRDefault="0028399A" w:rsidP="00305D02">
            <w:pPr>
              <w:jc w:val="left"/>
              <w:rPr>
                <w:b/>
                <w:sz w:val="20"/>
                <w:szCs w:val="20"/>
              </w:rPr>
            </w:pPr>
            <w:r w:rsidRPr="00756D59">
              <w:rPr>
                <w:sz w:val="20"/>
                <w:szCs w:val="20"/>
                <w:lang w:eastAsia="en-CA"/>
              </w:rPr>
              <w:t>BGD/SEV/81/TAS/52</w:t>
            </w:r>
          </w:p>
        </w:tc>
        <w:tc>
          <w:tcPr>
            <w:tcW w:w="3352" w:type="dxa"/>
            <w:tcMar>
              <w:left w:w="58" w:type="dxa"/>
              <w:right w:w="58" w:type="dxa"/>
            </w:tcMar>
          </w:tcPr>
          <w:p w14:paraId="4A23BD27"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81C5D2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32F951C" w14:textId="77777777" w:rsidR="0028399A" w:rsidRPr="00756D59" w:rsidRDefault="0028399A" w:rsidP="00305D02">
            <w:pPr>
              <w:jc w:val="center"/>
              <w:rPr>
                <w:sz w:val="20"/>
                <w:szCs w:val="20"/>
                <w:lang w:eastAsia="en-CA"/>
              </w:rPr>
            </w:pPr>
            <w:r w:rsidRPr="00756D59">
              <w:rPr>
                <w:sz w:val="20"/>
                <w:szCs w:val="20"/>
                <w:lang w:eastAsia="en-CA"/>
              </w:rPr>
              <w:t>23.2</w:t>
            </w:r>
          </w:p>
        </w:tc>
        <w:tc>
          <w:tcPr>
            <w:tcW w:w="4531" w:type="dxa"/>
            <w:tcMar>
              <w:left w:w="58" w:type="dxa"/>
              <w:right w:w="58" w:type="dxa"/>
            </w:tcMar>
          </w:tcPr>
          <w:p w14:paraId="6378467C" w14:textId="77777777" w:rsidR="0028399A" w:rsidRPr="00756D59" w:rsidRDefault="0028399A" w:rsidP="00305D02">
            <w:pPr>
              <w:jc w:val="left"/>
              <w:rPr>
                <w:sz w:val="20"/>
                <w:szCs w:val="20"/>
                <w:lang w:eastAsia="en-CA"/>
              </w:rPr>
            </w:pPr>
            <w:r w:rsidRPr="00756D59">
              <w:rPr>
                <w:sz w:val="20"/>
                <w:szCs w:val="20"/>
                <w:lang w:eastAsia="en-CA"/>
              </w:rPr>
              <w:t>Finalization of consultations after preparation of a national roadmap; and finalization of enabling activities report.</w:t>
            </w:r>
          </w:p>
        </w:tc>
        <w:tc>
          <w:tcPr>
            <w:tcW w:w="1629" w:type="dxa"/>
            <w:shd w:val="clear" w:color="auto" w:fill="auto"/>
            <w:tcMar>
              <w:left w:w="58" w:type="dxa"/>
              <w:right w:w="58" w:type="dxa"/>
            </w:tcMar>
          </w:tcPr>
          <w:p w14:paraId="1834F1CB" w14:textId="77777777" w:rsidR="0028399A" w:rsidRPr="00756D59" w:rsidRDefault="0028399A" w:rsidP="00305D02">
            <w:pPr>
              <w:jc w:val="center"/>
              <w:rPr>
                <w:sz w:val="20"/>
                <w:szCs w:val="20"/>
                <w:lang w:eastAsia="en-CA"/>
              </w:rPr>
            </w:pPr>
            <w:r w:rsidRPr="00756D59">
              <w:rPr>
                <w:sz w:val="20"/>
                <w:szCs w:val="20"/>
                <w:lang w:eastAsia="en-CA"/>
              </w:rPr>
              <w:t>Jun-22</w:t>
            </w:r>
          </w:p>
        </w:tc>
      </w:tr>
      <w:tr w:rsidR="0028399A" w:rsidRPr="00756D59" w14:paraId="2AA1D028" w14:textId="77777777" w:rsidTr="00305D02">
        <w:trPr>
          <w:trHeight w:val="337"/>
        </w:trPr>
        <w:tc>
          <w:tcPr>
            <w:tcW w:w="2261" w:type="dxa"/>
            <w:tcMar>
              <w:left w:w="58" w:type="dxa"/>
              <w:right w:w="58" w:type="dxa"/>
            </w:tcMar>
          </w:tcPr>
          <w:p w14:paraId="4983F999" w14:textId="77777777" w:rsidR="0028399A" w:rsidRPr="00756D59" w:rsidRDefault="0028399A" w:rsidP="00305D02">
            <w:pPr>
              <w:jc w:val="left"/>
              <w:rPr>
                <w:sz w:val="20"/>
                <w:szCs w:val="20"/>
                <w:lang w:eastAsia="en-CA"/>
              </w:rPr>
            </w:pPr>
            <w:r w:rsidRPr="00756D59">
              <w:rPr>
                <w:sz w:val="20"/>
                <w:szCs w:val="20"/>
                <w:lang w:eastAsia="en-CA"/>
              </w:rPr>
              <w:t xml:space="preserve">Chile </w:t>
            </w:r>
          </w:p>
          <w:p w14:paraId="670B4C9A" w14:textId="77777777" w:rsidR="0028399A" w:rsidRPr="00756D59" w:rsidRDefault="0028399A" w:rsidP="00305D02">
            <w:pPr>
              <w:jc w:val="left"/>
              <w:rPr>
                <w:sz w:val="20"/>
                <w:szCs w:val="20"/>
                <w:lang w:eastAsia="en-CA"/>
              </w:rPr>
            </w:pPr>
            <w:r w:rsidRPr="00756D59">
              <w:rPr>
                <w:sz w:val="20"/>
                <w:szCs w:val="20"/>
                <w:lang w:eastAsia="en-CA"/>
              </w:rPr>
              <w:t>CHI/SEV/80/TAS/03+</w:t>
            </w:r>
          </w:p>
        </w:tc>
        <w:tc>
          <w:tcPr>
            <w:tcW w:w="3352" w:type="dxa"/>
            <w:tcMar>
              <w:left w:w="58" w:type="dxa"/>
              <w:right w:w="58" w:type="dxa"/>
            </w:tcMar>
          </w:tcPr>
          <w:p w14:paraId="3786B0F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540120E"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6017582" w14:textId="77777777" w:rsidR="0028399A" w:rsidRPr="00756D59" w:rsidRDefault="0028399A" w:rsidP="00305D02">
            <w:pPr>
              <w:jc w:val="center"/>
              <w:rPr>
                <w:sz w:val="20"/>
                <w:szCs w:val="20"/>
                <w:lang w:eastAsia="en-CA"/>
              </w:rPr>
            </w:pPr>
            <w:r w:rsidRPr="00756D59">
              <w:rPr>
                <w:sz w:val="20"/>
                <w:szCs w:val="20"/>
                <w:lang w:eastAsia="en-CA"/>
              </w:rPr>
              <w:t>100</w:t>
            </w:r>
          </w:p>
        </w:tc>
        <w:tc>
          <w:tcPr>
            <w:tcW w:w="4531" w:type="dxa"/>
            <w:tcMar>
              <w:left w:w="58" w:type="dxa"/>
              <w:right w:w="58" w:type="dxa"/>
            </w:tcMar>
          </w:tcPr>
          <w:p w14:paraId="4105CE93" w14:textId="77777777" w:rsidR="0028399A" w:rsidRPr="00756D59" w:rsidRDefault="0028399A" w:rsidP="00305D02">
            <w:pPr>
              <w:jc w:val="left"/>
              <w:rPr>
                <w:sz w:val="20"/>
                <w:szCs w:val="20"/>
                <w:lang w:eastAsia="en-CA"/>
              </w:rPr>
            </w:pPr>
            <w:r w:rsidRPr="00756D59">
              <w:rPr>
                <w:sz w:val="20"/>
                <w:szCs w:val="20"/>
                <w:lang w:eastAsia="en-CA"/>
              </w:rPr>
              <w:t xml:space="preserve">Providing support to the customs authorities on the identification and control of HFCs; awareness raising activities; and additional workshops with stakeholders on control measures related to HFCs. </w:t>
            </w:r>
          </w:p>
        </w:tc>
        <w:tc>
          <w:tcPr>
            <w:tcW w:w="1629" w:type="dxa"/>
            <w:shd w:val="clear" w:color="auto" w:fill="auto"/>
            <w:tcMar>
              <w:left w:w="58" w:type="dxa"/>
              <w:right w:w="58" w:type="dxa"/>
            </w:tcMar>
          </w:tcPr>
          <w:p w14:paraId="16D2A8C8" w14:textId="77777777" w:rsidR="0028399A" w:rsidRPr="00756D59" w:rsidRDefault="0028399A" w:rsidP="00305D02">
            <w:pPr>
              <w:jc w:val="center"/>
              <w:rPr>
                <w:sz w:val="20"/>
                <w:szCs w:val="20"/>
                <w:lang w:eastAsia="en-CA"/>
              </w:rPr>
            </w:pPr>
            <w:r w:rsidRPr="00756D59">
              <w:rPr>
                <w:sz w:val="20"/>
                <w:szCs w:val="20"/>
                <w:lang w:eastAsia="en-CA"/>
              </w:rPr>
              <w:t>Jun-22</w:t>
            </w:r>
          </w:p>
        </w:tc>
      </w:tr>
      <w:tr w:rsidR="0028399A" w:rsidRPr="00756D59" w14:paraId="03465612" w14:textId="77777777" w:rsidTr="00305D02">
        <w:trPr>
          <w:trHeight w:val="337"/>
        </w:trPr>
        <w:tc>
          <w:tcPr>
            <w:tcW w:w="2261" w:type="dxa"/>
            <w:tcMar>
              <w:left w:w="58" w:type="dxa"/>
              <w:right w:w="58" w:type="dxa"/>
            </w:tcMar>
          </w:tcPr>
          <w:p w14:paraId="1CBB5DA8" w14:textId="77777777" w:rsidR="0028399A" w:rsidRPr="00756D59" w:rsidRDefault="0028399A" w:rsidP="00305D02">
            <w:pPr>
              <w:jc w:val="left"/>
              <w:rPr>
                <w:sz w:val="20"/>
                <w:szCs w:val="20"/>
                <w:lang w:eastAsia="en-CA"/>
              </w:rPr>
            </w:pPr>
            <w:r w:rsidRPr="00756D59">
              <w:rPr>
                <w:sz w:val="20"/>
                <w:szCs w:val="20"/>
                <w:lang w:eastAsia="en-CA"/>
              </w:rPr>
              <w:t xml:space="preserve">Cuba </w:t>
            </w:r>
          </w:p>
          <w:p w14:paraId="5B04C8AD" w14:textId="77777777" w:rsidR="0028399A" w:rsidRPr="00756D59" w:rsidRDefault="0028399A" w:rsidP="00305D02">
            <w:pPr>
              <w:jc w:val="left"/>
              <w:rPr>
                <w:sz w:val="20"/>
                <w:szCs w:val="20"/>
                <w:lang w:eastAsia="en-CA"/>
              </w:rPr>
            </w:pPr>
            <w:r w:rsidRPr="00756D59">
              <w:rPr>
                <w:sz w:val="20"/>
                <w:szCs w:val="20"/>
                <w:lang w:eastAsia="en-CA"/>
              </w:rPr>
              <w:t>CUB/SEV/81/TAS/57</w:t>
            </w:r>
          </w:p>
        </w:tc>
        <w:tc>
          <w:tcPr>
            <w:tcW w:w="3352" w:type="dxa"/>
            <w:tcMar>
              <w:left w:w="58" w:type="dxa"/>
              <w:right w:w="58" w:type="dxa"/>
            </w:tcMar>
          </w:tcPr>
          <w:p w14:paraId="61937C1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20CB075"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BDA6F7D" w14:textId="77777777" w:rsidR="0028399A" w:rsidRPr="00756D59" w:rsidRDefault="0028399A" w:rsidP="00305D02">
            <w:pPr>
              <w:jc w:val="center"/>
              <w:rPr>
                <w:sz w:val="20"/>
                <w:szCs w:val="20"/>
                <w:lang w:eastAsia="en-CA"/>
              </w:rPr>
            </w:pPr>
            <w:r w:rsidRPr="00756D59">
              <w:rPr>
                <w:sz w:val="20"/>
                <w:szCs w:val="20"/>
                <w:lang w:eastAsia="en-CA"/>
              </w:rPr>
              <w:t>39</w:t>
            </w:r>
          </w:p>
        </w:tc>
        <w:tc>
          <w:tcPr>
            <w:tcW w:w="4531" w:type="dxa"/>
            <w:tcMar>
              <w:left w:w="58" w:type="dxa"/>
              <w:right w:w="58" w:type="dxa"/>
            </w:tcMar>
          </w:tcPr>
          <w:p w14:paraId="35F3F955" w14:textId="77777777" w:rsidR="0028399A" w:rsidRPr="00756D59" w:rsidRDefault="0028399A" w:rsidP="00305D02">
            <w:pPr>
              <w:jc w:val="left"/>
              <w:rPr>
                <w:sz w:val="20"/>
                <w:szCs w:val="20"/>
                <w:lang w:eastAsia="en-CA"/>
              </w:rPr>
            </w:pPr>
            <w:r w:rsidRPr="00756D59">
              <w:rPr>
                <w:sz w:val="20"/>
                <w:szCs w:val="20"/>
                <w:lang w:eastAsia="en-CA"/>
              </w:rPr>
              <w:t xml:space="preserve">Finalization of the draft national strategy for phasing down HFCs including the assessment of the servicing sector needs and distribution of promotional material. </w:t>
            </w:r>
          </w:p>
        </w:tc>
        <w:tc>
          <w:tcPr>
            <w:tcW w:w="1629" w:type="dxa"/>
            <w:shd w:val="clear" w:color="auto" w:fill="auto"/>
            <w:tcMar>
              <w:left w:w="58" w:type="dxa"/>
              <w:right w:w="58" w:type="dxa"/>
            </w:tcMar>
          </w:tcPr>
          <w:p w14:paraId="6BB11382"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1F7AF517" w14:textId="77777777" w:rsidTr="00305D02">
        <w:trPr>
          <w:trHeight w:val="337"/>
        </w:trPr>
        <w:tc>
          <w:tcPr>
            <w:tcW w:w="2261" w:type="dxa"/>
            <w:tcMar>
              <w:left w:w="58" w:type="dxa"/>
              <w:right w:w="58" w:type="dxa"/>
            </w:tcMar>
          </w:tcPr>
          <w:p w14:paraId="3C609D1F" w14:textId="77777777" w:rsidR="0028399A" w:rsidRPr="00756D59" w:rsidRDefault="0028399A" w:rsidP="00305D02">
            <w:pPr>
              <w:jc w:val="left"/>
              <w:rPr>
                <w:sz w:val="20"/>
                <w:szCs w:val="20"/>
                <w:lang w:val="es-419" w:eastAsia="en-CA"/>
              </w:rPr>
            </w:pPr>
            <w:r w:rsidRPr="00756D59">
              <w:rPr>
                <w:sz w:val="20"/>
                <w:szCs w:val="20"/>
                <w:lang w:val="es-419" w:eastAsia="en-CA"/>
              </w:rPr>
              <w:t xml:space="preserve">El Salvador </w:t>
            </w:r>
          </w:p>
          <w:p w14:paraId="61788B06" w14:textId="77777777" w:rsidR="0028399A" w:rsidRPr="00756D59" w:rsidRDefault="0028399A" w:rsidP="00305D02">
            <w:pPr>
              <w:jc w:val="left"/>
              <w:rPr>
                <w:sz w:val="20"/>
                <w:szCs w:val="20"/>
                <w:lang w:val="es-419" w:eastAsia="en-CA"/>
              </w:rPr>
            </w:pPr>
            <w:r w:rsidRPr="00756D59">
              <w:rPr>
                <w:sz w:val="20"/>
                <w:szCs w:val="20"/>
                <w:lang w:val="es-419" w:eastAsia="en-CA"/>
              </w:rPr>
              <w:t>ELS/SEV/81/TAS/37</w:t>
            </w:r>
          </w:p>
        </w:tc>
        <w:tc>
          <w:tcPr>
            <w:tcW w:w="3352" w:type="dxa"/>
            <w:tcMar>
              <w:left w:w="58" w:type="dxa"/>
              <w:right w:w="58" w:type="dxa"/>
            </w:tcMar>
          </w:tcPr>
          <w:p w14:paraId="687A511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7853552"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C5B6874" w14:textId="77777777" w:rsidR="0028399A" w:rsidRPr="00756D59" w:rsidRDefault="0028399A" w:rsidP="00305D02">
            <w:pPr>
              <w:jc w:val="center"/>
              <w:rPr>
                <w:sz w:val="20"/>
                <w:szCs w:val="20"/>
                <w:lang w:eastAsia="en-CA"/>
              </w:rPr>
            </w:pPr>
            <w:r w:rsidRPr="00756D59">
              <w:rPr>
                <w:sz w:val="20"/>
                <w:szCs w:val="20"/>
                <w:lang w:eastAsia="en-CA"/>
              </w:rPr>
              <w:t>57.2</w:t>
            </w:r>
          </w:p>
        </w:tc>
        <w:tc>
          <w:tcPr>
            <w:tcW w:w="4531" w:type="dxa"/>
            <w:tcMar>
              <w:left w:w="58" w:type="dxa"/>
              <w:right w:w="58" w:type="dxa"/>
            </w:tcMar>
          </w:tcPr>
          <w:p w14:paraId="29C2DF91" w14:textId="77777777" w:rsidR="0028399A" w:rsidRPr="00756D59" w:rsidRDefault="0028399A" w:rsidP="00305D02">
            <w:pPr>
              <w:jc w:val="left"/>
              <w:rPr>
                <w:sz w:val="20"/>
                <w:szCs w:val="20"/>
                <w:lang w:eastAsia="en-CA"/>
              </w:rPr>
            </w:pPr>
            <w:r w:rsidRPr="00756D59">
              <w:rPr>
                <w:sz w:val="20"/>
                <w:szCs w:val="20"/>
                <w:lang w:eastAsia="en-CA"/>
              </w:rPr>
              <w:t xml:space="preserve">Finalization of the draft national strategy for phasing down HFCs including the assessment of the servicing sector needs and distribution of promotional material. </w:t>
            </w:r>
          </w:p>
        </w:tc>
        <w:tc>
          <w:tcPr>
            <w:tcW w:w="1629" w:type="dxa"/>
            <w:shd w:val="clear" w:color="auto" w:fill="auto"/>
            <w:tcMar>
              <w:left w:w="58" w:type="dxa"/>
              <w:right w:w="58" w:type="dxa"/>
            </w:tcMar>
          </w:tcPr>
          <w:p w14:paraId="340784B5"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78F434CC" w14:textId="77777777" w:rsidTr="00305D02">
        <w:trPr>
          <w:trHeight w:val="337"/>
        </w:trPr>
        <w:tc>
          <w:tcPr>
            <w:tcW w:w="2261" w:type="dxa"/>
            <w:tcMar>
              <w:left w:w="58" w:type="dxa"/>
              <w:right w:w="58" w:type="dxa"/>
            </w:tcMar>
          </w:tcPr>
          <w:p w14:paraId="4B1924F5" w14:textId="77777777" w:rsidR="0028399A" w:rsidRPr="00756D59" w:rsidRDefault="0028399A" w:rsidP="00305D02">
            <w:pPr>
              <w:jc w:val="left"/>
              <w:rPr>
                <w:sz w:val="20"/>
                <w:szCs w:val="20"/>
                <w:lang w:eastAsia="en-CA"/>
              </w:rPr>
            </w:pPr>
            <w:r w:rsidRPr="00756D59">
              <w:rPr>
                <w:sz w:val="20"/>
                <w:szCs w:val="20"/>
                <w:lang w:eastAsia="en-CA"/>
              </w:rPr>
              <w:t xml:space="preserve">Fiji </w:t>
            </w:r>
          </w:p>
          <w:p w14:paraId="1EABAE49" w14:textId="77777777" w:rsidR="0028399A" w:rsidRPr="00756D59" w:rsidRDefault="0028399A" w:rsidP="00305D02">
            <w:pPr>
              <w:jc w:val="left"/>
              <w:rPr>
                <w:sz w:val="20"/>
                <w:szCs w:val="20"/>
                <w:lang w:eastAsia="en-CA"/>
              </w:rPr>
            </w:pPr>
            <w:r w:rsidRPr="00756D59">
              <w:rPr>
                <w:sz w:val="20"/>
                <w:szCs w:val="20"/>
                <w:lang w:eastAsia="en-CA"/>
              </w:rPr>
              <w:t>FIJ/SEV/80/TAS/01+</w:t>
            </w:r>
          </w:p>
        </w:tc>
        <w:tc>
          <w:tcPr>
            <w:tcW w:w="3352" w:type="dxa"/>
            <w:tcMar>
              <w:left w:w="58" w:type="dxa"/>
              <w:right w:w="58" w:type="dxa"/>
            </w:tcMar>
          </w:tcPr>
          <w:p w14:paraId="3B49F3D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1C90B2"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5E7AD5F" w14:textId="77777777" w:rsidR="0028399A" w:rsidRPr="00756D59" w:rsidRDefault="0028399A" w:rsidP="00305D02">
            <w:pPr>
              <w:jc w:val="center"/>
              <w:rPr>
                <w:sz w:val="20"/>
                <w:szCs w:val="20"/>
                <w:lang w:eastAsia="en-CA"/>
              </w:rPr>
            </w:pPr>
            <w:r w:rsidRPr="00756D59">
              <w:rPr>
                <w:sz w:val="20"/>
                <w:szCs w:val="20"/>
                <w:lang w:eastAsia="en-CA"/>
              </w:rPr>
              <w:t>97.8</w:t>
            </w:r>
          </w:p>
        </w:tc>
        <w:tc>
          <w:tcPr>
            <w:tcW w:w="4531" w:type="dxa"/>
            <w:tcMar>
              <w:left w:w="58" w:type="dxa"/>
              <w:right w:w="58" w:type="dxa"/>
            </w:tcMar>
          </w:tcPr>
          <w:p w14:paraId="43F2CB89" w14:textId="77777777" w:rsidR="0028399A" w:rsidRPr="00756D59" w:rsidRDefault="0028399A" w:rsidP="00305D02">
            <w:pPr>
              <w:jc w:val="left"/>
              <w:rPr>
                <w:sz w:val="20"/>
                <w:szCs w:val="20"/>
                <w:lang w:eastAsia="en-CA"/>
              </w:rPr>
            </w:pPr>
            <w:r w:rsidRPr="00756D59">
              <w:rPr>
                <w:sz w:val="20"/>
                <w:szCs w:val="20"/>
                <w:lang w:eastAsia="en-CA"/>
              </w:rPr>
              <w:t>Organizing final consultation meeting; finalization of market assessment report after consolidation of all information; and finalization of enabling activities report.</w:t>
            </w:r>
          </w:p>
        </w:tc>
        <w:tc>
          <w:tcPr>
            <w:tcW w:w="1629" w:type="dxa"/>
            <w:shd w:val="clear" w:color="auto" w:fill="auto"/>
            <w:tcMar>
              <w:left w:w="58" w:type="dxa"/>
              <w:right w:w="58" w:type="dxa"/>
            </w:tcMar>
          </w:tcPr>
          <w:p w14:paraId="54771F2F" w14:textId="77777777" w:rsidR="0028399A" w:rsidRPr="00756D59" w:rsidRDefault="0028399A" w:rsidP="00305D02">
            <w:pPr>
              <w:jc w:val="center"/>
              <w:rPr>
                <w:sz w:val="20"/>
                <w:szCs w:val="20"/>
                <w:lang w:eastAsia="en-CA"/>
              </w:rPr>
            </w:pPr>
            <w:r w:rsidRPr="00756D59">
              <w:rPr>
                <w:sz w:val="20"/>
                <w:szCs w:val="20"/>
                <w:lang w:eastAsia="en-CA"/>
              </w:rPr>
              <w:t>Aug-21</w:t>
            </w:r>
          </w:p>
        </w:tc>
      </w:tr>
      <w:tr w:rsidR="0028399A" w:rsidRPr="00756D59" w14:paraId="1974E2DD" w14:textId="77777777" w:rsidTr="00305D02">
        <w:trPr>
          <w:trHeight w:val="337"/>
        </w:trPr>
        <w:tc>
          <w:tcPr>
            <w:tcW w:w="2261" w:type="dxa"/>
            <w:tcMar>
              <w:left w:w="58" w:type="dxa"/>
              <w:right w:w="58" w:type="dxa"/>
            </w:tcMar>
          </w:tcPr>
          <w:p w14:paraId="4B9A776F" w14:textId="77777777" w:rsidR="0028399A" w:rsidRPr="00756D59" w:rsidRDefault="0028399A" w:rsidP="00305D02">
            <w:pPr>
              <w:jc w:val="left"/>
              <w:rPr>
                <w:sz w:val="20"/>
                <w:szCs w:val="20"/>
                <w:lang w:eastAsia="en-CA"/>
              </w:rPr>
            </w:pPr>
            <w:r w:rsidRPr="00756D59">
              <w:rPr>
                <w:sz w:val="20"/>
                <w:szCs w:val="20"/>
                <w:lang w:eastAsia="en-CA"/>
              </w:rPr>
              <w:t>Iran (Islamic Republic of)</w:t>
            </w:r>
          </w:p>
          <w:p w14:paraId="7FE4CAF1" w14:textId="77777777" w:rsidR="0028399A" w:rsidRPr="00756D59" w:rsidRDefault="0028399A" w:rsidP="00305D02">
            <w:pPr>
              <w:jc w:val="left"/>
              <w:rPr>
                <w:sz w:val="20"/>
                <w:szCs w:val="20"/>
                <w:lang w:eastAsia="en-CA"/>
              </w:rPr>
            </w:pPr>
            <w:r w:rsidRPr="00756D59">
              <w:rPr>
                <w:sz w:val="20"/>
                <w:szCs w:val="20"/>
                <w:lang w:eastAsia="en-CA"/>
              </w:rPr>
              <w:t>IRA/SEV/82/TAS/232</w:t>
            </w:r>
          </w:p>
        </w:tc>
        <w:tc>
          <w:tcPr>
            <w:tcW w:w="3352" w:type="dxa"/>
            <w:tcMar>
              <w:left w:w="58" w:type="dxa"/>
              <w:right w:w="58" w:type="dxa"/>
            </w:tcMar>
          </w:tcPr>
          <w:p w14:paraId="074A75C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E959222"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5B1414B1" w14:textId="77777777" w:rsidR="0028399A" w:rsidRPr="00756D59" w:rsidRDefault="0028399A" w:rsidP="00305D02">
            <w:pPr>
              <w:jc w:val="center"/>
              <w:rPr>
                <w:sz w:val="20"/>
                <w:szCs w:val="20"/>
                <w:lang w:eastAsia="en-CA"/>
              </w:rPr>
            </w:pPr>
            <w:r w:rsidRPr="00756D59">
              <w:rPr>
                <w:sz w:val="20"/>
                <w:szCs w:val="20"/>
                <w:lang w:eastAsia="en-CA"/>
              </w:rPr>
              <w:t>35.6</w:t>
            </w:r>
          </w:p>
        </w:tc>
        <w:tc>
          <w:tcPr>
            <w:tcW w:w="4531" w:type="dxa"/>
            <w:tcMar>
              <w:left w:w="58" w:type="dxa"/>
              <w:right w:w="58" w:type="dxa"/>
            </w:tcMar>
          </w:tcPr>
          <w:p w14:paraId="2C6AAB2F" w14:textId="77777777" w:rsidR="0028399A" w:rsidRPr="00756D59" w:rsidRDefault="0028399A" w:rsidP="00305D02">
            <w:pPr>
              <w:jc w:val="left"/>
              <w:rPr>
                <w:sz w:val="20"/>
                <w:szCs w:val="20"/>
                <w:lang w:eastAsia="en-CA"/>
              </w:rPr>
            </w:pPr>
            <w:r w:rsidRPr="00756D59">
              <w:rPr>
                <w:sz w:val="20"/>
                <w:szCs w:val="20"/>
                <w:lang w:eastAsia="en-CA"/>
              </w:rPr>
              <w:t>Conducting market assessment of the refrigeration servicing sector and use of alternatives; preparation and finalization of national roadmap; final consultation meeting; and finalization of enabling activities report.</w:t>
            </w:r>
          </w:p>
        </w:tc>
        <w:tc>
          <w:tcPr>
            <w:tcW w:w="1629" w:type="dxa"/>
            <w:shd w:val="clear" w:color="auto" w:fill="auto"/>
            <w:tcMar>
              <w:left w:w="58" w:type="dxa"/>
              <w:right w:w="58" w:type="dxa"/>
            </w:tcMar>
          </w:tcPr>
          <w:p w14:paraId="1335FE99" w14:textId="77777777" w:rsidR="0028399A" w:rsidRPr="00756D59" w:rsidRDefault="0028399A" w:rsidP="00305D02">
            <w:pPr>
              <w:jc w:val="center"/>
              <w:rPr>
                <w:sz w:val="20"/>
                <w:szCs w:val="20"/>
                <w:lang w:eastAsia="en-CA"/>
              </w:rPr>
            </w:pPr>
            <w:r w:rsidRPr="00756D59">
              <w:rPr>
                <w:sz w:val="20"/>
                <w:szCs w:val="20"/>
                <w:lang w:eastAsia="en-CA"/>
              </w:rPr>
              <w:t>Mar-22</w:t>
            </w:r>
          </w:p>
        </w:tc>
      </w:tr>
      <w:tr w:rsidR="0028399A" w:rsidRPr="00756D59" w14:paraId="6469782D" w14:textId="77777777" w:rsidTr="00305D02">
        <w:trPr>
          <w:trHeight w:val="337"/>
        </w:trPr>
        <w:tc>
          <w:tcPr>
            <w:tcW w:w="2261" w:type="dxa"/>
            <w:tcMar>
              <w:left w:w="58" w:type="dxa"/>
              <w:right w:w="58" w:type="dxa"/>
            </w:tcMar>
          </w:tcPr>
          <w:p w14:paraId="3430035D" w14:textId="77777777" w:rsidR="0028399A" w:rsidRPr="00756D59" w:rsidRDefault="0028399A" w:rsidP="00305D02">
            <w:pPr>
              <w:jc w:val="left"/>
              <w:rPr>
                <w:sz w:val="20"/>
                <w:szCs w:val="20"/>
                <w:lang w:eastAsia="en-CA"/>
              </w:rPr>
            </w:pPr>
            <w:r w:rsidRPr="00756D59">
              <w:rPr>
                <w:sz w:val="20"/>
                <w:szCs w:val="20"/>
                <w:lang w:eastAsia="en-CA"/>
              </w:rPr>
              <w:t xml:space="preserve">Panama </w:t>
            </w:r>
          </w:p>
          <w:p w14:paraId="30FDE0C6" w14:textId="77777777" w:rsidR="0028399A" w:rsidRPr="00756D59" w:rsidRDefault="0028399A" w:rsidP="00305D02">
            <w:pPr>
              <w:jc w:val="left"/>
              <w:rPr>
                <w:sz w:val="20"/>
                <w:szCs w:val="20"/>
                <w:lang w:eastAsia="en-CA"/>
              </w:rPr>
            </w:pPr>
            <w:r w:rsidRPr="00756D59">
              <w:rPr>
                <w:sz w:val="20"/>
                <w:szCs w:val="20"/>
                <w:lang w:eastAsia="en-CA"/>
              </w:rPr>
              <w:t>PAN/SEV/81/TAS/46</w:t>
            </w:r>
          </w:p>
        </w:tc>
        <w:tc>
          <w:tcPr>
            <w:tcW w:w="3352" w:type="dxa"/>
            <w:tcMar>
              <w:left w:w="58" w:type="dxa"/>
              <w:right w:w="58" w:type="dxa"/>
            </w:tcMar>
          </w:tcPr>
          <w:p w14:paraId="16A4EB8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FECDE48"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D183F21" w14:textId="77777777" w:rsidR="0028399A" w:rsidRPr="00756D59" w:rsidRDefault="0028399A" w:rsidP="00305D02">
            <w:pPr>
              <w:jc w:val="center"/>
              <w:rPr>
                <w:sz w:val="20"/>
                <w:szCs w:val="20"/>
                <w:lang w:eastAsia="en-CA"/>
              </w:rPr>
            </w:pPr>
            <w:r w:rsidRPr="00756D59">
              <w:rPr>
                <w:sz w:val="20"/>
                <w:szCs w:val="20"/>
                <w:lang w:eastAsia="en-CA"/>
              </w:rPr>
              <w:t>76.3</w:t>
            </w:r>
          </w:p>
        </w:tc>
        <w:tc>
          <w:tcPr>
            <w:tcW w:w="4531" w:type="dxa"/>
            <w:tcMar>
              <w:left w:w="58" w:type="dxa"/>
              <w:right w:w="58" w:type="dxa"/>
            </w:tcMar>
          </w:tcPr>
          <w:p w14:paraId="363AC010" w14:textId="77777777" w:rsidR="0028399A" w:rsidRPr="00756D59" w:rsidRDefault="0028399A" w:rsidP="00305D02">
            <w:pPr>
              <w:jc w:val="left"/>
              <w:rPr>
                <w:sz w:val="20"/>
                <w:szCs w:val="20"/>
                <w:lang w:eastAsia="en-CA"/>
              </w:rPr>
            </w:pPr>
            <w:r w:rsidRPr="00756D59">
              <w:rPr>
                <w:sz w:val="20"/>
                <w:szCs w:val="20"/>
                <w:lang w:eastAsia="en-CA"/>
              </w:rPr>
              <w:t xml:space="preserve">Conducting a </w:t>
            </w:r>
            <w:proofErr w:type="spellStart"/>
            <w:r w:rsidRPr="00756D59">
              <w:rPr>
                <w:sz w:val="20"/>
                <w:szCs w:val="20"/>
                <w:lang w:eastAsia="en-CA"/>
              </w:rPr>
              <w:t>multisectoral</w:t>
            </w:r>
            <w:proofErr w:type="spellEnd"/>
            <w:r w:rsidRPr="00756D59">
              <w:rPr>
                <w:sz w:val="20"/>
                <w:szCs w:val="20"/>
                <w:lang w:eastAsia="en-CA"/>
              </w:rPr>
              <w:t xml:space="preserve"> coordination group meeting to present the draft national strategy for phasing down HFCs to stakeholders; and distribution of promotional material.</w:t>
            </w:r>
          </w:p>
        </w:tc>
        <w:tc>
          <w:tcPr>
            <w:tcW w:w="1629" w:type="dxa"/>
            <w:shd w:val="clear" w:color="auto" w:fill="auto"/>
            <w:tcMar>
              <w:left w:w="58" w:type="dxa"/>
              <w:right w:w="58" w:type="dxa"/>
            </w:tcMar>
          </w:tcPr>
          <w:p w14:paraId="06E6EEF2" w14:textId="77777777" w:rsidR="0028399A" w:rsidRPr="00756D59" w:rsidRDefault="0028399A" w:rsidP="00305D02">
            <w:pPr>
              <w:jc w:val="center"/>
              <w:rPr>
                <w:sz w:val="20"/>
                <w:szCs w:val="20"/>
                <w:lang w:eastAsia="en-CA"/>
              </w:rPr>
            </w:pPr>
            <w:r w:rsidRPr="00756D59">
              <w:rPr>
                <w:sz w:val="20"/>
                <w:szCs w:val="20"/>
                <w:lang w:eastAsia="en-CA"/>
              </w:rPr>
              <w:t>Sep-21</w:t>
            </w:r>
          </w:p>
        </w:tc>
      </w:tr>
      <w:tr w:rsidR="0028399A" w:rsidRPr="00756D59" w14:paraId="3D3706FC" w14:textId="77777777" w:rsidTr="00305D02">
        <w:trPr>
          <w:trHeight w:val="337"/>
        </w:trPr>
        <w:tc>
          <w:tcPr>
            <w:tcW w:w="2261" w:type="dxa"/>
            <w:tcMar>
              <w:left w:w="58" w:type="dxa"/>
              <w:right w:w="58" w:type="dxa"/>
            </w:tcMar>
          </w:tcPr>
          <w:p w14:paraId="3D345461" w14:textId="77777777" w:rsidR="0028399A" w:rsidRPr="00756D59" w:rsidRDefault="0028399A" w:rsidP="00305D02">
            <w:pPr>
              <w:jc w:val="left"/>
              <w:rPr>
                <w:sz w:val="20"/>
                <w:szCs w:val="20"/>
                <w:lang w:eastAsia="en-CA"/>
              </w:rPr>
            </w:pPr>
            <w:r w:rsidRPr="00756D59">
              <w:rPr>
                <w:sz w:val="20"/>
                <w:szCs w:val="20"/>
                <w:lang w:eastAsia="en-CA"/>
              </w:rPr>
              <w:t xml:space="preserve">Paraguay </w:t>
            </w:r>
          </w:p>
          <w:p w14:paraId="1B95D4A6" w14:textId="77777777" w:rsidR="0028399A" w:rsidRPr="00756D59" w:rsidRDefault="0028399A" w:rsidP="00305D02">
            <w:pPr>
              <w:jc w:val="left"/>
              <w:rPr>
                <w:sz w:val="20"/>
                <w:szCs w:val="20"/>
                <w:lang w:eastAsia="en-CA"/>
              </w:rPr>
            </w:pPr>
            <w:r w:rsidRPr="00756D59">
              <w:rPr>
                <w:sz w:val="20"/>
                <w:szCs w:val="20"/>
                <w:lang w:eastAsia="en-CA"/>
              </w:rPr>
              <w:t>PAR/SEV/81/TAS/01+</w:t>
            </w:r>
          </w:p>
        </w:tc>
        <w:tc>
          <w:tcPr>
            <w:tcW w:w="3352" w:type="dxa"/>
            <w:tcMar>
              <w:left w:w="58" w:type="dxa"/>
              <w:right w:w="58" w:type="dxa"/>
            </w:tcMar>
          </w:tcPr>
          <w:p w14:paraId="5E0B9BC0"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E62FE78"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6C94D1C" w14:textId="77777777" w:rsidR="0028399A" w:rsidRPr="00756D59" w:rsidRDefault="0028399A" w:rsidP="00305D02">
            <w:pPr>
              <w:jc w:val="center"/>
              <w:rPr>
                <w:sz w:val="20"/>
                <w:szCs w:val="20"/>
                <w:lang w:eastAsia="en-CA"/>
              </w:rPr>
            </w:pPr>
            <w:r w:rsidRPr="00756D59">
              <w:rPr>
                <w:sz w:val="20"/>
                <w:szCs w:val="20"/>
                <w:lang w:eastAsia="en-CA"/>
              </w:rPr>
              <w:t>100.6</w:t>
            </w:r>
          </w:p>
        </w:tc>
        <w:tc>
          <w:tcPr>
            <w:tcW w:w="4531" w:type="dxa"/>
            <w:tcMar>
              <w:left w:w="58" w:type="dxa"/>
              <w:right w:w="58" w:type="dxa"/>
            </w:tcMar>
          </w:tcPr>
          <w:p w14:paraId="63A00D67" w14:textId="77777777" w:rsidR="0028399A" w:rsidRPr="00756D59" w:rsidRDefault="0028399A" w:rsidP="00305D02">
            <w:pPr>
              <w:jc w:val="left"/>
              <w:rPr>
                <w:sz w:val="20"/>
                <w:szCs w:val="20"/>
                <w:lang w:eastAsia="en-CA"/>
              </w:rPr>
            </w:pPr>
            <w:r w:rsidRPr="00756D59">
              <w:rPr>
                <w:sz w:val="20"/>
                <w:szCs w:val="20"/>
                <w:lang w:eastAsia="en-CA"/>
              </w:rPr>
              <w:t>Finalization of the assessment of the RAC sector needs; and information outreach and knowledge sharing with stakeholders in the RAC, foam and firefighting sectors on the alternatives to HFCs.</w:t>
            </w:r>
          </w:p>
        </w:tc>
        <w:tc>
          <w:tcPr>
            <w:tcW w:w="1629" w:type="dxa"/>
            <w:shd w:val="clear" w:color="auto" w:fill="auto"/>
            <w:tcMar>
              <w:left w:w="58" w:type="dxa"/>
              <w:right w:w="58" w:type="dxa"/>
            </w:tcMar>
          </w:tcPr>
          <w:p w14:paraId="0E2F0748"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56286909" w14:textId="77777777" w:rsidTr="00305D02">
        <w:trPr>
          <w:trHeight w:val="337"/>
        </w:trPr>
        <w:tc>
          <w:tcPr>
            <w:tcW w:w="2261" w:type="dxa"/>
            <w:tcMar>
              <w:left w:w="58" w:type="dxa"/>
              <w:right w:w="58" w:type="dxa"/>
            </w:tcMar>
          </w:tcPr>
          <w:p w14:paraId="0313C35F" w14:textId="77777777" w:rsidR="0028399A" w:rsidRPr="00756D59" w:rsidRDefault="0028399A" w:rsidP="00305D02">
            <w:pPr>
              <w:jc w:val="left"/>
              <w:rPr>
                <w:sz w:val="20"/>
                <w:szCs w:val="20"/>
                <w:lang w:eastAsia="en-CA"/>
              </w:rPr>
            </w:pPr>
            <w:r w:rsidRPr="00756D59">
              <w:rPr>
                <w:sz w:val="20"/>
                <w:szCs w:val="20"/>
                <w:lang w:eastAsia="en-CA"/>
              </w:rPr>
              <w:lastRenderedPageBreak/>
              <w:t xml:space="preserve">Uruguay </w:t>
            </w:r>
          </w:p>
          <w:p w14:paraId="283AD47A" w14:textId="77777777" w:rsidR="0028399A" w:rsidRPr="00756D59" w:rsidRDefault="0028399A" w:rsidP="00305D02">
            <w:pPr>
              <w:jc w:val="left"/>
              <w:rPr>
                <w:sz w:val="20"/>
                <w:szCs w:val="20"/>
                <w:lang w:eastAsia="en-CA"/>
              </w:rPr>
            </w:pPr>
            <w:r w:rsidRPr="00756D59">
              <w:rPr>
                <w:sz w:val="20"/>
                <w:szCs w:val="20"/>
                <w:lang w:eastAsia="en-CA"/>
              </w:rPr>
              <w:t>URU/SEV/80/TAS/02+</w:t>
            </w:r>
          </w:p>
        </w:tc>
        <w:tc>
          <w:tcPr>
            <w:tcW w:w="3352" w:type="dxa"/>
            <w:tcMar>
              <w:left w:w="58" w:type="dxa"/>
              <w:right w:w="58" w:type="dxa"/>
            </w:tcMar>
          </w:tcPr>
          <w:p w14:paraId="73F6124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2291DD7"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E6AA356" w14:textId="77777777" w:rsidR="0028399A" w:rsidRPr="00756D59" w:rsidRDefault="0028399A" w:rsidP="00305D02">
            <w:pPr>
              <w:jc w:val="center"/>
              <w:rPr>
                <w:sz w:val="20"/>
                <w:szCs w:val="20"/>
                <w:lang w:eastAsia="en-CA"/>
              </w:rPr>
            </w:pPr>
            <w:r w:rsidRPr="00756D59">
              <w:rPr>
                <w:sz w:val="20"/>
                <w:szCs w:val="20"/>
                <w:lang w:eastAsia="en-CA"/>
              </w:rPr>
              <w:t>78</w:t>
            </w:r>
          </w:p>
        </w:tc>
        <w:tc>
          <w:tcPr>
            <w:tcW w:w="4531" w:type="dxa"/>
            <w:tcMar>
              <w:left w:w="58" w:type="dxa"/>
              <w:right w:w="58" w:type="dxa"/>
            </w:tcMar>
          </w:tcPr>
          <w:p w14:paraId="1C08F91B" w14:textId="77777777" w:rsidR="0028399A" w:rsidRPr="00756D59" w:rsidRDefault="0028399A" w:rsidP="00305D02">
            <w:pPr>
              <w:jc w:val="left"/>
              <w:rPr>
                <w:sz w:val="20"/>
                <w:szCs w:val="20"/>
                <w:lang w:eastAsia="en-CA"/>
              </w:rPr>
            </w:pPr>
            <w:r w:rsidRPr="00756D59">
              <w:rPr>
                <w:sz w:val="20"/>
                <w:szCs w:val="20"/>
                <w:lang w:eastAsia="en-CA"/>
              </w:rPr>
              <w:t>Strengthening the control to HFC imports, discussions with stakeholder on the road map for the implementation of the Kigali Amendment and distribution of promotional material.</w:t>
            </w:r>
          </w:p>
        </w:tc>
        <w:tc>
          <w:tcPr>
            <w:tcW w:w="1629" w:type="dxa"/>
            <w:shd w:val="clear" w:color="auto" w:fill="auto"/>
            <w:tcMar>
              <w:left w:w="58" w:type="dxa"/>
              <w:right w:w="58" w:type="dxa"/>
            </w:tcMar>
          </w:tcPr>
          <w:p w14:paraId="1F4932A3"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7C30EB9F" w14:textId="77777777" w:rsidTr="00305D02">
        <w:trPr>
          <w:trHeight w:val="337"/>
        </w:trPr>
        <w:tc>
          <w:tcPr>
            <w:tcW w:w="2261" w:type="dxa"/>
            <w:tcMar>
              <w:left w:w="58" w:type="dxa"/>
              <w:right w:w="58" w:type="dxa"/>
            </w:tcMar>
          </w:tcPr>
          <w:p w14:paraId="67526598" w14:textId="77777777" w:rsidR="0028399A" w:rsidRPr="00756D59" w:rsidRDefault="0028399A" w:rsidP="00305D02">
            <w:pPr>
              <w:jc w:val="left"/>
              <w:rPr>
                <w:sz w:val="20"/>
                <w:szCs w:val="20"/>
                <w:lang w:eastAsia="en-CA"/>
              </w:rPr>
            </w:pPr>
            <w:r w:rsidRPr="00756D59">
              <w:rPr>
                <w:sz w:val="20"/>
                <w:szCs w:val="20"/>
                <w:lang w:eastAsia="en-CA"/>
              </w:rPr>
              <w:t xml:space="preserve">Zimbabwe </w:t>
            </w:r>
          </w:p>
          <w:p w14:paraId="5F106490" w14:textId="77777777" w:rsidR="0028399A" w:rsidRPr="00756D59" w:rsidRDefault="0028399A" w:rsidP="00305D02">
            <w:pPr>
              <w:jc w:val="left"/>
              <w:rPr>
                <w:sz w:val="20"/>
                <w:szCs w:val="20"/>
                <w:lang w:eastAsia="en-CA"/>
              </w:rPr>
            </w:pPr>
            <w:r w:rsidRPr="00756D59">
              <w:rPr>
                <w:sz w:val="20"/>
                <w:szCs w:val="20"/>
                <w:lang w:eastAsia="en-CA"/>
              </w:rPr>
              <w:t>ZIM/REF/82/INV/55</w:t>
            </w:r>
          </w:p>
        </w:tc>
        <w:tc>
          <w:tcPr>
            <w:tcW w:w="3352" w:type="dxa"/>
            <w:tcMar>
              <w:left w:w="58" w:type="dxa"/>
              <w:right w:w="58" w:type="dxa"/>
            </w:tcMar>
          </w:tcPr>
          <w:p w14:paraId="12EEDB2E" w14:textId="77777777" w:rsidR="0028399A" w:rsidRPr="00756D59" w:rsidRDefault="0028399A" w:rsidP="00305D02">
            <w:pPr>
              <w:jc w:val="left"/>
              <w:rPr>
                <w:sz w:val="20"/>
                <w:szCs w:val="20"/>
                <w:lang w:eastAsia="en-CA"/>
              </w:rPr>
            </w:pPr>
            <w:r w:rsidRPr="00756D59">
              <w:rPr>
                <w:sz w:val="20"/>
                <w:szCs w:val="20"/>
                <w:lang w:eastAsia="en-CA"/>
              </w:rPr>
              <w:t>Conversion from HFC-134a to isobutane in the manufacture of domestic refrigerators at Capri (SME Harare)</w:t>
            </w:r>
          </w:p>
        </w:tc>
        <w:tc>
          <w:tcPr>
            <w:tcW w:w="1236" w:type="dxa"/>
            <w:tcMar>
              <w:left w:w="58" w:type="dxa"/>
              <w:right w:w="58" w:type="dxa"/>
            </w:tcMar>
          </w:tcPr>
          <w:p w14:paraId="705B38A4"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7698EFF9" w14:textId="77777777" w:rsidR="0028399A" w:rsidRPr="00756D59" w:rsidRDefault="0028399A" w:rsidP="00305D02">
            <w:pPr>
              <w:jc w:val="center"/>
              <w:rPr>
                <w:sz w:val="20"/>
                <w:szCs w:val="20"/>
                <w:lang w:eastAsia="en-CA"/>
              </w:rPr>
            </w:pPr>
            <w:r w:rsidRPr="00756D59">
              <w:rPr>
                <w:sz w:val="20"/>
                <w:szCs w:val="20"/>
                <w:lang w:eastAsia="en-CA"/>
              </w:rPr>
              <w:t>0</w:t>
            </w:r>
          </w:p>
        </w:tc>
        <w:tc>
          <w:tcPr>
            <w:tcW w:w="4531" w:type="dxa"/>
            <w:tcMar>
              <w:left w:w="58" w:type="dxa"/>
              <w:right w:w="58" w:type="dxa"/>
            </w:tcMar>
          </w:tcPr>
          <w:p w14:paraId="643B2229" w14:textId="77777777" w:rsidR="0028399A" w:rsidRPr="00756D59" w:rsidRDefault="0028399A" w:rsidP="00305D02">
            <w:pPr>
              <w:jc w:val="left"/>
              <w:rPr>
                <w:sz w:val="20"/>
                <w:szCs w:val="20"/>
                <w:lang w:eastAsia="en-CA"/>
              </w:rPr>
            </w:pPr>
            <w:r w:rsidRPr="00756D59">
              <w:rPr>
                <w:sz w:val="20"/>
                <w:szCs w:val="20"/>
                <w:lang w:eastAsia="en-CA"/>
              </w:rPr>
              <w:t xml:space="preserve">Additional time needed by the beneficiary enterprise for finalization of co-financing required for implementing the project. </w:t>
            </w:r>
          </w:p>
        </w:tc>
        <w:tc>
          <w:tcPr>
            <w:tcW w:w="1629" w:type="dxa"/>
            <w:shd w:val="clear" w:color="auto" w:fill="auto"/>
            <w:tcMar>
              <w:left w:w="58" w:type="dxa"/>
              <w:right w:w="58" w:type="dxa"/>
            </w:tcMar>
          </w:tcPr>
          <w:p w14:paraId="4B9A5EBA" w14:textId="77777777" w:rsidR="0028399A" w:rsidRPr="00756D59" w:rsidRDefault="0028399A" w:rsidP="00305D02">
            <w:pPr>
              <w:jc w:val="center"/>
              <w:rPr>
                <w:sz w:val="20"/>
                <w:szCs w:val="20"/>
                <w:lang w:eastAsia="en-CA"/>
              </w:rPr>
            </w:pPr>
            <w:r w:rsidRPr="00756D59">
              <w:rPr>
                <w:sz w:val="20"/>
                <w:szCs w:val="20"/>
                <w:lang w:eastAsia="en-CA"/>
              </w:rPr>
              <w:t>Jun-23</w:t>
            </w:r>
          </w:p>
        </w:tc>
      </w:tr>
      <w:tr w:rsidR="0028399A" w:rsidRPr="00756D59" w14:paraId="3E661CC3" w14:textId="77777777" w:rsidTr="00305D02">
        <w:trPr>
          <w:trHeight w:val="337"/>
        </w:trPr>
        <w:tc>
          <w:tcPr>
            <w:tcW w:w="2261" w:type="dxa"/>
            <w:tcMar>
              <w:left w:w="58" w:type="dxa"/>
              <w:right w:w="58" w:type="dxa"/>
            </w:tcMar>
          </w:tcPr>
          <w:p w14:paraId="7BCC1BBC" w14:textId="77777777" w:rsidR="0028399A" w:rsidRPr="00756D59" w:rsidRDefault="0028399A" w:rsidP="00305D02">
            <w:pPr>
              <w:jc w:val="left"/>
              <w:rPr>
                <w:b/>
              </w:rPr>
            </w:pPr>
            <w:r w:rsidRPr="00756D59">
              <w:rPr>
                <w:b/>
              </w:rPr>
              <w:t>UNEP</w:t>
            </w:r>
          </w:p>
        </w:tc>
        <w:tc>
          <w:tcPr>
            <w:tcW w:w="3352" w:type="dxa"/>
            <w:tcMar>
              <w:left w:w="58" w:type="dxa"/>
              <w:right w:w="58" w:type="dxa"/>
            </w:tcMar>
          </w:tcPr>
          <w:p w14:paraId="6050E791" w14:textId="77777777" w:rsidR="0028399A" w:rsidRPr="00756D59" w:rsidRDefault="0028399A" w:rsidP="00305D02">
            <w:pPr>
              <w:jc w:val="left"/>
              <w:rPr>
                <w:sz w:val="20"/>
                <w:szCs w:val="20"/>
                <w:lang w:eastAsia="en-CA"/>
              </w:rPr>
            </w:pPr>
          </w:p>
        </w:tc>
        <w:tc>
          <w:tcPr>
            <w:tcW w:w="1236" w:type="dxa"/>
            <w:tcMar>
              <w:left w:w="58" w:type="dxa"/>
              <w:right w:w="58" w:type="dxa"/>
            </w:tcMar>
          </w:tcPr>
          <w:p w14:paraId="1AD091A6" w14:textId="77777777" w:rsidR="0028399A" w:rsidRPr="00756D59" w:rsidRDefault="0028399A" w:rsidP="00305D02">
            <w:pPr>
              <w:jc w:val="center"/>
              <w:rPr>
                <w:sz w:val="20"/>
                <w:szCs w:val="20"/>
                <w:lang w:eastAsia="en-CA"/>
              </w:rPr>
            </w:pPr>
          </w:p>
        </w:tc>
        <w:tc>
          <w:tcPr>
            <w:tcW w:w="1305" w:type="dxa"/>
            <w:shd w:val="clear" w:color="auto" w:fill="auto"/>
            <w:tcMar>
              <w:left w:w="58" w:type="dxa"/>
              <w:right w:w="58" w:type="dxa"/>
            </w:tcMar>
          </w:tcPr>
          <w:p w14:paraId="4E705D54" w14:textId="77777777" w:rsidR="0028399A" w:rsidRPr="00756D59" w:rsidRDefault="0028399A" w:rsidP="00305D02">
            <w:pPr>
              <w:jc w:val="center"/>
              <w:rPr>
                <w:sz w:val="20"/>
                <w:szCs w:val="20"/>
                <w:lang w:eastAsia="en-CA"/>
              </w:rPr>
            </w:pPr>
          </w:p>
        </w:tc>
        <w:tc>
          <w:tcPr>
            <w:tcW w:w="4531" w:type="dxa"/>
            <w:tcMar>
              <w:left w:w="58" w:type="dxa"/>
              <w:right w:w="58" w:type="dxa"/>
            </w:tcMar>
          </w:tcPr>
          <w:p w14:paraId="47B9390E" w14:textId="77777777" w:rsidR="0028399A" w:rsidRPr="00756D59" w:rsidRDefault="0028399A" w:rsidP="00305D02">
            <w:pPr>
              <w:jc w:val="left"/>
              <w:rPr>
                <w:sz w:val="20"/>
                <w:szCs w:val="20"/>
                <w:lang w:eastAsia="en-CA"/>
              </w:rPr>
            </w:pPr>
          </w:p>
        </w:tc>
        <w:tc>
          <w:tcPr>
            <w:tcW w:w="1629" w:type="dxa"/>
            <w:shd w:val="clear" w:color="auto" w:fill="auto"/>
            <w:tcMar>
              <w:left w:w="58" w:type="dxa"/>
              <w:right w:w="58" w:type="dxa"/>
            </w:tcMar>
          </w:tcPr>
          <w:p w14:paraId="27CEAA40" w14:textId="77777777" w:rsidR="0028399A" w:rsidRPr="00756D59" w:rsidRDefault="0028399A" w:rsidP="00305D02">
            <w:pPr>
              <w:jc w:val="center"/>
              <w:rPr>
                <w:sz w:val="20"/>
                <w:szCs w:val="20"/>
                <w:lang w:eastAsia="en-CA"/>
              </w:rPr>
            </w:pPr>
          </w:p>
        </w:tc>
      </w:tr>
      <w:tr w:rsidR="0028399A" w:rsidRPr="00756D59" w14:paraId="664EE869" w14:textId="77777777" w:rsidTr="00305D02">
        <w:trPr>
          <w:trHeight w:val="337"/>
        </w:trPr>
        <w:tc>
          <w:tcPr>
            <w:tcW w:w="2261" w:type="dxa"/>
            <w:tcMar>
              <w:left w:w="58" w:type="dxa"/>
              <w:right w:w="58" w:type="dxa"/>
            </w:tcMar>
          </w:tcPr>
          <w:p w14:paraId="6E6A3190" w14:textId="77777777" w:rsidR="0028399A" w:rsidRPr="00756D59" w:rsidRDefault="0028399A" w:rsidP="00305D02">
            <w:pPr>
              <w:jc w:val="left"/>
              <w:rPr>
                <w:sz w:val="20"/>
                <w:szCs w:val="20"/>
                <w:lang w:eastAsia="en-CA"/>
              </w:rPr>
            </w:pPr>
            <w:r w:rsidRPr="00756D59">
              <w:rPr>
                <w:bCs/>
                <w:sz w:val="20"/>
                <w:szCs w:val="20"/>
                <w:lang w:eastAsia="en-CA"/>
              </w:rPr>
              <w:t>Afghanistan</w:t>
            </w:r>
            <w:r w:rsidRPr="00756D59">
              <w:rPr>
                <w:sz w:val="20"/>
                <w:szCs w:val="20"/>
                <w:lang w:eastAsia="en-CA"/>
              </w:rPr>
              <w:t xml:space="preserve"> </w:t>
            </w:r>
          </w:p>
          <w:p w14:paraId="7AFC6183" w14:textId="77777777" w:rsidR="0028399A" w:rsidRPr="00756D59" w:rsidRDefault="0028399A" w:rsidP="00305D02">
            <w:pPr>
              <w:jc w:val="left"/>
              <w:rPr>
                <w:b/>
                <w:sz w:val="20"/>
                <w:szCs w:val="20"/>
              </w:rPr>
            </w:pPr>
            <w:r w:rsidRPr="00756D59">
              <w:rPr>
                <w:sz w:val="20"/>
                <w:szCs w:val="20"/>
                <w:lang w:eastAsia="en-CA"/>
              </w:rPr>
              <w:t>AFG/SEV/81/TAS/01+</w:t>
            </w:r>
          </w:p>
        </w:tc>
        <w:tc>
          <w:tcPr>
            <w:tcW w:w="3352" w:type="dxa"/>
            <w:tcMar>
              <w:left w:w="58" w:type="dxa"/>
              <w:right w:w="58" w:type="dxa"/>
            </w:tcMar>
          </w:tcPr>
          <w:p w14:paraId="3F35D6B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F7A7177"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75F8CF0" w14:textId="77777777" w:rsidR="0028399A" w:rsidRPr="00756D59" w:rsidRDefault="0028399A" w:rsidP="00305D02">
            <w:pPr>
              <w:jc w:val="center"/>
              <w:rPr>
                <w:sz w:val="20"/>
                <w:szCs w:val="20"/>
                <w:lang w:eastAsia="en-CA"/>
              </w:rPr>
            </w:pPr>
            <w:r w:rsidRPr="00756D59">
              <w:rPr>
                <w:bCs/>
                <w:sz w:val="20"/>
                <w:szCs w:val="20"/>
                <w:lang w:eastAsia="en-CA"/>
              </w:rPr>
              <w:t>80</w:t>
            </w:r>
          </w:p>
        </w:tc>
        <w:tc>
          <w:tcPr>
            <w:tcW w:w="4531" w:type="dxa"/>
            <w:tcMar>
              <w:left w:w="58" w:type="dxa"/>
              <w:right w:w="58" w:type="dxa"/>
            </w:tcMar>
          </w:tcPr>
          <w:p w14:paraId="57AEC18E" w14:textId="77777777" w:rsidR="0028399A" w:rsidRPr="00756D59" w:rsidRDefault="0028399A" w:rsidP="00305D02">
            <w:pPr>
              <w:jc w:val="left"/>
              <w:rPr>
                <w:sz w:val="20"/>
                <w:szCs w:val="20"/>
                <w:lang w:eastAsia="en-CA"/>
              </w:rPr>
            </w:pPr>
            <w:r w:rsidRPr="00756D59">
              <w:rPr>
                <w:sz w:val="20"/>
                <w:szCs w:val="20"/>
                <w:lang w:eastAsia="en-CA"/>
              </w:rPr>
              <w:t>Roundtable workshops on low</w:t>
            </w:r>
            <w:r w:rsidRPr="00756D59">
              <w:rPr>
                <w:sz w:val="20"/>
                <w:szCs w:val="20"/>
                <w:lang w:eastAsia="en-CA"/>
              </w:rPr>
              <w:noBreakHyphen/>
              <w:t>GWP alternatives for large end users and training for servicing sector; finalization of the amendment to draft regulations; and awareness activities.</w:t>
            </w:r>
          </w:p>
        </w:tc>
        <w:tc>
          <w:tcPr>
            <w:tcW w:w="1629" w:type="dxa"/>
            <w:shd w:val="clear" w:color="auto" w:fill="auto"/>
            <w:tcMar>
              <w:left w:w="58" w:type="dxa"/>
              <w:right w:w="58" w:type="dxa"/>
            </w:tcMar>
          </w:tcPr>
          <w:p w14:paraId="664453C7" w14:textId="77777777" w:rsidR="0028399A" w:rsidRPr="00756D59" w:rsidRDefault="0028399A" w:rsidP="00305D02">
            <w:pPr>
              <w:jc w:val="center"/>
              <w:rPr>
                <w:sz w:val="20"/>
                <w:szCs w:val="20"/>
                <w:lang w:eastAsia="en-CA"/>
              </w:rPr>
            </w:pPr>
            <w:r w:rsidRPr="00756D59">
              <w:rPr>
                <w:bCs/>
                <w:sz w:val="20"/>
                <w:szCs w:val="20"/>
                <w:lang w:eastAsia="en-CA"/>
              </w:rPr>
              <w:t>Jun-22</w:t>
            </w:r>
          </w:p>
        </w:tc>
      </w:tr>
      <w:tr w:rsidR="0028399A" w:rsidRPr="00756D59" w14:paraId="1C096E4D" w14:textId="77777777" w:rsidTr="00305D02">
        <w:trPr>
          <w:trHeight w:val="337"/>
        </w:trPr>
        <w:tc>
          <w:tcPr>
            <w:tcW w:w="2261" w:type="dxa"/>
            <w:tcMar>
              <w:left w:w="58" w:type="dxa"/>
              <w:right w:w="58" w:type="dxa"/>
            </w:tcMar>
          </w:tcPr>
          <w:p w14:paraId="7C36EC4B" w14:textId="77777777" w:rsidR="0028399A" w:rsidRPr="00756D59" w:rsidRDefault="0028399A" w:rsidP="00305D02">
            <w:pPr>
              <w:jc w:val="left"/>
              <w:rPr>
                <w:sz w:val="20"/>
                <w:szCs w:val="20"/>
                <w:lang w:eastAsia="en-CA"/>
              </w:rPr>
            </w:pPr>
            <w:r w:rsidRPr="00756D59">
              <w:rPr>
                <w:bCs/>
                <w:sz w:val="20"/>
                <w:szCs w:val="20"/>
                <w:lang w:eastAsia="en-CA"/>
              </w:rPr>
              <w:t>Angola</w:t>
            </w:r>
            <w:r w:rsidRPr="00756D59">
              <w:rPr>
                <w:sz w:val="20"/>
                <w:szCs w:val="20"/>
                <w:lang w:eastAsia="en-CA"/>
              </w:rPr>
              <w:t xml:space="preserve"> </w:t>
            </w:r>
          </w:p>
          <w:p w14:paraId="6213E584" w14:textId="77777777" w:rsidR="0028399A" w:rsidRPr="00756D59" w:rsidRDefault="0028399A" w:rsidP="00305D02">
            <w:pPr>
              <w:jc w:val="left"/>
              <w:rPr>
                <w:b/>
                <w:sz w:val="20"/>
                <w:szCs w:val="20"/>
              </w:rPr>
            </w:pPr>
            <w:r w:rsidRPr="00756D59">
              <w:rPr>
                <w:sz w:val="20"/>
                <w:szCs w:val="20"/>
                <w:lang w:eastAsia="en-CA"/>
              </w:rPr>
              <w:t>ANG/SEV/80/TAS/01+</w:t>
            </w:r>
          </w:p>
        </w:tc>
        <w:tc>
          <w:tcPr>
            <w:tcW w:w="3352" w:type="dxa"/>
            <w:tcMar>
              <w:left w:w="58" w:type="dxa"/>
              <w:right w:w="58" w:type="dxa"/>
            </w:tcMar>
          </w:tcPr>
          <w:p w14:paraId="3058E4ED"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D53281F"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A3706CD" w14:textId="77777777" w:rsidR="0028399A" w:rsidRPr="00756D59" w:rsidRDefault="0028399A" w:rsidP="00305D02">
            <w:pPr>
              <w:jc w:val="center"/>
              <w:rPr>
                <w:sz w:val="20"/>
                <w:szCs w:val="20"/>
                <w:lang w:eastAsia="en-CA"/>
              </w:rPr>
            </w:pPr>
            <w:r w:rsidRPr="00756D59">
              <w:rPr>
                <w:bCs/>
                <w:sz w:val="20"/>
                <w:szCs w:val="20"/>
                <w:lang w:eastAsia="en-CA"/>
              </w:rPr>
              <w:t>86.7</w:t>
            </w:r>
          </w:p>
        </w:tc>
        <w:tc>
          <w:tcPr>
            <w:tcW w:w="4531" w:type="dxa"/>
            <w:tcMar>
              <w:left w:w="58" w:type="dxa"/>
              <w:right w:w="58" w:type="dxa"/>
            </w:tcMar>
          </w:tcPr>
          <w:p w14:paraId="0C0CC2A3" w14:textId="77777777" w:rsidR="0028399A" w:rsidRPr="00756D59" w:rsidRDefault="0028399A" w:rsidP="00305D02">
            <w:pPr>
              <w:jc w:val="left"/>
              <w:rPr>
                <w:sz w:val="20"/>
                <w:szCs w:val="20"/>
                <w:lang w:eastAsia="en-CA"/>
              </w:rPr>
            </w:pPr>
            <w:r w:rsidRPr="00756D59">
              <w:rPr>
                <w:sz w:val="20"/>
                <w:szCs w:val="20"/>
                <w:lang w:eastAsia="en-CA"/>
              </w:rPr>
              <w:t>Revise the existing National Ozone Depleting Substances legislation; and workshop for technicians on safe handling of HFCs and alternatives.</w:t>
            </w:r>
          </w:p>
        </w:tc>
        <w:tc>
          <w:tcPr>
            <w:tcW w:w="1629" w:type="dxa"/>
            <w:shd w:val="clear" w:color="auto" w:fill="auto"/>
            <w:tcMar>
              <w:left w:w="58" w:type="dxa"/>
              <w:right w:w="58" w:type="dxa"/>
            </w:tcMar>
          </w:tcPr>
          <w:p w14:paraId="6093AAB9" w14:textId="77777777" w:rsidR="0028399A" w:rsidRPr="00756D59" w:rsidRDefault="0028399A" w:rsidP="00305D02">
            <w:pPr>
              <w:jc w:val="center"/>
              <w:rPr>
                <w:sz w:val="20"/>
                <w:szCs w:val="20"/>
                <w:lang w:eastAsia="en-CA"/>
              </w:rPr>
            </w:pPr>
            <w:r w:rsidRPr="00756D59">
              <w:rPr>
                <w:bCs/>
                <w:sz w:val="20"/>
                <w:szCs w:val="20"/>
                <w:lang w:eastAsia="en-CA"/>
              </w:rPr>
              <w:t>Dec-21</w:t>
            </w:r>
          </w:p>
        </w:tc>
      </w:tr>
      <w:tr w:rsidR="0028399A" w:rsidRPr="00756D59" w14:paraId="0721E2D8" w14:textId="77777777" w:rsidTr="00305D02">
        <w:trPr>
          <w:trHeight w:val="337"/>
        </w:trPr>
        <w:tc>
          <w:tcPr>
            <w:tcW w:w="2261" w:type="dxa"/>
            <w:tcMar>
              <w:left w:w="58" w:type="dxa"/>
              <w:right w:w="58" w:type="dxa"/>
            </w:tcMar>
          </w:tcPr>
          <w:p w14:paraId="30D93373" w14:textId="77777777" w:rsidR="0028399A" w:rsidRPr="00756D59" w:rsidRDefault="0028399A" w:rsidP="00305D02">
            <w:pPr>
              <w:jc w:val="left"/>
              <w:rPr>
                <w:sz w:val="20"/>
                <w:szCs w:val="20"/>
                <w:lang w:eastAsia="en-CA"/>
              </w:rPr>
            </w:pPr>
            <w:r w:rsidRPr="00756D59">
              <w:rPr>
                <w:bCs/>
                <w:sz w:val="20"/>
                <w:szCs w:val="20"/>
                <w:lang w:eastAsia="en-CA"/>
              </w:rPr>
              <w:t>Bahamas</w:t>
            </w:r>
            <w:r w:rsidRPr="00756D59">
              <w:rPr>
                <w:sz w:val="20"/>
                <w:szCs w:val="20"/>
                <w:lang w:eastAsia="en-CA"/>
              </w:rPr>
              <w:t xml:space="preserve"> (the)</w:t>
            </w:r>
          </w:p>
          <w:p w14:paraId="17979474" w14:textId="77777777" w:rsidR="0028399A" w:rsidRPr="00756D59" w:rsidRDefault="0028399A" w:rsidP="00305D02">
            <w:pPr>
              <w:jc w:val="left"/>
              <w:rPr>
                <w:b/>
                <w:sz w:val="20"/>
                <w:szCs w:val="20"/>
              </w:rPr>
            </w:pPr>
            <w:r w:rsidRPr="00756D59">
              <w:rPr>
                <w:sz w:val="20"/>
                <w:szCs w:val="20"/>
                <w:lang w:eastAsia="en-CA"/>
              </w:rPr>
              <w:t>BHA/SEV/82/TAS/01+</w:t>
            </w:r>
          </w:p>
        </w:tc>
        <w:tc>
          <w:tcPr>
            <w:tcW w:w="3352" w:type="dxa"/>
            <w:tcMar>
              <w:left w:w="58" w:type="dxa"/>
              <w:right w:w="58" w:type="dxa"/>
            </w:tcMar>
          </w:tcPr>
          <w:p w14:paraId="2D26D92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66614D9"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553A9495" w14:textId="77777777" w:rsidR="0028399A" w:rsidRPr="00756D59" w:rsidRDefault="0028399A" w:rsidP="00305D02">
            <w:pPr>
              <w:jc w:val="center"/>
              <w:rPr>
                <w:sz w:val="20"/>
                <w:szCs w:val="20"/>
                <w:lang w:eastAsia="en-CA"/>
              </w:rPr>
            </w:pPr>
            <w:r w:rsidRPr="00756D59">
              <w:rPr>
                <w:bCs/>
                <w:sz w:val="20"/>
                <w:szCs w:val="20"/>
                <w:lang w:eastAsia="en-CA"/>
              </w:rPr>
              <w:t>0</w:t>
            </w:r>
          </w:p>
        </w:tc>
        <w:tc>
          <w:tcPr>
            <w:tcW w:w="4531" w:type="dxa"/>
            <w:tcMar>
              <w:left w:w="58" w:type="dxa"/>
              <w:right w:w="58" w:type="dxa"/>
            </w:tcMar>
          </w:tcPr>
          <w:p w14:paraId="43630A78" w14:textId="77777777" w:rsidR="0028399A" w:rsidRPr="00756D59" w:rsidRDefault="0028399A" w:rsidP="00305D02">
            <w:pPr>
              <w:jc w:val="left"/>
              <w:rPr>
                <w:sz w:val="20"/>
                <w:szCs w:val="20"/>
                <w:lang w:eastAsia="en-CA"/>
              </w:rPr>
            </w:pPr>
            <w:r w:rsidRPr="00756D59">
              <w:rPr>
                <w:sz w:val="20"/>
                <w:szCs w:val="20"/>
                <w:lang w:eastAsia="en-CA"/>
              </w:rPr>
              <w:t>Study relating to handling low</w:t>
            </w:r>
            <w:r w:rsidRPr="00756D59">
              <w:rPr>
                <w:sz w:val="20"/>
                <w:szCs w:val="20"/>
                <w:lang w:eastAsia="en-CA"/>
              </w:rPr>
              <w:noBreakHyphen/>
              <w:t>GWP flammable refrigerants for service sector; and national strategy for supporting the RAC servicing sector in handling HFC phase</w:t>
            </w:r>
            <w:r w:rsidRPr="00756D59">
              <w:rPr>
                <w:sz w:val="20"/>
                <w:szCs w:val="20"/>
                <w:lang w:eastAsia="en-CA"/>
              </w:rPr>
              <w:noBreakHyphen/>
              <w:t>down and staged approach to introducing low-GWP and energy efficiency.</w:t>
            </w:r>
          </w:p>
        </w:tc>
        <w:tc>
          <w:tcPr>
            <w:tcW w:w="1629" w:type="dxa"/>
            <w:shd w:val="clear" w:color="auto" w:fill="auto"/>
            <w:tcMar>
              <w:left w:w="58" w:type="dxa"/>
              <w:right w:w="58" w:type="dxa"/>
            </w:tcMar>
          </w:tcPr>
          <w:p w14:paraId="49957E7A" w14:textId="77777777" w:rsidR="0028399A" w:rsidRPr="00756D59" w:rsidRDefault="0028399A" w:rsidP="00305D02">
            <w:pPr>
              <w:jc w:val="center"/>
              <w:rPr>
                <w:sz w:val="20"/>
                <w:szCs w:val="20"/>
                <w:lang w:eastAsia="en-CA"/>
              </w:rPr>
            </w:pPr>
            <w:r w:rsidRPr="00756D59">
              <w:rPr>
                <w:bCs/>
                <w:sz w:val="20"/>
                <w:szCs w:val="20"/>
                <w:lang w:eastAsia="en-CA"/>
              </w:rPr>
              <w:t>Jun-22</w:t>
            </w:r>
          </w:p>
        </w:tc>
      </w:tr>
      <w:tr w:rsidR="0028399A" w:rsidRPr="00756D59" w14:paraId="71C3624D" w14:textId="77777777" w:rsidTr="00305D02">
        <w:trPr>
          <w:trHeight w:val="337"/>
        </w:trPr>
        <w:tc>
          <w:tcPr>
            <w:tcW w:w="2261" w:type="dxa"/>
            <w:tcMar>
              <w:left w:w="58" w:type="dxa"/>
              <w:right w:w="58" w:type="dxa"/>
            </w:tcMar>
          </w:tcPr>
          <w:p w14:paraId="3A0827C0" w14:textId="77777777" w:rsidR="0028399A" w:rsidRPr="00756D59" w:rsidRDefault="0028399A" w:rsidP="00305D02">
            <w:pPr>
              <w:jc w:val="left"/>
              <w:rPr>
                <w:sz w:val="20"/>
                <w:szCs w:val="20"/>
                <w:lang w:eastAsia="en-CA"/>
              </w:rPr>
            </w:pPr>
            <w:r w:rsidRPr="00756D59">
              <w:rPr>
                <w:bCs/>
                <w:sz w:val="20"/>
                <w:szCs w:val="20"/>
                <w:lang w:eastAsia="en-CA"/>
              </w:rPr>
              <w:t>Bahrain</w:t>
            </w:r>
            <w:r w:rsidRPr="00756D59">
              <w:rPr>
                <w:sz w:val="20"/>
                <w:szCs w:val="20"/>
                <w:lang w:eastAsia="en-CA"/>
              </w:rPr>
              <w:t xml:space="preserve"> </w:t>
            </w:r>
          </w:p>
          <w:p w14:paraId="65E9BBD3" w14:textId="77777777" w:rsidR="0028399A" w:rsidRPr="00756D59" w:rsidRDefault="0028399A" w:rsidP="00305D02">
            <w:pPr>
              <w:jc w:val="left"/>
              <w:rPr>
                <w:bCs/>
                <w:sz w:val="20"/>
                <w:szCs w:val="20"/>
                <w:lang w:eastAsia="en-CA"/>
              </w:rPr>
            </w:pPr>
            <w:r w:rsidRPr="00756D59">
              <w:rPr>
                <w:sz w:val="20"/>
                <w:szCs w:val="20"/>
                <w:lang w:eastAsia="en-CA"/>
              </w:rPr>
              <w:t>BAH/SEV/81/TAS/34</w:t>
            </w:r>
          </w:p>
        </w:tc>
        <w:tc>
          <w:tcPr>
            <w:tcW w:w="3352" w:type="dxa"/>
            <w:tcMar>
              <w:left w:w="58" w:type="dxa"/>
              <w:right w:w="58" w:type="dxa"/>
            </w:tcMar>
          </w:tcPr>
          <w:p w14:paraId="52D78E01"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26F9BF9"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EBF709A" w14:textId="77777777" w:rsidR="0028399A" w:rsidRPr="00756D59" w:rsidRDefault="0028399A" w:rsidP="00305D02">
            <w:pPr>
              <w:jc w:val="center"/>
              <w:rPr>
                <w:bCs/>
                <w:sz w:val="20"/>
                <w:szCs w:val="20"/>
                <w:lang w:eastAsia="en-CA"/>
              </w:rPr>
            </w:pPr>
            <w:r w:rsidRPr="00756D59">
              <w:rPr>
                <w:bCs/>
                <w:sz w:val="20"/>
                <w:szCs w:val="20"/>
                <w:lang w:eastAsia="en-CA"/>
              </w:rPr>
              <w:t>50</w:t>
            </w:r>
          </w:p>
        </w:tc>
        <w:tc>
          <w:tcPr>
            <w:tcW w:w="4531" w:type="dxa"/>
            <w:tcMar>
              <w:left w:w="58" w:type="dxa"/>
              <w:right w:w="58" w:type="dxa"/>
            </w:tcMar>
          </w:tcPr>
          <w:p w14:paraId="114FB949"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w:t>
            </w:r>
          </w:p>
        </w:tc>
        <w:tc>
          <w:tcPr>
            <w:tcW w:w="1629" w:type="dxa"/>
            <w:shd w:val="clear" w:color="auto" w:fill="auto"/>
            <w:tcMar>
              <w:left w:w="58" w:type="dxa"/>
              <w:right w:w="58" w:type="dxa"/>
            </w:tcMar>
          </w:tcPr>
          <w:p w14:paraId="3A83EA61"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253DC249" w14:textId="77777777" w:rsidTr="00305D02">
        <w:trPr>
          <w:trHeight w:val="337"/>
        </w:trPr>
        <w:tc>
          <w:tcPr>
            <w:tcW w:w="2261" w:type="dxa"/>
            <w:tcMar>
              <w:left w:w="58" w:type="dxa"/>
              <w:right w:w="58" w:type="dxa"/>
            </w:tcMar>
          </w:tcPr>
          <w:p w14:paraId="6F9F26B8" w14:textId="77777777" w:rsidR="0028399A" w:rsidRPr="00756D59" w:rsidRDefault="0028399A" w:rsidP="00305D02">
            <w:pPr>
              <w:jc w:val="left"/>
              <w:rPr>
                <w:sz w:val="20"/>
                <w:szCs w:val="20"/>
                <w:lang w:eastAsia="en-CA"/>
              </w:rPr>
            </w:pPr>
            <w:r w:rsidRPr="00756D59">
              <w:rPr>
                <w:bCs/>
                <w:sz w:val="20"/>
                <w:szCs w:val="20"/>
                <w:lang w:eastAsia="en-CA"/>
              </w:rPr>
              <w:t>Bangladesh</w:t>
            </w:r>
            <w:r w:rsidRPr="00756D59">
              <w:rPr>
                <w:sz w:val="20"/>
                <w:szCs w:val="20"/>
                <w:lang w:eastAsia="en-CA"/>
              </w:rPr>
              <w:t xml:space="preserve"> </w:t>
            </w:r>
          </w:p>
          <w:p w14:paraId="479D5FB2" w14:textId="77777777" w:rsidR="0028399A" w:rsidRPr="00756D59" w:rsidRDefault="0028399A" w:rsidP="00305D02">
            <w:pPr>
              <w:jc w:val="left"/>
              <w:rPr>
                <w:bCs/>
                <w:sz w:val="20"/>
                <w:szCs w:val="20"/>
                <w:lang w:eastAsia="en-CA"/>
              </w:rPr>
            </w:pPr>
            <w:r w:rsidRPr="00756D59">
              <w:rPr>
                <w:sz w:val="20"/>
                <w:szCs w:val="20"/>
                <w:lang w:eastAsia="en-CA"/>
              </w:rPr>
              <w:t>BGD/SEV/81/TAS/54</w:t>
            </w:r>
          </w:p>
        </w:tc>
        <w:tc>
          <w:tcPr>
            <w:tcW w:w="3352" w:type="dxa"/>
            <w:tcMar>
              <w:left w:w="58" w:type="dxa"/>
              <w:right w:w="58" w:type="dxa"/>
            </w:tcMar>
          </w:tcPr>
          <w:p w14:paraId="7B6D1D6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40F0923"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FDE4713" w14:textId="77777777" w:rsidR="0028399A" w:rsidRPr="00756D59" w:rsidRDefault="0028399A" w:rsidP="00305D02">
            <w:pPr>
              <w:jc w:val="center"/>
              <w:rPr>
                <w:bCs/>
                <w:sz w:val="20"/>
                <w:szCs w:val="20"/>
                <w:lang w:eastAsia="en-CA"/>
              </w:rPr>
            </w:pPr>
            <w:r w:rsidRPr="00756D59">
              <w:rPr>
                <w:bCs/>
                <w:sz w:val="20"/>
                <w:szCs w:val="20"/>
                <w:lang w:eastAsia="en-CA"/>
              </w:rPr>
              <w:t>12.1</w:t>
            </w:r>
          </w:p>
        </w:tc>
        <w:tc>
          <w:tcPr>
            <w:tcW w:w="4531" w:type="dxa"/>
            <w:tcMar>
              <w:left w:w="58" w:type="dxa"/>
              <w:right w:w="58" w:type="dxa"/>
            </w:tcMar>
          </w:tcPr>
          <w:p w14:paraId="3D59890E" w14:textId="77777777" w:rsidR="0028399A" w:rsidRPr="00756D59" w:rsidRDefault="0028399A" w:rsidP="00305D02">
            <w:pPr>
              <w:jc w:val="left"/>
              <w:rPr>
                <w:sz w:val="20"/>
                <w:szCs w:val="20"/>
                <w:lang w:eastAsia="en-CA"/>
              </w:rPr>
            </w:pPr>
            <w:r w:rsidRPr="00756D59">
              <w:rPr>
                <w:sz w:val="20"/>
                <w:szCs w:val="20"/>
                <w:lang w:eastAsia="en-CA"/>
              </w:rPr>
              <w:t>Roundtable workshops on low-GWP alternatives for large end users and training for customs officers; finalization of the amendment to draft regulations and awareness activities; and development of knowledge products and information materials</w:t>
            </w:r>
            <w:r w:rsidRPr="00756D59">
              <w:rPr>
                <w:sz w:val="20"/>
                <w:szCs w:val="20"/>
              </w:rPr>
              <w:t xml:space="preserve"> </w:t>
            </w:r>
            <w:r w:rsidRPr="00756D59">
              <w:rPr>
                <w:sz w:val="20"/>
                <w:szCs w:val="20"/>
                <w:lang w:eastAsia="en-CA"/>
              </w:rPr>
              <w:t>on Kigali Amendment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2EEBC051"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5A8450A5" w14:textId="77777777" w:rsidTr="00305D02">
        <w:trPr>
          <w:trHeight w:val="337"/>
        </w:trPr>
        <w:tc>
          <w:tcPr>
            <w:tcW w:w="2261" w:type="dxa"/>
            <w:tcMar>
              <w:left w:w="58" w:type="dxa"/>
              <w:right w:w="58" w:type="dxa"/>
            </w:tcMar>
          </w:tcPr>
          <w:p w14:paraId="4D5342B6" w14:textId="77777777" w:rsidR="0028399A" w:rsidRPr="00756D59" w:rsidRDefault="0028399A" w:rsidP="00305D02">
            <w:pPr>
              <w:jc w:val="left"/>
              <w:rPr>
                <w:sz w:val="20"/>
                <w:szCs w:val="20"/>
                <w:lang w:eastAsia="en-CA"/>
              </w:rPr>
            </w:pPr>
            <w:r w:rsidRPr="00756D59">
              <w:rPr>
                <w:bCs/>
                <w:sz w:val="20"/>
                <w:szCs w:val="20"/>
                <w:lang w:eastAsia="en-CA"/>
              </w:rPr>
              <w:t>Benin</w:t>
            </w:r>
            <w:r w:rsidRPr="00756D59">
              <w:rPr>
                <w:sz w:val="20"/>
                <w:szCs w:val="20"/>
                <w:lang w:eastAsia="en-CA"/>
              </w:rPr>
              <w:t xml:space="preserve"> </w:t>
            </w:r>
          </w:p>
          <w:p w14:paraId="0E3311F1" w14:textId="77777777" w:rsidR="0028399A" w:rsidRPr="00756D59" w:rsidRDefault="0028399A" w:rsidP="00305D02">
            <w:pPr>
              <w:jc w:val="left"/>
              <w:rPr>
                <w:bCs/>
                <w:sz w:val="20"/>
                <w:szCs w:val="20"/>
                <w:lang w:eastAsia="en-CA"/>
              </w:rPr>
            </w:pPr>
            <w:r w:rsidRPr="00756D59">
              <w:rPr>
                <w:sz w:val="20"/>
                <w:szCs w:val="20"/>
                <w:lang w:eastAsia="en-CA"/>
              </w:rPr>
              <w:t>BEN/SEV/81/TAS/01+</w:t>
            </w:r>
          </w:p>
        </w:tc>
        <w:tc>
          <w:tcPr>
            <w:tcW w:w="3352" w:type="dxa"/>
            <w:tcMar>
              <w:left w:w="58" w:type="dxa"/>
              <w:right w:w="58" w:type="dxa"/>
            </w:tcMar>
          </w:tcPr>
          <w:p w14:paraId="58440B8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57A8CF0"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97D9FB1" w14:textId="77777777" w:rsidR="0028399A" w:rsidRPr="00756D59" w:rsidRDefault="0028399A" w:rsidP="00305D02">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33640E3C" w14:textId="77777777" w:rsidR="0028399A" w:rsidRPr="00756D59" w:rsidRDefault="0028399A" w:rsidP="00305D02">
            <w:pPr>
              <w:jc w:val="left"/>
              <w:rPr>
                <w:sz w:val="20"/>
                <w:szCs w:val="20"/>
                <w:lang w:eastAsia="en-CA"/>
              </w:rPr>
            </w:pPr>
            <w:r w:rsidRPr="00756D59">
              <w:rPr>
                <w:sz w:val="20"/>
                <w:szCs w:val="20"/>
                <w:lang w:eastAsia="en-CA"/>
              </w:rPr>
              <w:t>Assisting customs office for developing country</w:t>
            </w:r>
            <w:r w:rsidRPr="00756D59">
              <w:rPr>
                <w:sz w:val="20"/>
                <w:szCs w:val="20"/>
                <w:lang w:eastAsia="en-CA"/>
              </w:rPr>
              <w:noBreakHyphen/>
              <w:t>specific Harmonized System (HS) codes for HFCs; training needs assessment for servicing sector; and revising the existing National Ozone</w:t>
            </w:r>
            <w:r w:rsidRPr="00756D59">
              <w:rPr>
                <w:sz w:val="20"/>
                <w:szCs w:val="20"/>
                <w:lang w:eastAsia="en-CA"/>
              </w:rPr>
              <w:noBreakHyphen/>
              <w:t>Depleting Substances Legislation (ODS</w:t>
            </w:r>
            <w:r w:rsidRPr="00756D59">
              <w:rPr>
                <w:sz w:val="20"/>
                <w:szCs w:val="20"/>
                <w:lang w:eastAsia="en-CA"/>
              </w:rPr>
              <w:noBreakHyphen/>
              <w:t>based equipment) and drafting the ODS alternative regulation.</w:t>
            </w:r>
          </w:p>
        </w:tc>
        <w:tc>
          <w:tcPr>
            <w:tcW w:w="1629" w:type="dxa"/>
            <w:shd w:val="clear" w:color="auto" w:fill="auto"/>
            <w:tcMar>
              <w:left w:w="58" w:type="dxa"/>
              <w:right w:w="58" w:type="dxa"/>
            </w:tcMar>
          </w:tcPr>
          <w:p w14:paraId="2082F1D6"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51E9720" w14:textId="77777777" w:rsidTr="00305D02">
        <w:trPr>
          <w:trHeight w:val="337"/>
        </w:trPr>
        <w:tc>
          <w:tcPr>
            <w:tcW w:w="2261" w:type="dxa"/>
            <w:tcMar>
              <w:left w:w="58" w:type="dxa"/>
              <w:right w:w="58" w:type="dxa"/>
            </w:tcMar>
          </w:tcPr>
          <w:p w14:paraId="2116A2BC" w14:textId="77777777" w:rsidR="0028399A" w:rsidRPr="00756D59" w:rsidRDefault="0028399A" w:rsidP="00305D02">
            <w:pPr>
              <w:jc w:val="left"/>
              <w:rPr>
                <w:sz w:val="20"/>
                <w:szCs w:val="20"/>
                <w:lang w:eastAsia="en-CA"/>
              </w:rPr>
            </w:pPr>
            <w:r w:rsidRPr="00756D59">
              <w:rPr>
                <w:bCs/>
                <w:sz w:val="20"/>
                <w:szCs w:val="20"/>
                <w:lang w:eastAsia="en-CA"/>
              </w:rPr>
              <w:lastRenderedPageBreak/>
              <w:t>Bolivia (</w:t>
            </w:r>
            <w:proofErr w:type="spellStart"/>
            <w:r w:rsidRPr="00756D59">
              <w:rPr>
                <w:bCs/>
                <w:sz w:val="20"/>
                <w:szCs w:val="20"/>
                <w:lang w:eastAsia="en-CA"/>
              </w:rPr>
              <w:t>Plurinational</w:t>
            </w:r>
            <w:proofErr w:type="spellEnd"/>
            <w:r w:rsidRPr="00756D59">
              <w:rPr>
                <w:bCs/>
                <w:sz w:val="20"/>
                <w:szCs w:val="20"/>
                <w:lang w:eastAsia="en-CA"/>
              </w:rPr>
              <w:t xml:space="preserve"> State of)</w:t>
            </w:r>
          </w:p>
          <w:p w14:paraId="7C6DC323" w14:textId="77777777" w:rsidR="0028399A" w:rsidRPr="00756D59" w:rsidRDefault="0028399A" w:rsidP="00305D02">
            <w:pPr>
              <w:jc w:val="left"/>
              <w:rPr>
                <w:bCs/>
                <w:sz w:val="20"/>
                <w:szCs w:val="20"/>
                <w:lang w:eastAsia="en-CA"/>
              </w:rPr>
            </w:pPr>
            <w:r w:rsidRPr="00756D59">
              <w:rPr>
                <w:sz w:val="20"/>
                <w:szCs w:val="20"/>
                <w:lang w:eastAsia="en-CA"/>
              </w:rPr>
              <w:t>BOL/SEV/82/TAS/01+</w:t>
            </w:r>
          </w:p>
        </w:tc>
        <w:tc>
          <w:tcPr>
            <w:tcW w:w="3352" w:type="dxa"/>
            <w:tcMar>
              <w:left w:w="58" w:type="dxa"/>
              <w:right w:w="58" w:type="dxa"/>
            </w:tcMar>
          </w:tcPr>
          <w:p w14:paraId="19E40270"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B3E4BBE"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7FEC95AE" w14:textId="77777777" w:rsidR="0028399A" w:rsidRPr="00756D59" w:rsidRDefault="0028399A" w:rsidP="00305D02">
            <w:pPr>
              <w:jc w:val="center"/>
              <w:rPr>
                <w:bCs/>
                <w:sz w:val="20"/>
                <w:szCs w:val="20"/>
                <w:lang w:eastAsia="en-CA"/>
              </w:rPr>
            </w:pPr>
            <w:r w:rsidRPr="00756D59">
              <w:rPr>
                <w:bCs/>
                <w:sz w:val="20"/>
                <w:szCs w:val="20"/>
                <w:lang w:eastAsia="en-CA"/>
              </w:rPr>
              <w:t>11.9</w:t>
            </w:r>
          </w:p>
        </w:tc>
        <w:tc>
          <w:tcPr>
            <w:tcW w:w="4531" w:type="dxa"/>
            <w:tcMar>
              <w:left w:w="58" w:type="dxa"/>
              <w:right w:w="58" w:type="dxa"/>
            </w:tcMar>
          </w:tcPr>
          <w:p w14:paraId="3237365D" w14:textId="77777777" w:rsidR="0028399A" w:rsidRPr="00756D59" w:rsidRDefault="0028399A" w:rsidP="00305D02">
            <w:pPr>
              <w:jc w:val="left"/>
              <w:rPr>
                <w:sz w:val="20"/>
                <w:szCs w:val="20"/>
                <w:lang w:eastAsia="en-CA"/>
              </w:rPr>
            </w:pPr>
            <w:r w:rsidRPr="00756D59">
              <w:rPr>
                <w:sz w:val="20"/>
                <w:szCs w:val="20"/>
                <w:lang w:eastAsia="en-CA"/>
              </w:rPr>
              <w:t xml:space="preserve">Training on design, installation and maintenance of energy efficient RAC systems; support to customs authorities in developing HS codes for HFCs; drafting of ministerial resolutions/procedure manual for HFC quotas and HFC import permits; training of technicians on the safe use of flammable refrigerants and training of end users; and market analysis for HFC refrigerants from domestic production; and development of a proposal of the national </w:t>
            </w:r>
            <w:proofErr w:type="spellStart"/>
            <w:r w:rsidRPr="00756D59">
              <w:rPr>
                <w:sz w:val="20"/>
                <w:szCs w:val="20"/>
                <w:lang w:eastAsia="en-CA"/>
              </w:rPr>
              <w:t>labor</w:t>
            </w:r>
            <w:proofErr w:type="spellEnd"/>
            <w:r w:rsidRPr="00756D59">
              <w:rPr>
                <w:sz w:val="20"/>
                <w:szCs w:val="20"/>
                <w:lang w:eastAsia="en-CA"/>
              </w:rPr>
              <w:t xml:space="preserve"> competency standards.</w:t>
            </w:r>
          </w:p>
        </w:tc>
        <w:tc>
          <w:tcPr>
            <w:tcW w:w="1629" w:type="dxa"/>
            <w:shd w:val="clear" w:color="auto" w:fill="auto"/>
            <w:tcMar>
              <w:left w:w="58" w:type="dxa"/>
              <w:right w:w="58" w:type="dxa"/>
            </w:tcMar>
          </w:tcPr>
          <w:p w14:paraId="0B2D54E5"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00B3EF2" w14:textId="77777777" w:rsidTr="00305D02">
        <w:trPr>
          <w:trHeight w:val="337"/>
        </w:trPr>
        <w:tc>
          <w:tcPr>
            <w:tcW w:w="2261" w:type="dxa"/>
            <w:tcMar>
              <w:left w:w="58" w:type="dxa"/>
              <w:right w:w="58" w:type="dxa"/>
            </w:tcMar>
          </w:tcPr>
          <w:p w14:paraId="6198A0D5" w14:textId="77777777" w:rsidR="0028399A" w:rsidRPr="00756D59" w:rsidRDefault="0028399A" w:rsidP="00305D02">
            <w:pPr>
              <w:jc w:val="left"/>
              <w:rPr>
                <w:sz w:val="20"/>
                <w:szCs w:val="20"/>
                <w:lang w:eastAsia="en-CA"/>
              </w:rPr>
            </w:pPr>
            <w:r w:rsidRPr="00756D59">
              <w:rPr>
                <w:bCs/>
                <w:sz w:val="20"/>
                <w:szCs w:val="20"/>
                <w:lang w:eastAsia="en-CA"/>
              </w:rPr>
              <w:t>Botswana</w:t>
            </w:r>
            <w:r w:rsidRPr="00756D59">
              <w:rPr>
                <w:sz w:val="20"/>
                <w:szCs w:val="20"/>
                <w:lang w:eastAsia="en-CA"/>
              </w:rPr>
              <w:t xml:space="preserve"> </w:t>
            </w:r>
          </w:p>
          <w:p w14:paraId="375EEF09" w14:textId="77777777" w:rsidR="0028399A" w:rsidRPr="00756D59" w:rsidRDefault="0028399A" w:rsidP="00305D02">
            <w:pPr>
              <w:jc w:val="left"/>
              <w:rPr>
                <w:bCs/>
                <w:sz w:val="20"/>
                <w:szCs w:val="20"/>
                <w:lang w:eastAsia="en-CA"/>
              </w:rPr>
            </w:pPr>
            <w:r w:rsidRPr="00756D59">
              <w:rPr>
                <w:sz w:val="20"/>
                <w:szCs w:val="20"/>
                <w:lang w:eastAsia="en-CA"/>
              </w:rPr>
              <w:t>BOT/SEV/81/TAS/01+</w:t>
            </w:r>
          </w:p>
        </w:tc>
        <w:tc>
          <w:tcPr>
            <w:tcW w:w="3352" w:type="dxa"/>
            <w:tcMar>
              <w:left w:w="58" w:type="dxa"/>
              <w:right w:w="58" w:type="dxa"/>
            </w:tcMar>
          </w:tcPr>
          <w:p w14:paraId="5004F61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9610D84"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B508042" w14:textId="77777777" w:rsidR="0028399A" w:rsidRPr="00756D59" w:rsidRDefault="0028399A" w:rsidP="00305D02">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6A552EC1" w14:textId="77777777" w:rsidR="0028399A" w:rsidRPr="00756D59" w:rsidRDefault="0028399A" w:rsidP="00305D02">
            <w:pPr>
              <w:jc w:val="left"/>
              <w:rPr>
                <w:sz w:val="20"/>
                <w:szCs w:val="20"/>
                <w:lang w:eastAsia="en-CA"/>
              </w:rPr>
            </w:pPr>
            <w:r w:rsidRPr="00756D59">
              <w:rPr>
                <w:sz w:val="20"/>
                <w:szCs w:val="20"/>
                <w:lang w:eastAsia="en-CA"/>
              </w:rPr>
              <w:t>Training to Customs Department on the monitoring, recording and reporting of imports/exports of HFCs; RAC technology projection and analysis; conducting sensitization workshops to refrigeration technicians on safe use of alternatives of HFCs.</w:t>
            </w:r>
          </w:p>
        </w:tc>
        <w:tc>
          <w:tcPr>
            <w:tcW w:w="1629" w:type="dxa"/>
            <w:shd w:val="clear" w:color="auto" w:fill="auto"/>
            <w:tcMar>
              <w:left w:w="58" w:type="dxa"/>
              <w:right w:w="58" w:type="dxa"/>
            </w:tcMar>
          </w:tcPr>
          <w:p w14:paraId="60EF8697"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370E2653" w14:textId="77777777" w:rsidTr="00305D02">
        <w:trPr>
          <w:trHeight w:val="337"/>
        </w:trPr>
        <w:tc>
          <w:tcPr>
            <w:tcW w:w="2261" w:type="dxa"/>
            <w:tcMar>
              <w:left w:w="58" w:type="dxa"/>
              <w:right w:w="58" w:type="dxa"/>
            </w:tcMar>
          </w:tcPr>
          <w:p w14:paraId="2A7ABFEE" w14:textId="77777777" w:rsidR="0028399A" w:rsidRPr="00756D59" w:rsidRDefault="0028399A" w:rsidP="00305D02">
            <w:pPr>
              <w:jc w:val="left"/>
              <w:rPr>
                <w:sz w:val="20"/>
                <w:szCs w:val="20"/>
                <w:lang w:val="fr-FR" w:eastAsia="en-CA"/>
              </w:rPr>
            </w:pPr>
            <w:r w:rsidRPr="00756D59">
              <w:rPr>
                <w:bCs/>
                <w:sz w:val="20"/>
                <w:szCs w:val="20"/>
                <w:lang w:val="fr-FR" w:eastAsia="en-CA"/>
              </w:rPr>
              <w:t>Brunei Darussalam</w:t>
            </w:r>
            <w:r w:rsidRPr="00756D59">
              <w:rPr>
                <w:sz w:val="20"/>
                <w:szCs w:val="20"/>
                <w:lang w:val="fr-FR" w:eastAsia="en-CA"/>
              </w:rPr>
              <w:t xml:space="preserve"> </w:t>
            </w:r>
          </w:p>
          <w:p w14:paraId="4221C429" w14:textId="77777777" w:rsidR="0028399A" w:rsidRPr="00756D59" w:rsidRDefault="0028399A" w:rsidP="00305D02">
            <w:pPr>
              <w:jc w:val="left"/>
              <w:rPr>
                <w:bCs/>
                <w:sz w:val="20"/>
                <w:szCs w:val="20"/>
                <w:lang w:val="fr-FR" w:eastAsia="en-CA"/>
              </w:rPr>
            </w:pPr>
            <w:r w:rsidRPr="00756D59">
              <w:rPr>
                <w:sz w:val="20"/>
                <w:szCs w:val="20"/>
                <w:lang w:val="fr-FR" w:eastAsia="en-CA"/>
              </w:rPr>
              <w:t>BRU/SEV/82/TAS/01+</w:t>
            </w:r>
          </w:p>
        </w:tc>
        <w:tc>
          <w:tcPr>
            <w:tcW w:w="3352" w:type="dxa"/>
            <w:tcMar>
              <w:left w:w="58" w:type="dxa"/>
              <w:right w:w="58" w:type="dxa"/>
            </w:tcMar>
          </w:tcPr>
          <w:p w14:paraId="246F234D"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6AA029C"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5332F901" w14:textId="77777777" w:rsidR="0028399A" w:rsidRPr="00756D59" w:rsidRDefault="0028399A" w:rsidP="00305D02">
            <w:pPr>
              <w:jc w:val="center"/>
              <w:rPr>
                <w:bCs/>
                <w:sz w:val="20"/>
                <w:szCs w:val="20"/>
                <w:lang w:eastAsia="en-CA"/>
              </w:rPr>
            </w:pPr>
            <w:r w:rsidRPr="00756D59">
              <w:rPr>
                <w:bCs/>
                <w:sz w:val="20"/>
                <w:szCs w:val="20"/>
                <w:lang w:eastAsia="en-CA"/>
              </w:rPr>
              <w:t>17.2</w:t>
            </w:r>
          </w:p>
        </w:tc>
        <w:tc>
          <w:tcPr>
            <w:tcW w:w="4531" w:type="dxa"/>
            <w:tcMar>
              <w:left w:w="58" w:type="dxa"/>
              <w:right w:w="58" w:type="dxa"/>
            </w:tcMar>
          </w:tcPr>
          <w:p w14:paraId="65878F80" w14:textId="77777777" w:rsidR="0028399A" w:rsidRPr="00756D59" w:rsidRDefault="0028399A" w:rsidP="00305D02">
            <w:pPr>
              <w:jc w:val="left"/>
              <w:rPr>
                <w:sz w:val="20"/>
                <w:szCs w:val="20"/>
                <w:lang w:eastAsia="en-CA"/>
              </w:rPr>
            </w:pPr>
            <w:r w:rsidRPr="00756D59">
              <w:rPr>
                <w:sz w:val="20"/>
                <w:szCs w:val="20"/>
                <w:lang w:eastAsia="en-CA"/>
              </w:rPr>
              <w:t xml:space="preserve">Consultations on Kigali Amendment ratification; roundtable workshops and trainings; finalization of regulation amendment drafts; support for developing HS codes based on revision in 2022; finalization of stickers for </w:t>
            </w:r>
            <w:proofErr w:type="spellStart"/>
            <w:r w:rsidRPr="00756D59">
              <w:rPr>
                <w:sz w:val="20"/>
                <w:szCs w:val="20"/>
                <w:lang w:eastAsia="en-CA"/>
              </w:rPr>
              <w:t>labeling</w:t>
            </w:r>
            <w:proofErr w:type="spellEnd"/>
            <w:r w:rsidRPr="00756D59">
              <w:rPr>
                <w:sz w:val="20"/>
                <w:szCs w:val="20"/>
                <w:lang w:eastAsia="en-CA"/>
              </w:rPr>
              <w:t xml:space="preserve"> of cylinders; development of knowledge products and information materials; and organizing public awareness programme with the energy office.</w:t>
            </w:r>
          </w:p>
        </w:tc>
        <w:tc>
          <w:tcPr>
            <w:tcW w:w="1629" w:type="dxa"/>
            <w:shd w:val="clear" w:color="auto" w:fill="auto"/>
            <w:tcMar>
              <w:left w:w="58" w:type="dxa"/>
              <w:right w:w="58" w:type="dxa"/>
            </w:tcMar>
          </w:tcPr>
          <w:p w14:paraId="1C99102C"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7B9C253" w14:textId="77777777" w:rsidTr="00305D02">
        <w:trPr>
          <w:trHeight w:val="337"/>
        </w:trPr>
        <w:tc>
          <w:tcPr>
            <w:tcW w:w="2261" w:type="dxa"/>
            <w:tcMar>
              <w:left w:w="58" w:type="dxa"/>
              <w:right w:w="58" w:type="dxa"/>
            </w:tcMar>
          </w:tcPr>
          <w:p w14:paraId="34E11CCA" w14:textId="77777777" w:rsidR="0028399A" w:rsidRPr="00756D59" w:rsidRDefault="0028399A" w:rsidP="00305D02">
            <w:pPr>
              <w:jc w:val="left"/>
              <w:rPr>
                <w:sz w:val="20"/>
                <w:szCs w:val="20"/>
                <w:lang w:val="es-419" w:eastAsia="en-CA"/>
              </w:rPr>
            </w:pPr>
            <w:r w:rsidRPr="00756D59">
              <w:rPr>
                <w:bCs/>
                <w:sz w:val="20"/>
                <w:szCs w:val="20"/>
                <w:lang w:val="es-419" w:eastAsia="en-CA"/>
              </w:rPr>
              <w:t>Cabo Verde</w:t>
            </w:r>
            <w:r w:rsidRPr="00756D59">
              <w:rPr>
                <w:sz w:val="20"/>
                <w:szCs w:val="20"/>
                <w:lang w:val="es-419" w:eastAsia="en-CA"/>
              </w:rPr>
              <w:t xml:space="preserve"> </w:t>
            </w:r>
          </w:p>
          <w:p w14:paraId="3B1A34AB" w14:textId="77777777" w:rsidR="0028399A" w:rsidRPr="00756D59" w:rsidRDefault="0028399A" w:rsidP="00305D02">
            <w:pPr>
              <w:jc w:val="left"/>
              <w:rPr>
                <w:bCs/>
                <w:sz w:val="20"/>
                <w:szCs w:val="20"/>
                <w:lang w:val="es-419" w:eastAsia="en-CA"/>
              </w:rPr>
            </w:pPr>
            <w:r w:rsidRPr="00756D59">
              <w:rPr>
                <w:sz w:val="20"/>
                <w:szCs w:val="20"/>
                <w:lang w:val="es-419" w:eastAsia="en-CA"/>
              </w:rPr>
              <w:t>CBI/SEV/82/TAS/01+</w:t>
            </w:r>
          </w:p>
        </w:tc>
        <w:tc>
          <w:tcPr>
            <w:tcW w:w="3352" w:type="dxa"/>
            <w:tcMar>
              <w:left w:w="58" w:type="dxa"/>
              <w:right w:w="58" w:type="dxa"/>
            </w:tcMar>
          </w:tcPr>
          <w:p w14:paraId="7763624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ABF308A"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53B5EEAE" w14:textId="77777777" w:rsidR="0028399A" w:rsidRPr="00756D59" w:rsidRDefault="0028399A" w:rsidP="00305D02">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05926D2B" w14:textId="77777777" w:rsidR="0028399A" w:rsidRPr="00756D59" w:rsidRDefault="0028399A" w:rsidP="00305D02">
            <w:pPr>
              <w:jc w:val="left"/>
              <w:rPr>
                <w:sz w:val="20"/>
                <w:szCs w:val="20"/>
                <w:lang w:eastAsia="en-CA"/>
              </w:rPr>
            </w:pPr>
            <w:r w:rsidRPr="00756D59">
              <w:rPr>
                <w:sz w:val="20"/>
                <w:szCs w:val="20"/>
                <w:lang w:eastAsia="en-CA"/>
              </w:rPr>
              <w:t>Development of country-specific HS codes for HFCs; sensitization meetings for technicians on safe handling of HFCs and their alternatives; and assisting Customs Office in developing national custom codes for different HFCs and including them into the Customs Tariff for proper monitoring and recording of imports/exports or re-export of individual HFCs.</w:t>
            </w:r>
          </w:p>
        </w:tc>
        <w:tc>
          <w:tcPr>
            <w:tcW w:w="1629" w:type="dxa"/>
            <w:shd w:val="clear" w:color="auto" w:fill="auto"/>
            <w:tcMar>
              <w:left w:w="58" w:type="dxa"/>
              <w:right w:w="58" w:type="dxa"/>
            </w:tcMar>
          </w:tcPr>
          <w:p w14:paraId="5D72C9EF" w14:textId="77777777" w:rsidR="0028399A" w:rsidRPr="00756D59" w:rsidRDefault="0028399A" w:rsidP="00305D02">
            <w:pPr>
              <w:jc w:val="center"/>
              <w:rPr>
                <w:bCs/>
                <w:sz w:val="20"/>
                <w:szCs w:val="20"/>
                <w:lang w:eastAsia="en-CA"/>
              </w:rPr>
            </w:pPr>
            <w:r w:rsidRPr="00756D59">
              <w:rPr>
                <w:bCs/>
                <w:sz w:val="20"/>
                <w:szCs w:val="20"/>
                <w:lang w:eastAsia="en-CA"/>
              </w:rPr>
              <w:t>Dec-22</w:t>
            </w:r>
          </w:p>
        </w:tc>
      </w:tr>
      <w:tr w:rsidR="0028399A" w:rsidRPr="00756D59" w14:paraId="607F31FF" w14:textId="77777777" w:rsidTr="00305D02">
        <w:trPr>
          <w:trHeight w:val="337"/>
        </w:trPr>
        <w:tc>
          <w:tcPr>
            <w:tcW w:w="2261" w:type="dxa"/>
            <w:tcMar>
              <w:left w:w="58" w:type="dxa"/>
              <w:right w:w="58" w:type="dxa"/>
            </w:tcMar>
          </w:tcPr>
          <w:p w14:paraId="4C609E3A" w14:textId="77777777" w:rsidR="0028399A" w:rsidRPr="00756D59" w:rsidRDefault="0028399A" w:rsidP="00305D02">
            <w:pPr>
              <w:jc w:val="left"/>
              <w:rPr>
                <w:sz w:val="20"/>
                <w:szCs w:val="20"/>
                <w:lang w:eastAsia="en-CA"/>
              </w:rPr>
            </w:pPr>
            <w:r w:rsidRPr="00756D59">
              <w:rPr>
                <w:bCs/>
                <w:sz w:val="20"/>
                <w:szCs w:val="20"/>
                <w:lang w:eastAsia="en-CA"/>
              </w:rPr>
              <w:t>Chad</w:t>
            </w:r>
            <w:r w:rsidRPr="00756D59">
              <w:rPr>
                <w:sz w:val="20"/>
                <w:szCs w:val="20"/>
                <w:lang w:eastAsia="en-CA"/>
              </w:rPr>
              <w:t xml:space="preserve"> </w:t>
            </w:r>
          </w:p>
          <w:p w14:paraId="31A2FA20" w14:textId="77777777" w:rsidR="0028399A" w:rsidRPr="00756D59" w:rsidRDefault="0028399A" w:rsidP="00305D02">
            <w:pPr>
              <w:jc w:val="left"/>
              <w:rPr>
                <w:bCs/>
                <w:sz w:val="20"/>
                <w:szCs w:val="20"/>
                <w:lang w:eastAsia="en-CA"/>
              </w:rPr>
            </w:pPr>
            <w:r w:rsidRPr="00756D59">
              <w:rPr>
                <w:sz w:val="20"/>
                <w:szCs w:val="20"/>
                <w:lang w:eastAsia="en-CA"/>
              </w:rPr>
              <w:t>CHD/SEV/81/TAS/01+</w:t>
            </w:r>
          </w:p>
        </w:tc>
        <w:tc>
          <w:tcPr>
            <w:tcW w:w="3352" w:type="dxa"/>
            <w:tcMar>
              <w:left w:w="58" w:type="dxa"/>
              <w:right w:w="58" w:type="dxa"/>
            </w:tcMar>
          </w:tcPr>
          <w:p w14:paraId="54627C6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14B995D"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C478118" w14:textId="77777777" w:rsidR="0028399A" w:rsidRPr="00756D59" w:rsidRDefault="0028399A" w:rsidP="00305D02">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4E30364E" w14:textId="77777777" w:rsidR="0028399A" w:rsidRPr="00756D59" w:rsidRDefault="0028399A" w:rsidP="00305D02">
            <w:pPr>
              <w:jc w:val="left"/>
              <w:rPr>
                <w:sz w:val="20"/>
                <w:szCs w:val="20"/>
                <w:lang w:eastAsia="en-CA"/>
              </w:rPr>
            </w:pPr>
            <w:r w:rsidRPr="00756D59">
              <w:rPr>
                <w:sz w:val="20"/>
                <w:szCs w:val="20"/>
                <w:lang w:eastAsia="en-CA"/>
              </w:rPr>
              <w:t>Supporting Customs Department to develop country-specific national HS codes for HFCs for proper monitoring and recording of imports/exports of individual HFCs/alternatives; and hiring national and international consultants for conducting training needs assessment.</w:t>
            </w:r>
          </w:p>
        </w:tc>
        <w:tc>
          <w:tcPr>
            <w:tcW w:w="1629" w:type="dxa"/>
            <w:shd w:val="clear" w:color="auto" w:fill="auto"/>
            <w:tcMar>
              <w:left w:w="58" w:type="dxa"/>
              <w:right w:w="58" w:type="dxa"/>
            </w:tcMar>
          </w:tcPr>
          <w:p w14:paraId="2AA03E35"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25487E6C" w14:textId="77777777" w:rsidTr="00305D02">
        <w:trPr>
          <w:trHeight w:val="337"/>
        </w:trPr>
        <w:tc>
          <w:tcPr>
            <w:tcW w:w="2261" w:type="dxa"/>
            <w:tcMar>
              <w:left w:w="58" w:type="dxa"/>
              <w:right w:w="58" w:type="dxa"/>
            </w:tcMar>
          </w:tcPr>
          <w:p w14:paraId="0AADED10" w14:textId="77777777" w:rsidR="0028399A" w:rsidRPr="00756D59" w:rsidRDefault="0028399A" w:rsidP="00305D02">
            <w:pPr>
              <w:jc w:val="left"/>
              <w:rPr>
                <w:sz w:val="20"/>
                <w:szCs w:val="20"/>
                <w:lang w:eastAsia="en-CA"/>
              </w:rPr>
            </w:pPr>
            <w:r w:rsidRPr="00756D59">
              <w:rPr>
                <w:bCs/>
                <w:sz w:val="20"/>
                <w:szCs w:val="20"/>
                <w:lang w:eastAsia="en-CA"/>
              </w:rPr>
              <w:lastRenderedPageBreak/>
              <w:t>Chile</w:t>
            </w:r>
            <w:r w:rsidRPr="00756D59">
              <w:rPr>
                <w:sz w:val="20"/>
                <w:szCs w:val="20"/>
                <w:lang w:eastAsia="en-CA"/>
              </w:rPr>
              <w:t xml:space="preserve"> </w:t>
            </w:r>
          </w:p>
          <w:p w14:paraId="4D6C4818" w14:textId="77777777" w:rsidR="0028399A" w:rsidRPr="00756D59" w:rsidRDefault="0028399A" w:rsidP="00305D02">
            <w:pPr>
              <w:jc w:val="left"/>
              <w:rPr>
                <w:bCs/>
                <w:sz w:val="20"/>
                <w:szCs w:val="20"/>
                <w:lang w:eastAsia="en-CA"/>
              </w:rPr>
            </w:pPr>
            <w:r w:rsidRPr="00756D59">
              <w:rPr>
                <w:sz w:val="20"/>
                <w:szCs w:val="20"/>
                <w:lang w:eastAsia="en-CA"/>
              </w:rPr>
              <w:t>CHI/SEV/80/TAS/01+</w:t>
            </w:r>
          </w:p>
        </w:tc>
        <w:tc>
          <w:tcPr>
            <w:tcW w:w="3352" w:type="dxa"/>
            <w:tcMar>
              <w:left w:w="58" w:type="dxa"/>
              <w:right w:w="58" w:type="dxa"/>
            </w:tcMar>
          </w:tcPr>
          <w:p w14:paraId="4E168CEC"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2290928"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0B51320E" w14:textId="77777777" w:rsidR="0028399A" w:rsidRPr="00756D59" w:rsidRDefault="0028399A" w:rsidP="00305D02">
            <w:pPr>
              <w:jc w:val="center"/>
              <w:rPr>
                <w:bCs/>
                <w:sz w:val="20"/>
                <w:szCs w:val="20"/>
                <w:lang w:eastAsia="en-CA"/>
              </w:rPr>
            </w:pPr>
            <w:r w:rsidRPr="00756D59">
              <w:rPr>
                <w:bCs/>
                <w:sz w:val="20"/>
                <w:szCs w:val="20"/>
                <w:lang w:eastAsia="en-CA"/>
              </w:rPr>
              <w:t>52.1</w:t>
            </w:r>
          </w:p>
        </w:tc>
        <w:tc>
          <w:tcPr>
            <w:tcW w:w="4531" w:type="dxa"/>
            <w:tcMar>
              <w:left w:w="58" w:type="dxa"/>
              <w:right w:w="58" w:type="dxa"/>
            </w:tcMar>
          </w:tcPr>
          <w:p w14:paraId="44F9F37D" w14:textId="77777777" w:rsidR="0028399A" w:rsidRPr="00756D59" w:rsidRDefault="0028399A" w:rsidP="00305D02">
            <w:pPr>
              <w:jc w:val="left"/>
              <w:rPr>
                <w:sz w:val="20"/>
                <w:szCs w:val="20"/>
                <w:lang w:eastAsia="en-CA"/>
              </w:rPr>
            </w:pPr>
            <w:r w:rsidRPr="00756D59">
              <w:rPr>
                <w:sz w:val="20"/>
                <w:szCs w:val="20"/>
                <w:lang w:eastAsia="en-CA"/>
              </w:rPr>
              <w:t>Specialized training in HFC controls for customs officers.</w:t>
            </w:r>
          </w:p>
        </w:tc>
        <w:tc>
          <w:tcPr>
            <w:tcW w:w="1629" w:type="dxa"/>
            <w:shd w:val="clear" w:color="auto" w:fill="auto"/>
            <w:tcMar>
              <w:left w:w="58" w:type="dxa"/>
              <w:right w:w="58" w:type="dxa"/>
            </w:tcMar>
          </w:tcPr>
          <w:p w14:paraId="43FEE949"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7A809A76" w14:textId="77777777" w:rsidTr="00305D02">
        <w:trPr>
          <w:trHeight w:val="337"/>
        </w:trPr>
        <w:tc>
          <w:tcPr>
            <w:tcW w:w="2261" w:type="dxa"/>
            <w:tcMar>
              <w:left w:w="58" w:type="dxa"/>
              <w:right w:w="58" w:type="dxa"/>
            </w:tcMar>
          </w:tcPr>
          <w:p w14:paraId="6926B419" w14:textId="77777777" w:rsidR="0028399A" w:rsidRPr="00756D59" w:rsidRDefault="0028399A" w:rsidP="00305D02">
            <w:pPr>
              <w:jc w:val="left"/>
              <w:rPr>
                <w:sz w:val="20"/>
                <w:szCs w:val="20"/>
                <w:lang w:eastAsia="en-CA"/>
              </w:rPr>
            </w:pPr>
            <w:r w:rsidRPr="00756D59">
              <w:rPr>
                <w:bCs/>
                <w:sz w:val="20"/>
                <w:szCs w:val="20"/>
                <w:lang w:eastAsia="en-CA"/>
              </w:rPr>
              <w:t>Comoros</w:t>
            </w:r>
            <w:r w:rsidRPr="00756D59">
              <w:rPr>
                <w:sz w:val="20"/>
                <w:szCs w:val="20"/>
                <w:lang w:eastAsia="en-CA"/>
              </w:rPr>
              <w:t xml:space="preserve"> (the)</w:t>
            </w:r>
          </w:p>
          <w:p w14:paraId="0CD80C23" w14:textId="77777777" w:rsidR="0028399A" w:rsidRPr="00756D59" w:rsidRDefault="0028399A" w:rsidP="00305D02">
            <w:pPr>
              <w:jc w:val="left"/>
              <w:rPr>
                <w:bCs/>
                <w:sz w:val="20"/>
                <w:szCs w:val="20"/>
                <w:lang w:eastAsia="en-CA"/>
              </w:rPr>
            </w:pPr>
            <w:r w:rsidRPr="00756D59">
              <w:rPr>
                <w:sz w:val="20"/>
                <w:szCs w:val="20"/>
                <w:lang w:eastAsia="en-CA"/>
              </w:rPr>
              <w:t>COI/SEV/81/TAS/01+</w:t>
            </w:r>
          </w:p>
        </w:tc>
        <w:tc>
          <w:tcPr>
            <w:tcW w:w="3352" w:type="dxa"/>
            <w:tcMar>
              <w:left w:w="58" w:type="dxa"/>
              <w:right w:w="58" w:type="dxa"/>
            </w:tcMar>
          </w:tcPr>
          <w:p w14:paraId="57564127"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30E55FA"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805255E" w14:textId="77777777" w:rsidR="0028399A" w:rsidRPr="00756D59" w:rsidRDefault="0028399A" w:rsidP="00305D02">
            <w:pPr>
              <w:jc w:val="center"/>
              <w:rPr>
                <w:bCs/>
                <w:sz w:val="20"/>
                <w:szCs w:val="20"/>
                <w:lang w:eastAsia="en-CA"/>
              </w:rPr>
            </w:pPr>
            <w:r w:rsidRPr="00756D59">
              <w:rPr>
                <w:bCs/>
                <w:sz w:val="20"/>
                <w:szCs w:val="20"/>
                <w:lang w:eastAsia="en-CA"/>
              </w:rPr>
              <w:t>79.6</w:t>
            </w:r>
          </w:p>
        </w:tc>
        <w:tc>
          <w:tcPr>
            <w:tcW w:w="4531" w:type="dxa"/>
            <w:tcMar>
              <w:left w:w="58" w:type="dxa"/>
              <w:right w:w="58" w:type="dxa"/>
            </w:tcMar>
          </w:tcPr>
          <w:p w14:paraId="78778746" w14:textId="77777777" w:rsidR="0028399A" w:rsidRPr="00756D59" w:rsidRDefault="0028399A" w:rsidP="00305D02">
            <w:pPr>
              <w:jc w:val="left"/>
              <w:rPr>
                <w:sz w:val="20"/>
                <w:szCs w:val="20"/>
                <w:lang w:eastAsia="en-CA"/>
              </w:rPr>
            </w:pPr>
            <w:r w:rsidRPr="00756D59">
              <w:rPr>
                <w:sz w:val="20"/>
                <w:szCs w:val="20"/>
                <w:lang w:eastAsia="en-CA"/>
              </w:rPr>
              <w:t>Conduct sensitization meetings for technicians on safe handling of HFCs/alternatives; hiring international consultant for training need assessment; and assisting the Customs Department for developing country-specific HS codes for HFCs to facilitate proper monitoring and recording of imports/exports of individual HFCs/alternatives.</w:t>
            </w:r>
          </w:p>
        </w:tc>
        <w:tc>
          <w:tcPr>
            <w:tcW w:w="1629" w:type="dxa"/>
            <w:shd w:val="clear" w:color="auto" w:fill="auto"/>
            <w:tcMar>
              <w:left w:w="58" w:type="dxa"/>
              <w:right w:w="58" w:type="dxa"/>
            </w:tcMar>
          </w:tcPr>
          <w:p w14:paraId="1C8D79A6"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D9EE2CE" w14:textId="77777777" w:rsidTr="00305D02">
        <w:trPr>
          <w:trHeight w:val="337"/>
        </w:trPr>
        <w:tc>
          <w:tcPr>
            <w:tcW w:w="2261" w:type="dxa"/>
            <w:tcMar>
              <w:left w:w="58" w:type="dxa"/>
              <w:right w:w="58" w:type="dxa"/>
            </w:tcMar>
          </w:tcPr>
          <w:p w14:paraId="32B293CF" w14:textId="77777777" w:rsidR="0028399A" w:rsidRPr="00756D59" w:rsidRDefault="0028399A" w:rsidP="00305D02">
            <w:pPr>
              <w:jc w:val="left"/>
              <w:rPr>
                <w:sz w:val="20"/>
                <w:szCs w:val="20"/>
                <w:lang w:eastAsia="en-CA"/>
              </w:rPr>
            </w:pPr>
            <w:r w:rsidRPr="00756D59">
              <w:rPr>
                <w:bCs/>
                <w:sz w:val="20"/>
                <w:szCs w:val="20"/>
                <w:lang w:eastAsia="en-CA"/>
              </w:rPr>
              <w:t>Cook Islands</w:t>
            </w:r>
            <w:r w:rsidRPr="00756D59">
              <w:rPr>
                <w:sz w:val="20"/>
                <w:szCs w:val="20"/>
                <w:lang w:eastAsia="en-CA"/>
              </w:rPr>
              <w:t xml:space="preserve"> (the)</w:t>
            </w:r>
          </w:p>
          <w:p w14:paraId="07DD3841" w14:textId="77777777" w:rsidR="0028399A" w:rsidRPr="00756D59" w:rsidRDefault="0028399A" w:rsidP="00305D02">
            <w:pPr>
              <w:jc w:val="left"/>
              <w:rPr>
                <w:bCs/>
                <w:sz w:val="20"/>
                <w:szCs w:val="20"/>
                <w:lang w:eastAsia="en-CA"/>
              </w:rPr>
            </w:pPr>
            <w:r w:rsidRPr="00756D59">
              <w:rPr>
                <w:sz w:val="20"/>
                <w:szCs w:val="20"/>
                <w:lang w:eastAsia="en-CA"/>
              </w:rPr>
              <w:t>CKI/SEV/82/TAS/01+</w:t>
            </w:r>
          </w:p>
        </w:tc>
        <w:tc>
          <w:tcPr>
            <w:tcW w:w="3352" w:type="dxa"/>
            <w:tcMar>
              <w:left w:w="58" w:type="dxa"/>
              <w:right w:w="58" w:type="dxa"/>
            </w:tcMar>
          </w:tcPr>
          <w:p w14:paraId="4CC3D71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01FD0D9"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2F9BC47D" w14:textId="77777777" w:rsidR="0028399A" w:rsidRPr="00756D59" w:rsidRDefault="0028399A" w:rsidP="00305D02">
            <w:pPr>
              <w:jc w:val="center"/>
              <w:rPr>
                <w:bCs/>
                <w:sz w:val="20"/>
                <w:szCs w:val="20"/>
                <w:lang w:eastAsia="en-CA"/>
              </w:rPr>
            </w:pPr>
            <w:r w:rsidRPr="00756D59">
              <w:rPr>
                <w:bCs/>
                <w:sz w:val="20"/>
                <w:szCs w:val="20"/>
                <w:lang w:eastAsia="en-CA"/>
              </w:rPr>
              <w:t>47.4</w:t>
            </w:r>
          </w:p>
        </w:tc>
        <w:tc>
          <w:tcPr>
            <w:tcW w:w="4531" w:type="dxa"/>
            <w:tcMar>
              <w:left w:w="58" w:type="dxa"/>
              <w:right w:w="58" w:type="dxa"/>
            </w:tcMar>
          </w:tcPr>
          <w:p w14:paraId="05CDB6F8"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 roundtable workshops and trainings for servicing sector; finalization of the amendment to the ozone layer protection regulation for strengthening HFC controls; and development of knowledge products and information materials on Kigali Amendment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3FF10D7A"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3D88037F" w14:textId="77777777" w:rsidTr="00305D02">
        <w:trPr>
          <w:trHeight w:val="337"/>
        </w:trPr>
        <w:tc>
          <w:tcPr>
            <w:tcW w:w="2261" w:type="dxa"/>
            <w:tcMar>
              <w:left w:w="58" w:type="dxa"/>
              <w:right w:w="58" w:type="dxa"/>
            </w:tcMar>
          </w:tcPr>
          <w:p w14:paraId="736FB85F" w14:textId="77777777" w:rsidR="0028399A" w:rsidRPr="00756D59" w:rsidRDefault="0028399A" w:rsidP="00305D02">
            <w:pPr>
              <w:jc w:val="left"/>
              <w:rPr>
                <w:sz w:val="20"/>
                <w:szCs w:val="20"/>
                <w:lang w:val="fr-FR" w:eastAsia="en-CA"/>
              </w:rPr>
            </w:pPr>
            <w:r w:rsidRPr="00756D59">
              <w:rPr>
                <w:bCs/>
                <w:sz w:val="20"/>
                <w:szCs w:val="20"/>
                <w:lang w:val="fr-FR" w:eastAsia="en-CA"/>
              </w:rPr>
              <w:t>Cote d’Ivoire</w:t>
            </w:r>
            <w:r w:rsidRPr="00756D59">
              <w:rPr>
                <w:sz w:val="20"/>
                <w:szCs w:val="20"/>
                <w:lang w:val="fr-FR" w:eastAsia="en-CA"/>
              </w:rPr>
              <w:t xml:space="preserve"> </w:t>
            </w:r>
          </w:p>
          <w:p w14:paraId="200115EA" w14:textId="77777777" w:rsidR="0028399A" w:rsidRPr="00756D59" w:rsidRDefault="0028399A" w:rsidP="00305D02">
            <w:pPr>
              <w:jc w:val="left"/>
              <w:rPr>
                <w:bCs/>
                <w:sz w:val="20"/>
                <w:szCs w:val="20"/>
                <w:lang w:val="fr-FR" w:eastAsia="en-CA"/>
              </w:rPr>
            </w:pPr>
            <w:r w:rsidRPr="00756D59">
              <w:rPr>
                <w:sz w:val="20"/>
                <w:szCs w:val="20"/>
                <w:lang w:val="fr-FR" w:eastAsia="en-CA"/>
              </w:rPr>
              <w:t>IVC/SEV/81/TAS/01+</w:t>
            </w:r>
          </w:p>
        </w:tc>
        <w:tc>
          <w:tcPr>
            <w:tcW w:w="3352" w:type="dxa"/>
            <w:tcMar>
              <w:left w:w="58" w:type="dxa"/>
              <w:right w:w="58" w:type="dxa"/>
            </w:tcMar>
          </w:tcPr>
          <w:p w14:paraId="64B28028"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EEB69A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8420850" w14:textId="77777777" w:rsidR="0028399A" w:rsidRPr="00756D59" w:rsidRDefault="0028399A" w:rsidP="00305D02">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38459F35" w14:textId="77777777" w:rsidR="0028399A" w:rsidRPr="00756D59" w:rsidRDefault="0028399A" w:rsidP="00305D02">
            <w:pPr>
              <w:jc w:val="left"/>
              <w:rPr>
                <w:sz w:val="20"/>
                <w:szCs w:val="20"/>
                <w:lang w:eastAsia="en-CA"/>
              </w:rPr>
            </w:pPr>
            <w:r w:rsidRPr="00756D59">
              <w:rPr>
                <w:sz w:val="20"/>
                <w:szCs w:val="20"/>
                <w:lang w:eastAsia="en-CA"/>
              </w:rPr>
              <w:t>Assisting Customs Office in developing national custom codes for different HFCs and including them into the Customs Tariff for proper monitoring and recording of imports/exports or re</w:t>
            </w:r>
            <w:r w:rsidRPr="00756D59">
              <w:rPr>
                <w:sz w:val="20"/>
                <w:szCs w:val="20"/>
                <w:lang w:eastAsia="en-CA"/>
              </w:rPr>
              <w:noBreakHyphen/>
              <w:t>export of individual HFCs; and hiring international consultant for training needs assessment.</w:t>
            </w:r>
          </w:p>
        </w:tc>
        <w:tc>
          <w:tcPr>
            <w:tcW w:w="1629" w:type="dxa"/>
            <w:shd w:val="clear" w:color="auto" w:fill="auto"/>
            <w:tcMar>
              <w:left w:w="58" w:type="dxa"/>
              <w:right w:w="58" w:type="dxa"/>
            </w:tcMar>
          </w:tcPr>
          <w:p w14:paraId="61F98C4B"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05C6B63" w14:textId="77777777" w:rsidTr="00305D02">
        <w:trPr>
          <w:trHeight w:val="337"/>
        </w:trPr>
        <w:tc>
          <w:tcPr>
            <w:tcW w:w="2261" w:type="dxa"/>
            <w:tcMar>
              <w:left w:w="58" w:type="dxa"/>
              <w:right w:w="58" w:type="dxa"/>
            </w:tcMar>
          </w:tcPr>
          <w:p w14:paraId="25FAE858" w14:textId="77777777" w:rsidR="0028399A" w:rsidRPr="00756D59" w:rsidRDefault="0028399A" w:rsidP="00305D02">
            <w:pPr>
              <w:jc w:val="left"/>
              <w:rPr>
                <w:sz w:val="20"/>
                <w:szCs w:val="20"/>
                <w:lang w:eastAsia="en-CA"/>
              </w:rPr>
            </w:pPr>
            <w:r w:rsidRPr="00756D59">
              <w:rPr>
                <w:bCs/>
                <w:sz w:val="20"/>
                <w:szCs w:val="20"/>
                <w:lang w:eastAsia="en-CA"/>
              </w:rPr>
              <w:t>Democratic Republic of the Congo (the)</w:t>
            </w:r>
            <w:r w:rsidRPr="00756D59">
              <w:rPr>
                <w:sz w:val="20"/>
                <w:szCs w:val="20"/>
                <w:lang w:eastAsia="en-CA"/>
              </w:rPr>
              <w:t xml:space="preserve"> </w:t>
            </w:r>
          </w:p>
          <w:p w14:paraId="25B03D34" w14:textId="77777777" w:rsidR="0028399A" w:rsidRPr="00756D59" w:rsidRDefault="0028399A" w:rsidP="00305D02">
            <w:pPr>
              <w:jc w:val="left"/>
              <w:rPr>
                <w:bCs/>
                <w:sz w:val="20"/>
                <w:szCs w:val="20"/>
                <w:lang w:eastAsia="en-CA"/>
              </w:rPr>
            </w:pPr>
            <w:r w:rsidRPr="00756D59">
              <w:rPr>
                <w:sz w:val="20"/>
                <w:szCs w:val="20"/>
                <w:lang w:eastAsia="en-CA"/>
              </w:rPr>
              <w:t>DRC/SEV/81/TAS/01+</w:t>
            </w:r>
          </w:p>
        </w:tc>
        <w:tc>
          <w:tcPr>
            <w:tcW w:w="3352" w:type="dxa"/>
            <w:tcMar>
              <w:left w:w="58" w:type="dxa"/>
              <w:right w:w="58" w:type="dxa"/>
            </w:tcMar>
          </w:tcPr>
          <w:p w14:paraId="7528C76F"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877DB78"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92B6508" w14:textId="77777777" w:rsidR="0028399A" w:rsidRPr="00756D59" w:rsidRDefault="0028399A" w:rsidP="00305D02">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40CFC6F6" w14:textId="77777777" w:rsidR="0028399A" w:rsidRPr="00756D59" w:rsidRDefault="0028399A" w:rsidP="00305D02">
            <w:pPr>
              <w:jc w:val="left"/>
              <w:rPr>
                <w:sz w:val="20"/>
                <w:szCs w:val="20"/>
                <w:lang w:eastAsia="en-CA"/>
              </w:rPr>
            </w:pPr>
            <w:r w:rsidRPr="00756D59">
              <w:rPr>
                <w:sz w:val="20"/>
                <w:szCs w:val="20"/>
                <w:lang w:eastAsia="en-CA"/>
              </w:rPr>
              <w:t>Drafting the law on ratification of the Kigali Amendment with the justification; analysis of the ozone and climate policy/legislation and drafting the amendments to the existing legislation to allow for ratification of the Kigali Amendment; conducting training needs assessment for the servicing sector and preparing an assessment report; and finalizing the package on the ratification of Kigali Amendment and advancing the ratification process.</w:t>
            </w:r>
          </w:p>
        </w:tc>
        <w:tc>
          <w:tcPr>
            <w:tcW w:w="1629" w:type="dxa"/>
            <w:shd w:val="clear" w:color="auto" w:fill="auto"/>
            <w:tcMar>
              <w:left w:w="58" w:type="dxa"/>
              <w:right w:w="58" w:type="dxa"/>
            </w:tcMar>
          </w:tcPr>
          <w:p w14:paraId="7E10AA26"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2B082EEF" w14:textId="77777777" w:rsidTr="00305D02">
        <w:trPr>
          <w:trHeight w:val="337"/>
        </w:trPr>
        <w:tc>
          <w:tcPr>
            <w:tcW w:w="2261" w:type="dxa"/>
            <w:tcMar>
              <w:left w:w="58" w:type="dxa"/>
              <w:right w:w="58" w:type="dxa"/>
            </w:tcMar>
          </w:tcPr>
          <w:p w14:paraId="5490B145" w14:textId="77777777" w:rsidR="0028399A" w:rsidRPr="00756D59" w:rsidRDefault="0028399A" w:rsidP="00305D02">
            <w:pPr>
              <w:jc w:val="left"/>
              <w:rPr>
                <w:sz w:val="20"/>
                <w:szCs w:val="20"/>
                <w:lang w:eastAsia="en-CA"/>
              </w:rPr>
            </w:pPr>
            <w:r w:rsidRPr="00756D59">
              <w:rPr>
                <w:bCs/>
                <w:sz w:val="20"/>
                <w:szCs w:val="20"/>
                <w:lang w:eastAsia="en-CA"/>
              </w:rPr>
              <w:t>Djibouti</w:t>
            </w:r>
            <w:r w:rsidRPr="00756D59">
              <w:rPr>
                <w:sz w:val="20"/>
                <w:szCs w:val="20"/>
                <w:lang w:eastAsia="en-CA"/>
              </w:rPr>
              <w:t xml:space="preserve"> </w:t>
            </w:r>
          </w:p>
          <w:p w14:paraId="4DED8B04" w14:textId="77777777" w:rsidR="0028399A" w:rsidRPr="00756D59" w:rsidRDefault="0028399A" w:rsidP="00305D02">
            <w:pPr>
              <w:jc w:val="left"/>
              <w:rPr>
                <w:bCs/>
                <w:sz w:val="20"/>
                <w:szCs w:val="20"/>
                <w:lang w:eastAsia="en-CA"/>
              </w:rPr>
            </w:pPr>
            <w:r w:rsidRPr="00756D59">
              <w:rPr>
                <w:sz w:val="20"/>
                <w:szCs w:val="20"/>
                <w:lang w:eastAsia="en-CA"/>
              </w:rPr>
              <w:t>DJI/SEV/81/TAS/01+</w:t>
            </w:r>
          </w:p>
        </w:tc>
        <w:tc>
          <w:tcPr>
            <w:tcW w:w="3352" w:type="dxa"/>
            <w:tcMar>
              <w:left w:w="58" w:type="dxa"/>
              <w:right w:w="58" w:type="dxa"/>
            </w:tcMar>
          </w:tcPr>
          <w:p w14:paraId="2CFB085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57B12E6"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D90C49D" w14:textId="77777777" w:rsidR="0028399A" w:rsidRPr="00756D59" w:rsidRDefault="0028399A" w:rsidP="00305D02">
            <w:pPr>
              <w:jc w:val="center"/>
              <w:rPr>
                <w:bCs/>
                <w:sz w:val="20"/>
                <w:szCs w:val="20"/>
                <w:lang w:eastAsia="en-CA"/>
              </w:rPr>
            </w:pPr>
            <w:r w:rsidRPr="00756D59">
              <w:rPr>
                <w:bCs/>
                <w:sz w:val="20"/>
                <w:szCs w:val="20"/>
                <w:lang w:eastAsia="en-CA"/>
              </w:rPr>
              <w:t>40</w:t>
            </w:r>
          </w:p>
        </w:tc>
        <w:tc>
          <w:tcPr>
            <w:tcW w:w="4531" w:type="dxa"/>
            <w:tcMar>
              <w:left w:w="58" w:type="dxa"/>
              <w:right w:w="58" w:type="dxa"/>
            </w:tcMar>
          </w:tcPr>
          <w:p w14:paraId="45D3AAAE" w14:textId="77777777" w:rsidR="0028399A" w:rsidRPr="00756D59" w:rsidRDefault="0028399A" w:rsidP="00305D02">
            <w:pPr>
              <w:jc w:val="left"/>
              <w:rPr>
                <w:sz w:val="20"/>
                <w:szCs w:val="20"/>
                <w:lang w:eastAsia="en-CA"/>
              </w:rPr>
            </w:pPr>
            <w:r w:rsidRPr="00756D59">
              <w:rPr>
                <w:sz w:val="20"/>
                <w:szCs w:val="20"/>
                <w:lang w:eastAsia="en-CA"/>
              </w:rPr>
              <w:t>Finalizing the package on the ratification of the Kigali Amendment and advancing the ratification process; undertaking the training needs assessment for the servicing sector and preparing an assessment report; and conducting sensitization meetings for technicians on safe handling of HFCs and their alternatives.</w:t>
            </w:r>
          </w:p>
        </w:tc>
        <w:tc>
          <w:tcPr>
            <w:tcW w:w="1629" w:type="dxa"/>
            <w:shd w:val="clear" w:color="auto" w:fill="auto"/>
            <w:tcMar>
              <w:left w:w="58" w:type="dxa"/>
              <w:right w:w="58" w:type="dxa"/>
            </w:tcMar>
          </w:tcPr>
          <w:p w14:paraId="6447A169"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7BE6AD62" w14:textId="77777777" w:rsidTr="00305D02">
        <w:trPr>
          <w:trHeight w:val="337"/>
        </w:trPr>
        <w:tc>
          <w:tcPr>
            <w:tcW w:w="2261" w:type="dxa"/>
            <w:tcMar>
              <w:left w:w="58" w:type="dxa"/>
              <w:right w:w="58" w:type="dxa"/>
            </w:tcMar>
          </w:tcPr>
          <w:p w14:paraId="73FD4EFA" w14:textId="77777777" w:rsidR="0028399A" w:rsidRPr="00756D59" w:rsidRDefault="0028399A" w:rsidP="00305D02">
            <w:pPr>
              <w:jc w:val="left"/>
              <w:rPr>
                <w:sz w:val="20"/>
                <w:szCs w:val="20"/>
                <w:lang w:eastAsia="en-CA"/>
              </w:rPr>
            </w:pPr>
            <w:r w:rsidRPr="00756D59">
              <w:rPr>
                <w:bCs/>
                <w:sz w:val="20"/>
                <w:szCs w:val="20"/>
                <w:lang w:eastAsia="en-CA"/>
              </w:rPr>
              <w:lastRenderedPageBreak/>
              <w:t>Dominica</w:t>
            </w:r>
            <w:r w:rsidRPr="00756D59">
              <w:rPr>
                <w:sz w:val="20"/>
                <w:szCs w:val="20"/>
                <w:lang w:eastAsia="en-CA"/>
              </w:rPr>
              <w:t xml:space="preserve"> </w:t>
            </w:r>
          </w:p>
          <w:p w14:paraId="57CBC9F3" w14:textId="77777777" w:rsidR="0028399A" w:rsidRPr="00756D59" w:rsidRDefault="0028399A" w:rsidP="00305D02">
            <w:pPr>
              <w:jc w:val="left"/>
              <w:rPr>
                <w:bCs/>
                <w:sz w:val="20"/>
                <w:szCs w:val="20"/>
                <w:lang w:eastAsia="en-CA"/>
              </w:rPr>
            </w:pPr>
            <w:r w:rsidRPr="00756D59">
              <w:rPr>
                <w:sz w:val="20"/>
                <w:szCs w:val="20"/>
                <w:lang w:eastAsia="en-CA"/>
              </w:rPr>
              <w:t>DMI/SEV/80/TAS/01+</w:t>
            </w:r>
          </w:p>
        </w:tc>
        <w:tc>
          <w:tcPr>
            <w:tcW w:w="3352" w:type="dxa"/>
            <w:tcMar>
              <w:left w:w="58" w:type="dxa"/>
              <w:right w:w="58" w:type="dxa"/>
            </w:tcMar>
          </w:tcPr>
          <w:p w14:paraId="400F564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76EBED0"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E9AE82F" w14:textId="77777777" w:rsidR="0028399A" w:rsidRPr="00756D59" w:rsidRDefault="0028399A" w:rsidP="00305D02">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77CA3CDF" w14:textId="77777777" w:rsidR="0028399A" w:rsidRPr="00756D59" w:rsidRDefault="0028399A" w:rsidP="00305D02">
            <w:pPr>
              <w:jc w:val="left"/>
              <w:rPr>
                <w:sz w:val="20"/>
                <w:szCs w:val="20"/>
                <w:lang w:eastAsia="en-CA"/>
              </w:rPr>
            </w:pPr>
            <w:r w:rsidRPr="00756D59">
              <w:rPr>
                <w:sz w:val="20"/>
                <w:szCs w:val="20"/>
                <w:lang w:eastAsia="en-CA"/>
              </w:rPr>
              <w:t>Analysis of ozone and climate legislation to support the Kigali Amendment; policy paper on Kigali Amendment ratification; stakeholder consultations meetings and awareness raising on HFC phase-down and energy efficiency; training needs assessment for the RAC service sector; mapping of HFCs available on the local market; technical assistance on HFC data collection; RAC technology trends projection; symposium on Kigali Amendment ratification impacts, seminar on the transition to low-GWP alternatives; training for technicians on management of alternatives; consultations on the revision/review of the ODS licensing and quota systems; developing country-specific HS codes for HFCs; and knowledge, attitude, and practices study of the RAC service sector, national strategy on staged approach to introducing low</w:t>
            </w:r>
            <w:r w:rsidRPr="00756D59">
              <w:rPr>
                <w:sz w:val="20"/>
                <w:szCs w:val="20"/>
                <w:lang w:eastAsia="en-CA"/>
              </w:rPr>
              <w:noBreakHyphen/>
              <w:t>GWP and energy efficient alternatives and support the RAC service sector in adopting new alternatives.</w:t>
            </w:r>
          </w:p>
        </w:tc>
        <w:tc>
          <w:tcPr>
            <w:tcW w:w="1629" w:type="dxa"/>
            <w:shd w:val="clear" w:color="auto" w:fill="auto"/>
            <w:tcMar>
              <w:left w:w="58" w:type="dxa"/>
              <w:right w:w="58" w:type="dxa"/>
            </w:tcMar>
          </w:tcPr>
          <w:p w14:paraId="248E2323"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07AD996F" w14:textId="77777777" w:rsidTr="00305D02">
        <w:trPr>
          <w:trHeight w:val="337"/>
        </w:trPr>
        <w:tc>
          <w:tcPr>
            <w:tcW w:w="2261" w:type="dxa"/>
            <w:tcMar>
              <w:left w:w="58" w:type="dxa"/>
              <w:right w:w="58" w:type="dxa"/>
            </w:tcMar>
          </w:tcPr>
          <w:p w14:paraId="5B96873B" w14:textId="77777777" w:rsidR="0028399A" w:rsidRPr="00756D59" w:rsidRDefault="0028399A" w:rsidP="00305D02">
            <w:pPr>
              <w:jc w:val="left"/>
              <w:rPr>
                <w:sz w:val="20"/>
                <w:szCs w:val="20"/>
                <w:lang w:eastAsia="en-CA"/>
              </w:rPr>
            </w:pPr>
            <w:r w:rsidRPr="00756D59">
              <w:rPr>
                <w:bCs/>
                <w:sz w:val="20"/>
                <w:szCs w:val="20"/>
                <w:lang w:eastAsia="en-CA"/>
              </w:rPr>
              <w:t>Dominican Republic</w:t>
            </w:r>
            <w:r w:rsidRPr="00756D59">
              <w:rPr>
                <w:sz w:val="20"/>
                <w:szCs w:val="20"/>
                <w:lang w:eastAsia="en-CA"/>
              </w:rPr>
              <w:t xml:space="preserve"> (the)</w:t>
            </w:r>
          </w:p>
          <w:p w14:paraId="38CEBB60" w14:textId="77777777" w:rsidR="0028399A" w:rsidRPr="00756D59" w:rsidRDefault="0028399A" w:rsidP="00305D02">
            <w:pPr>
              <w:jc w:val="left"/>
              <w:rPr>
                <w:bCs/>
                <w:sz w:val="20"/>
                <w:szCs w:val="20"/>
                <w:lang w:eastAsia="en-CA"/>
              </w:rPr>
            </w:pPr>
            <w:r w:rsidRPr="00756D59">
              <w:rPr>
                <w:sz w:val="20"/>
                <w:szCs w:val="20"/>
                <w:lang w:eastAsia="en-CA"/>
              </w:rPr>
              <w:t>DOM/SEV/80/TAS/02+</w:t>
            </w:r>
          </w:p>
        </w:tc>
        <w:tc>
          <w:tcPr>
            <w:tcW w:w="3352" w:type="dxa"/>
            <w:tcMar>
              <w:left w:w="58" w:type="dxa"/>
              <w:right w:w="58" w:type="dxa"/>
            </w:tcMar>
          </w:tcPr>
          <w:p w14:paraId="6DF71CA7"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C131726"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36BD69C" w14:textId="77777777" w:rsidR="0028399A" w:rsidRPr="00756D59" w:rsidRDefault="0028399A" w:rsidP="00305D02">
            <w:pPr>
              <w:jc w:val="center"/>
              <w:rPr>
                <w:bCs/>
                <w:sz w:val="20"/>
                <w:szCs w:val="20"/>
                <w:lang w:eastAsia="en-CA"/>
              </w:rPr>
            </w:pPr>
            <w:r w:rsidRPr="00756D59">
              <w:rPr>
                <w:bCs/>
                <w:sz w:val="20"/>
                <w:szCs w:val="20"/>
                <w:lang w:eastAsia="en-CA"/>
              </w:rPr>
              <w:t>84.3</w:t>
            </w:r>
          </w:p>
        </w:tc>
        <w:tc>
          <w:tcPr>
            <w:tcW w:w="4531" w:type="dxa"/>
            <w:tcMar>
              <w:left w:w="58" w:type="dxa"/>
              <w:right w:w="58" w:type="dxa"/>
            </w:tcMar>
          </w:tcPr>
          <w:p w14:paraId="1B14F54B" w14:textId="77777777" w:rsidR="0028399A" w:rsidRPr="00756D59" w:rsidRDefault="0028399A" w:rsidP="00305D02">
            <w:pPr>
              <w:jc w:val="left"/>
              <w:rPr>
                <w:sz w:val="20"/>
                <w:szCs w:val="20"/>
                <w:lang w:eastAsia="en-CA"/>
              </w:rPr>
            </w:pPr>
            <w:r w:rsidRPr="00756D59">
              <w:rPr>
                <w:sz w:val="20"/>
                <w:szCs w:val="20"/>
                <w:lang w:eastAsia="en-CA"/>
              </w:rPr>
              <w:t>Targeted public awareness and outreach campaigns on alternative low-/zero-GWP refrigerants, energy efficiency, servicing procedures and certification of technicians.</w:t>
            </w:r>
          </w:p>
        </w:tc>
        <w:tc>
          <w:tcPr>
            <w:tcW w:w="1629" w:type="dxa"/>
            <w:shd w:val="clear" w:color="auto" w:fill="auto"/>
            <w:tcMar>
              <w:left w:w="58" w:type="dxa"/>
              <w:right w:w="58" w:type="dxa"/>
            </w:tcMar>
          </w:tcPr>
          <w:p w14:paraId="0E12F0D3"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7D499E4D" w14:textId="77777777" w:rsidTr="00305D02">
        <w:trPr>
          <w:trHeight w:val="337"/>
        </w:trPr>
        <w:tc>
          <w:tcPr>
            <w:tcW w:w="2261" w:type="dxa"/>
            <w:tcMar>
              <w:left w:w="58" w:type="dxa"/>
              <w:right w:w="58" w:type="dxa"/>
            </w:tcMar>
          </w:tcPr>
          <w:p w14:paraId="29E3F571" w14:textId="77777777" w:rsidR="0028399A" w:rsidRPr="00756D59" w:rsidRDefault="0028399A" w:rsidP="00305D02">
            <w:pPr>
              <w:jc w:val="left"/>
              <w:rPr>
                <w:sz w:val="20"/>
                <w:szCs w:val="20"/>
                <w:lang w:eastAsia="en-CA"/>
              </w:rPr>
            </w:pPr>
            <w:r w:rsidRPr="00756D59">
              <w:rPr>
                <w:bCs/>
                <w:sz w:val="20"/>
                <w:szCs w:val="20"/>
                <w:lang w:eastAsia="en-CA"/>
              </w:rPr>
              <w:t>Ecuador</w:t>
            </w:r>
            <w:r w:rsidRPr="00756D59">
              <w:rPr>
                <w:sz w:val="20"/>
                <w:szCs w:val="20"/>
                <w:lang w:eastAsia="en-CA"/>
              </w:rPr>
              <w:t xml:space="preserve"> </w:t>
            </w:r>
          </w:p>
          <w:p w14:paraId="294BB9C8" w14:textId="77777777" w:rsidR="0028399A" w:rsidRPr="00756D59" w:rsidRDefault="0028399A" w:rsidP="00305D02">
            <w:pPr>
              <w:jc w:val="left"/>
              <w:rPr>
                <w:bCs/>
                <w:sz w:val="20"/>
                <w:szCs w:val="20"/>
                <w:lang w:eastAsia="en-CA"/>
              </w:rPr>
            </w:pPr>
            <w:r w:rsidRPr="00756D59">
              <w:rPr>
                <w:sz w:val="20"/>
                <w:szCs w:val="20"/>
                <w:lang w:eastAsia="en-CA"/>
              </w:rPr>
              <w:t>ECU/SEV/80/TAS/02+</w:t>
            </w:r>
          </w:p>
        </w:tc>
        <w:tc>
          <w:tcPr>
            <w:tcW w:w="3352" w:type="dxa"/>
            <w:tcMar>
              <w:left w:w="58" w:type="dxa"/>
              <w:right w:w="58" w:type="dxa"/>
            </w:tcMar>
          </w:tcPr>
          <w:p w14:paraId="5922FD4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E5C7666"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C36F176" w14:textId="77777777" w:rsidR="0028399A" w:rsidRPr="00756D59" w:rsidRDefault="0028399A" w:rsidP="00305D02">
            <w:pPr>
              <w:jc w:val="center"/>
              <w:rPr>
                <w:bCs/>
                <w:sz w:val="20"/>
                <w:szCs w:val="20"/>
                <w:lang w:eastAsia="en-CA"/>
              </w:rPr>
            </w:pPr>
            <w:r w:rsidRPr="00756D59">
              <w:rPr>
                <w:bCs/>
                <w:sz w:val="20"/>
                <w:szCs w:val="20"/>
                <w:lang w:eastAsia="en-CA"/>
              </w:rPr>
              <w:t>56.5</w:t>
            </w:r>
          </w:p>
        </w:tc>
        <w:tc>
          <w:tcPr>
            <w:tcW w:w="4531" w:type="dxa"/>
            <w:tcMar>
              <w:left w:w="58" w:type="dxa"/>
              <w:right w:w="58" w:type="dxa"/>
            </w:tcMar>
          </w:tcPr>
          <w:p w14:paraId="52D9FD81" w14:textId="77777777" w:rsidR="0028399A" w:rsidRPr="00756D59" w:rsidRDefault="0028399A" w:rsidP="00305D02">
            <w:pPr>
              <w:jc w:val="left"/>
              <w:rPr>
                <w:sz w:val="20"/>
                <w:szCs w:val="20"/>
                <w:lang w:eastAsia="en-CA"/>
              </w:rPr>
            </w:pPr>
            <w:r w:rsidRPr="00756D59">
              <w:rPr>
                <w:sz w:val="20"/>
                <w:szCs w:val="20"/>
                <w:lang w:eastAsia="en-CA"/>
              </w:rPr>
              <w:t>Training of end-users in RAC applications and manufacturing industries on alternatives.</w:t>
            </w:r>
          </w:p>
        </w:tc>
        <w:tc>
          <w:tcPr>
            <w:tcW w:w="1629" w:type="dxa"/>
            <w:shd w:val="clear" w:color="auto" w:fill="auto"/>
            <w:tcMar>
              <w:left w:w="58" w:type="dxa"/>
              <w:right w:w="58" w:type="dxa"/>
            </w:tcMar>
          </w:tcPr>
          <w:p w14:paraId="0FDF1C34"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2674743F" w14:textId="77777777" w:rsidTr="00305D02">
        <w:trPr>
          <w:trHeight w:val="337"/>
        </w:trPr>
        <w:tc>
          <w:tcPr>
            <w:tcW w:w="2261" w:type="dxa"/>
            <w:tcMar>
              <w:left w:w="58" w:type="dxa"/>
              <w:right w:w="58" w:type="dxa"/>
            </w:tcMar>
          </w:tcPr>
          <w:p w14:paraId="0C4ADEA5" w14:textId="77777777" w:rsidR="0028399A" w:rsidRPr="00756D59" w:rsidRDefault="0028399A" w:rsidP="00305D02">
            <w:pPr>
              <w:jc w:val="left"/>
              <w:rPr>
                <w:sz w:val="20"/>
                <w:szCs w:val="20"/>
                <w:lang w:eastAsia="en-CA"/>
              </w:rPr>
            </w:pPr>
            <w:r w:rsidRPr="00756D59">
              <w:rPr>
                <w:bCs/>
                <w:sz w:val="20"/>
                <w:szCs w:val="20"/>
                <w:lang w:eastAsia="en-CA"/>
              </w:rPr>
              <w:t>Egypt</w:t>
            </w:r>
            <w:r w:rsidRPr="00756D59">
              <w:rPr>
                <w:sz w:val="20"/>
                <w:szCs w:val="20"/>
                <w:lang w:eastAsia="en-CA"/>
              </w:rPr>
              <w:t xml:space="preserve"> </w:t>
            </w:r>
          </w:p>
          <w:p w14:paraId="2F4C1E5C" w14:textId="77777777" w:rsidR="0028399A" w:rsidRPr="00756D59" w:rsidRDefault="0028399A" w:rsidP="00305D02">
            <w:pPr>
              <w:jc w:val="left"/>
              <w:rPr>
                <w:bCs/>
                <w:sz w:val="20"/>
                <w:szCs w:val="20"/>
                <w:lang w:eastAsia="en-CA"/>
              </w:rPr>
            </w:pPr>
            <w:r w:rsidRPr="00756D59">
              <w:rPr>
                <w:sz w:val="20"/>
                <w:szCs w:val="20"/>
                <w:lang w:eastAsia="en-CA"/>
              </w:rPr>
              <w:t>EGY/SEV/81/TAS/03+</w:t>
            </w:r>
          </w:p>
        </w:tc>
        <w:tc>
          <w:tcPr>
            <w:tcW w:w="3352" w:type="dxa"/>
            <w:tcMar>
              <w:left w:w="58" w:type="dxa"/>
              <w:right w:w="58" w:type="dxa"/>
            </w:tcMar>
          </w:tcPr>
          <w:p w14:paraId="16356EA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AE32EED"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88BF24C" w14:textId="77777777" w:rsidR="0028399A" w:rsidRPr="00756D59" w:rsidRDefault="0028399A" w:rsidP="00305D02">
            <w:pPr>
              <w:jc w:val="center"/>
              <w:rPr>
                <w:bCs/>
                <w:sz w:val="20"/>
                <w:szCs w:val="20"/>
                <w:lang w:eastAsia="en-CA"/>
              </w:rPr>
            </w:pPr>
            <w:r w:rsidRPr="00756D59">
              <w:rPr>
                <w:bCs/>
                <w:sz w:val="20"/>
                <w:szCs w:val="20"/>
                <w:lang w:eastAsia="en-CA"/>
              </w:rPr>
              <w:t>34.5</w:t>
            </w:r>
          </w:p>
        </w:tc>
        <w:tc>
          <w:tcPr>
            <w:tcW w:w="4531" w:type="dxa"/>
            <w:tcMar>
              <w:left w:w="58" w:type="dxa"/>
              <w:right w:w="58" w:type="dxa"/>
            </w:tcMar>
          </w:tcPr>
          <w:p w14:paraId="4BDB09ED" w14:textId="77777777" w:rsidR="0028399A" w:rsidRPr="00756D59" w:rsidRDefault="0028399A" w:rsidP="00305D02">
            <w:pPr>
              <w:jc w:val="left"/>
              <w:rPr>
                <w:sz w:val="20"/>
                <w:szCs w:val="20"/>
                <w:lang w:eastAsia="en-CA"/>
              </w:rPr>
            </w:pPr>
            <w:r w:rsidRPr="00756D59">
              <w:rPr>
                <w:sz w:val="20"/>
                <w:szCs w:val="20"/>
                <w:lang w:eastAsia="en-CA"/>
              </w:rPr>
              <w:t>Analysis of existing ozone and climate policy/legislation; and drafting the amendments in the existing legislation to allow for ratification of the Kigali Amendment; preparing the package on the ratification of the Kigali Amendment; and undertaking the training needs assessment for the servicing sector and preparing an assessment report.</w:t>
            </w:r>
          </w:p>
        </w:tc>
        <w:tc>
          <w:tcPr>
            <w:tcW w:w="1629" w:type="dxa"/>
            <w:shd w:val="clear" w:color="auto" w:fill="auto"/>
            <w:tcMar>
              <w:left w:w="58" w:type="dxa"/>
              <w:right w:w="58" w:type="dxa"/>
            </w:tcMar>
          </w:tcPr>
          <w:p w14:paraId="2D18AB68"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4C39A596" w14:textId="77777777" w:rsidTr="00305D02">
        <w:trPr>
          <w:trHeight w:val="337"/>
        </w:trPr>
        <w:tc>
          <w:tcPr>
            <w:tcW w:w="2261" w:type="dxa"/>
            <w:tcMar>
              <w:left w:w="58" w:type="dxa"/>
              <w:right w:w="58" w:type="dxa"/>
            </w:tcMar>
          </w:tcPr>
          <w:p w14:paraId="5C9C68F4" w14:textId="77777777" w:rsidR="0028399A" w:rsidRPr="00756D59" w:rsidRDefault="0028399A" w:rsidP="00305D02">
            <w:pPr>
              <w:jc w:val="left"/>
              <w:rPr>
                <w:sz w:val="20"/>
                <w:szCs w:val="20"/>
                <w:lang w:eastAsia="en-CA"/>
              </w:rPr>
            </w:pPr>
            <w:r w:rsidRPr="00756D59">
              <w:rPr>
                <w:bCs/>
                <w:sz w:val="20"/>
                <w:szCs w:val="20"/>
                <w:lang w:eastAsia="en-CA"/>
              </w:rPr>
              <w:t>Equatorial Guinea</w:t>
            </w:r>
            <w:r w:rsidRPr="00756D59">
              <w:rPr>
                <w:sz w:val="20"/>
                <w:szCs w:val="20"/>
                <w:lang w:eastAsia="en-CA"/>
              </w:rPr>
              <w:t xml:space="preserve"> </w:t>
            </w:r>
          </w:p>
          <w:p w14:paraId="77735132" w14:textId="77777777" w:rsidR="0028399A" w:rsidRPr="00756D59" w:rsidRDefault="0028399A" w:rsidP="00305D02">
            <w:pPr>
              <w:jc w:val="left"/>
              <w:rPr>
                <w:bCs/>
                <w:sz w:val="20"/>
                <w:szCs w:val="20"/>
                <w:lang w:eastAsia="en-CA"/>
              </w:rPr>
            </w:pPr>
            <w:r w:rsidRPr="00756D59">
              <w:rPr>
                <w:sz w:val="20"/>
                <w:szCs w:val="20"/>
                <w:lang w:eastAsia="en-CA"/>
              </w:rPr>
              <w:t>EQG/SEV/81/TAS/01+</w:t>
            </w:r>
          </w:p>
        </w:tc>
        <w:tc>
          <w:tcPr>
            <w:tcW w:w="3352" w:type="dxa"/>
            <w:tcMar>
              <w:left w:w="58" w:type="dxa"/>
              <w:right w:w="58" w:type="dxa"/>
            </w:tcMar>
          </w:tcPr>
          <w:p w14:paraId="1DFEF556"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916959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276C323" w14:textId="77777777" w:rsidR="0028399A" w:rsidRPr="00756D59" w:rsidRDefault="0028399A" w:rsidP="00305D02">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3128EF68" w14:textId="77777777" w:rsidR="0028399A" w:rsidRPr="00756D59" w:rsidRDefault="0028399A" w:rsidP="00305D02">
            <w:pPr>
              <w:jc w:val="left"/>
              <w:rPr>
                <w:sz w:val="20"/>
                <w:szCs w:val="20"/>
                <w:lang w:eastAsia="en-CA"/>
              </w:rPr>
            </w:pPr>
            <w:r w:rsidRPr="00756D59">
              <w:rPr>
                <w:sz w:val="20"/>
                <w:szCs w:val="20"/>
                <w:lang w:eastAsia="en-CA"/>
              </w:rPr>
              <w:t xml:space="preserve">Drafting law on ratification of the Kigali Amendment with the justification; finalizing the package on the ratification of Kigali Amendment and advancing the ratification process; and assisting the customs </w:t>
            </w:r>
            <w:r w:rsidRPr="00756D59">
              <w:rPr>
                <w:sz w:val="20"/>
                <w:szCs w:val="20"/>
                <w:lang w:eastAsia="en-CA"/>
              </w:rPr>
              <w:lastRenderedPageBreak/>
              <w:t>department to develop country</w:t>
            </w:r>
            <w:r w:rsidRPr="00756D59">
              <w:rPr>
                <w:sz w:val="20"/>
                <w:szCs w:val="20"/>
                <w:lang w:eastAsia="en-CA"/>
              </w:rPr>
              <w:noBreakHyphen/>
              <w:t>specific national HS codes for HFCs.</w:t>
            </w:r>
          </w:p>
        </w:tc>
        <w:tc>
          <w:tcPr>
            <w:tcW w:w="1629" w:type="dxa"/>
            <w:shd w:val="clear" w:color="auto" w:fill="auto"/>
            <w:tcMar>
              <w:left w:w="58" w:type="dxa"/>
              <w:right w:w="58" w:type="dxa"/>
            </w:tcMar>
          </w:tcPr>
          <w:p w14:paraId="0A752C85" w14:textId="77777777" w:rsidR="0028399A" w:rsidRPr="00756D59" w:rsidRDefault="0028399A" w:rsidP="00305D02">
            <w:pPr>
              <w:jc w:val="center"/>
              <w:rPr>
                <w:bCs/>
                <w:sz w:val="20"/>
                <w:szCs w:val="20"/>
                <w:lang w:eastAsia="en-CA"/>
              </w:rPr>
            </w:pPr>
            <w:r w:rsidRPr="00756D59">
              <w:rPr>
                <w:bCs/>
                <w:sz w:val="20"/>
                <w:szCs w:val="20"/>
                <w:lang w:eastAsia="en-CA"/>
              </w:rPr>
              <w:lastRenderedPageBreak/>
              <w:t>Jun-22</w:t>
            </w:r>
          </w:p>
        </w:tc>
      </w:tr>
      <w:tr w:rsidR="0028399A" w:rsidRPr="00756D59" w14:paraId="51BD83F0" w14:textId="77777777" w:rsidTr="00305D02">
        <w:trPr>
          <w:trHeight w:val="337"/>
        </w:trPr>
        <w:tc>
          <w:tcPr>
            <w:tcW w:w="2261" w:type="dxa"/>
            <w:tcMar>
              <w:left w:w="58" w:type="dxa"/>
              <w:right w:w="58" w:type="dxa"/>
            </w:tcMar>
          </w:tcPr>
          <w:p w14:paraId="5A9238F7" w14:textId="77777777" w:rsidR="0028399A" w:rsidRPr="00756D59" w:rsidRDefault="0028399A" w:rsidP="00305D02">
            <w:pPr>
              <w:jc w:val="left"/>
              <w:rPr>
                <w:sz w:val="20"/>
                <w:szCs w:val="20"/>
                <w:lang w:eastAsia="en-CA"/>
              </w:rPr>
            </w:pPr>
            <w:r w:rsidRPr="00756D59">
              <w:rPr>
                <w:bCs/>
                <w:sz w:val="20"/>
                <w:szCs w:val="20"/>
                <w:lang w:eastAsia="en-CA"/>
              </w:rPr>
              <w:lastRenderedPageBreak/>
              <w:t>Eritrea</w:t>
            </w:r>
            <w:r w:rsidRPr="00756D59">
              <w:rPr>
                <w:sz w:val="20"/>
                <w:szCs w:val="20"/>
                <w:lang w:eastAsia="en-CA"/>
              </w:rPr>
              <w:t xml:space="preserve"> </w:t>
            </w:r>
          </w:p>
          <w:p w14:paraId="36A054E4" w14:textId="77777777" w:rsidR="0028399A" w:rsidRPr="00756D59" w:rsidRDefault="0028399A" w:rsidP="00305D02">
            <w:pPr>
              <w:jc w:val="left"/>
              <w:rPr>
                <w:bCs/>
                <w:sz w:val="20"/>
                <w:szCs w:val="20"/>
                <w:lang w:eastAsia="en-CA"/>
              </w:rPr>
            </w:pPr>
            <w:r w:rsidRPr="00756D59">
              <w:rPr>
                <w:sz w:val="20"/>
                <w:szCs w:val="20"/>
                <w:lang w:eastAsia="en-CA"/>
              </w:rPr>
              <w:t>ERI/SEV/80/TAS/01+</w:t>
            </w:r>
          </w:p>
        </w:tc>
        <w:tc>
          <w:tcPr>
            <w:tcW w:w="3352" w:type="dxa"/>
            <w:tcMar>
              <w:left w:w="58" w:type="dxa"/>
              <w:right w:w="58" w:type="dxa"/>
            </w:tcMar>
          </w:tcPr>
          <w:p w14:paraId="3FE57DA7"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2124CCD"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3194C35" w14:textId="77777777" w:rsidR="0028399A" w:rsidRPr="00756D59" w:rsidRDefault="0028399A" w:rsidP="00305D02">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2C8D7123" w14:textId="77777777" w:rsidR="0028399A" w:rsidRPr="00756D59" w:rsidRDefault="0028399A" w:rsidP="00305D02">
            <w:pPr>
              <w:jc w:val="left"/>
              <w:rPr>
                <w:sz w:val="20"/>
                <w:szCs w:val="20"/>
                <w:lang w:eastAsia="en-CA"/>
              </w:rPr>
            </w:pPr>
            <w:r w:rsidRPr="00756D59">
              <w:rPr>
                <w:sz w:val="20"/>
                <w:szCs w:val="20"/>
                <w:lang w:eastAsia="en-CA"/>
              </w:rPr>
              <w:t>Reviewing the current licensing system to regulate controlled substances and products; undertaking the training needs assessment for the servicing sector and preparing an assessment report; and sensitizing the public on the phase</w:t>
            </w:r>
            <w:r w:rsidRPr="00756D59">
              <w:rPr>
                <w:sz w:val="20"/>
                <w:szCs w:val="20"/>
                <w:lang w:eastAsia="en-CA"/>
              </w:rPr>
              <w:noBreakHyphen/>
              <w:t>down of HFCs and the Kigali Amendment.</w:t>
            </w:r>
          </w:p>
        </w:tc>
        <w:tc>
          <w:tcPr>
            <w:tcW w:w="1629" w:type="dxa"/>
            <w:shd w:val="clear" w:color="auto" w:fill="auto"/>
            <w:tcMar>
              <w:left w:w="58" w:type="dxa"/>
              <w:right w:w="58" w:type="dxa"/>
            </w:tcMar>
          </w:tcPr>
          <w:p w14:paraId="493A0423"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734744CA" w14:textId="77777777" w:rsidTr="00305D02">
        <w:trPr>
          <w:trHeight w:val="337"/>
        </w:trPr>
        <w:tc>
          <w:tcPr>
            <w:tcW w:w="2261" w:type="dxa"/>
            <w:tcMar>
              <w:left w:w="58" w:type="dxa"/>
              <w:right w:w="58" w:type="dxa"/>
            </w:tcMar>
          </w:tcPr>
          <w:p w14:paraId="6E7B6421" w14:textId="77777777" w:rsidR="0028399A" w:rsidRPr="00756D59" w:rsidRDefault="0028399A" w:rsidP="00305D02">
            <w:pPr>
              <w:jc w:val="left"/>
              <w:rPr>
                <w:sz w:val="20"/>
                <w:szCs w:val="20"/>
                <w:lang w:eastAsia="en-CA"/>
              </w:rPr>
            </w:pPr>
            <w:r w:rsidRPr="00756D59">
              <w:rPr>
                <w:bCs/>
                <w:sz w:val="20"/>
                <w:szCs w:val="20"/>
                <w:lang w:eastAsia="en-CA"/>
              </w:rPr>
              <w:t>Eswatini</w:t>
            </w:r>
            <w:r w:rsidRPr="00756D59">
              <w:rPr>
                <w:sz w:val="20"/>
                <w:szCs w:val="20"/>
                <w:lang w:eastAsia="en-CA"/>
              </w:rPr>
              <w:t xml:space="preserve"> </w:t>
            </w:r>
          </w:p>
          <w:p w14:paraId="0EBD2CF1" w14:textId="77777777" w:rsidR="0028399A" w:rsidRPr="00756D59" w:rsidRDefault="0028399A" w:rsidP="00305D02">
            <w:pPr>
              <w:jc w:val="left"/>
              <w:rPr>
                <w:bCs/>
                <w:sz w:val="20"/>
                <w:szCs w:val="20"/>
                <w:lang w:eastAsia="en-CA"/>
              </w:rPr>
            </w:pPr>
            <w:r w:rsidRPr="00756D59">
              <w:rPr>
                <w:sz w:val="20"/>
                <w:szCs w:val="20"/>
                <w:lang w:eastAsia="en-CA"/>
              </w:rPr>
              <w:t>SWA/SEV/81/TAS/01+</w:t>
            </w:r>
          </w:p>
        </w:tc>
        <w:tc>
          <w:tcPr>
            <w:tcW w:w="3352" w:type="dxa"/>
            <w:tcMar>
              <w:left w:w="58" w:type="dxa"/>
              <w:right w:w="58" w:type="dxa"/>
            </w:tcMar>
          </w:tcPr>
          <w:p w14:paraId="0A71E335"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E2630EF"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A302202" w14:textId="77777777" w:rsidR="0028399A" w:rsidRPr="00756D59" w:rsidRDefault="0028399A" w:rsidP="00305D02">
            <w:pPr>
              <w:jc w:val="center"/>
              <w:rPr>
                <w:bCs/>
                <w:sz w:val="20"/>
                <w:szCs w:val="20"/>
                <w:lang w:eastAsia="en-CA"/>
              </w:rPr>
            </w:pPr>
            <w:r w:rsidRPr="00756D59">
              <w:rPr>
                <w:bCs/>
                <w:sz w:val="20"/>
                <w:szCs w:val="20"/>
                <w:lang w:eastAsia="en-CA"/>
              </w:rPr>
              <w:t>84.2</w:t>
            </w:r>
          </w:p>
        </w:tc>
        <w:tc>
          <w:tcPr>
            <w:tcW w:w="4531" w:type="dxa"/>
            <w:tcMar>
              <w:left w:w="58" w:type="dxa"/>
              <w:right w:w="58" w:type="dxa"/>
            </w:tcMar>
          </w:tcPr>
          <w:p w14:paraId="139570C2" w14:textId="77777777" w:rsidR="0028399A" w:rsidRPr="00756D59" w:rsidRDefault="0028399A" w:rsidP="00305D02">
            <w:pPr>
              <w:jc w:val="left"/>
              <w:rPr>
                <w:sz w:val="20"/>
                <w:szCs w:val="20"/>
                <w:lang w:eastAsia="en-CA"/>
              </w:rPr>
            </w:pPr>
            <w:r w:rsidRPr="00756D59">
              <w:rPr>
                <w:sz w:val="20"/>
                <w:szCs w:val="20"/>
                <w:lang w:eastAsia="en-CA"/>
              </w:rPr>
              <w:t>Assessment of market profile of alternative technologies and development of strategies to promote availability and quick adoption of low</w:t>
            </w:r>
            <w:r w:rsidRPr="00756D59">
              <w:rPr>
                <w:sz w:val="20"/>
                <w:szCs w:val="20"/>
                <w:lang w:eastAsia="en-CA"/>
              </w:rPr>
              <w:noBreakHyphen/>
              <w:t>GWP technologies; and conducting workshops for technicians on safe handling of HFCs and their alternatives.</w:t>
            </w:r>
          </w:p>
        </w:tc>
        <w:tc>
          <w:tcPr>
            <w:tcW w:w="1629" w:type="dxa"/>
            <w:shd w:val="clear" w:color="auto" w:fill="auto"/>
            <w:tcMar>
              <w:left w:w="58" w:type="dxa"/>
              <w:right w:w="58" w:type="dxa"/>
            </w:tcMar>
          </w:tcPr>
          <w:p w14:paraId="671387A2"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76D90D2A" w14:textId="77777777" w:rsidTr="00305D02">
        <w:trPr>
          <w:trHeight w:val="337"/>
        </w:trPr>
        <w:tc>
          <w:tcPr>
            <w:tcW w:w="2261" w:type="dxa"/>
            <w:tcMar>
              <w:left w:w="58" w:type="dxa"/>
              <w:right w:w="58" w:type="dxa"/>
            </w:tcMar>
          </w:tcPr>
          <w:p w14:paraId="1026EBA7" w14:textId="77777777" w:rsidR="0028399A" w:rsidRPr="00756D59" w:rsidRDefault="0028399A" w:rsidP="00305D02">
            <w:pPr>
              <w:jc w:val="left"/>
              <w:rPr>
                <w:sz w:val="20"/>
                <w:szCs w:val="20"/>
                <w:lang w:eastAsia="en-CA"/>
              </w:rPr>
            </w:pPr>
            <w:r w:rsidRPr="00756D59">
              <w:rPr>
                <w:bCs/>
                <w:sz w:val="20"/>
                <w:szCs w:val="20"/>
                <w:lang w:eastAsia="en-CA"/>
              </w:rPr>
              <w:t>Ethiopia</w:t>
            </w:r>
            <w:r w:rsidRPr="00756D59">
              <w:rPr>
                <w:sz w:val="20"/>
                <w:szCs w:val="20"/>
                <w:lang w:eastAsia="en-CA"/>
              </w:rPr>
              <w:t xml:space="preserve"> </w:t>
            </w:r>
          </w:p>
          <w:p w14:paraId="402B194B" w14:textId="77777777" w:rsidR="0028399A" w:rsidRPr="00756D59" w:rsidRDefault="0028399A" w:rsidP="00305D02">
            <w:pPr>
              <w:jc w:val="left"/>
              <w:rPr>
                <w:bCs/>
                <w:sz w:val="20"/>
                <w:szCs w:val="20"/>
                <w:lang w:eastAsia="en-CA"/>
              </w:rPr>
            </w:pPr>
            <w:r w:rsidRPr="00756D59">
              <w:rPr>
                <w:sz w:val="20"/>
                <w:szCs w:val="20"/>
                <w:lang w:eastAsia="en-CA"/>
              </w:rPr>
              <w:t>ETH/SEV/81/TAS/01+</w:t>
            </w:r>
          </w:p>
        </w:tc>
        <w:tc>
          <w:tcPr>
            <w:tcW w:w="3352" w:type="dxa"/>
            <w:tcMar>
              <w:left w:w="58" w:type="dxa"/>
              <w:right w:w="58" w:type="dxa"/>
            </w:tcMar>
          </w:tcPr>
          <w:p w14:paraId="507631D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1636FB4"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EC141BB" w14:textId="77777777" w:rsidR="0028399A" w:rsidRPr="00756D59" w:rsidRDefault="0028399A" w:rsidP="00305D02">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170367A5" w14:textId="77777777" w:rsidR="0028399A" w:rsidRPr="00756D59" w:rsidRDefault="0028399A" w:rsidP="00305D02">
            <w:pPr>
              <w:jc w:val="left"/>
              <w:rPr>
                <w:sz w:val="20"/>
                <w:szCs w:val="20"/>
                <w:lang w:eastAsia="en-CA"/>
              </w:rPr>
            </w:pPr>
            <w:r w:rsidRPr="00756D59">
              <w:rPr>
                <w:sz w:val="20"/>
                <w:szCs w:val="20"/>
                <w:lang w:eastAsia="en-CA"/>
              </w:rPr>
              <w:t>Organization of informative workshops and a survey to identify barriers for introduction of low</w:t>
            </w:r>
            <w:r w:rsidRPr="00756D59">
              <w:rPr>
                <w:sz w:val="20"/>
                <w:szCs w:val="20"/>
                <w:lang w:eastAsia="en-CA"/>
              </w:rPr>
              <w:noBreakHyphen/>
              <w:t>GWP alternatives on the servicing sector; assisting national customs authorities in establishing national custom codes for HFCs; and sensitizing consumers on low</w:t>
            </w:r>
            <w:r w:rsidRPr="00756D59">
              <w:rPr>
                <w:sz w:val="20"/>
                <w:szCs w:val="20"/>
                <w:lang w:eastAsia="en-CA"/>
              </w:rPr>
              <w:noBreakHyphen/>
              <w:t>GWP technologies.</w:t>
            </w:r>
          </w:p>
        </w:tc>
        <w:tc>
          <w:tcPr>
            <w:tcW w:w="1629" w:type="dxa"/>
            <w:shd w:val="clear" w:color="auto" w:fill="auto"/>
            <w:tcMar>
              <w:left w:w="58" w:type="dxa"/>
              <w:right w:w="58" w:type="dxa"/>
            </w:tcMar>
          </w:tcPr>
          <w:p w14:paraId="78ABEE11"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22A4AEB5" w14:textId="77777777" w:rsidTr="00305D02">
        <w:trPr>
          <w:trHeight w:val="337"/>
        </w:trPr>
        <w:tc>
          <w:tcPr>
            <w:tcW w:w="2261" w:type="dxa"/>
            <w:tcMar>
              <w:left w:w="58" w:type="dxa"/>
              <w:right w:w="58" w:type="dxa"/>
            </w:tcMar>
          </w:tcPr>
          <w:p w14:paraId="7FDB025C" w14:textId="77777777" w:rsidR="0028399A" w:rsidRPr="00756D59" w:rsidRDefault="0028399A" w:rsidP="00305D02">
            <w:pPr>
              <w:jc w:val="left"/>
              <w:rPr>
                <w:sz w:val="20"/>
                <w:szCs w:val="20"/>
                <w:lang w:eastAsia="en-CA"/>
              </w:rPr>
            </w:pPr>
            <w:r w:rsidRPr="00756D59">
              <w:rPr>
                <w:bCs/>
                <w:sz w:val="20"/>
                <w:szCs w:val="20"/>
                <w:lang w:eastAsia="en-CA"/>
              </w:rPr>
              <w:t>Gabon</w:t>
            </w:r>
            <w:r w:rsidRPr="00756D59">
              <w:rPr>
                <w:sz w:val="20"/>
                <w:szCs w:val="20"/>
                <w:lang w:eastAsia="en-CA"/>
              </w:rPr>
              <w:t xml:space="preserve"> </w:t>
            </w:r>
          </w:p>
          <w:p w14:paraId="0FF6783D" w14:textId="77777777" w:rsidR="0028399A" w:rsidRPr="00756D59" w:rsidRDefault="0028399A" w:rsidP="00305D02">
            <w:pPr>
              <w:jc w:val="left"/>
              <w:rPr>
                <w:bCs/>
                <w:sz w:val="20"/>
                <w:szCs w:val="20"/>
                <w:lang w:eastAsia="en-CA"/>
              </w:rPr>
            </w:pPr>
            <w:r w:rsidRPr="00756D59">
              <w:rPr>
                <w:sz w:val="20"/>
                <w:szCs w:val="20"/>
                <w:lang w:eastAsia="en-CA"/>
              </w:rPr>
              <w:t>GAB/SEV/80/TAS/01+</w:t>
            </w:r>
          </w:p>
        </w:tc>
        <w:tc>
          <w:tcPr>
            <w:tcW w:w="3352" w:type="dxa"/>
            <w:tcMar>
              <w:left w:w="58" w:type="dxa"/>
              <w:right w:w="58" w:type="dxa"/>
            </w:tcMar>
          </w:tcPr>
          <w:p w14:paraId="7D6F7687"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82305FD"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2A998F2" w14:textId="77777777" w:rsidR="0028399A" w:rsidRPr="00756D59" w:rsidRDefault="0028399A" w:rsidP="00305D02">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2F5D542E" w14:textId="77777777" w:rsidR="0028399A" w:rsidRPr="00756D59" w:rsidRDefault="0028399A" w:rsidP="00305D02">
            <w:pPr>
              <w:jc w:val="left"/>
              <w:rPr>
                <w:sz w:val="20"/>
                <w:szCs w:val="20"/>
                <w:lang w:eastAsia="en-CA"/>
              </w:rPr>
            </w:pPr>
            <w:r w:rsidRPr="00756D59">
              <w:rPr>
                <w:sz w:val="20"/>
                <w:szCs w:val="20"/>
                <w:lang w:eastAsia="en-CA"/>
              </w:rPr>
              <w:t>Sensitization meetings for technicians on safe handling of HFCs and their alternatives; assisting customs office in developing national custom codes for different HFCs and including them into the Customs Tariff; and conducting sensitization meetings for technicians on safe handling of HFCs and their alternatives.</w:t>
            </w:r>
          </w:p>
        </w:tc>
        <w:tc>
          <w:tcPr>
            <w:tcW w:w="1629" w:type="dxa"/>
            <w:shd w:val="clear" w:color="auto" w:fill="auto"/>
            <w:tcMar>
              <w:left w:w="58" w:type="dxa"/>
              <w:right w:w="58" w:type="dxa"/>
            </w:tcMar>
          </w:tcPr>
          <w:p w14:paraId="2A734181"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1354343D" w14:textId="77777777" w:rsidTr="00305D02">
        <w:trPr>
          <w:trHeight w:val="337"/>
        </w:trPr>
        <w:tc>
          <w:tcPr>
            <w:tcW w:w="2261" w:type="dxa"/>
            <w:tcMar>
              <w:left w:w="58" w:type="dxa"/>
              <w:right w:w="58" w:type="dxa"/>
            </w:tcMar>
          </w:tcPr>
          <w:p w14:paraId="22CF1C1D" w14:textId="77777777" w:rsidR="0028399A" w:rsidRPr="00756D59" w:rsidRDefault="0028399A" w:rsidP="00305D02">
            <w:pPr>
              <w:jc w:val="left"/>
              <w:rPr>
                <w:sz w:val="20"/>
                <w:szCs w:val="20"/>
                <w:lang w:eastAsia="en-CA"/>
              </w:rPr>
            </w:pPr>
            <w:r w:rsidRPr="00756D59">
              <w:rPr>
                <w:bCs/>
                <w:sz w:val="20"/>
                <w:szCs w:val="20"/>
                <w:lang w:eastAsia="en-CA"/>
              </w:rPr>
              <w:t>Georgia</w:t>
            </w:r>
            <w:r w:rsidRPr="00756D59">
              <w:rPr>
                <w:sz w:val="20"/>
                <w:szCs w:val="20"/>
                <w:lang w:eastAsia="en-CA"/>
              </w:rPr>
              <w:t xml:space="preserve"> </w:t>
            </w:r>
          </w:p>
          <w:p w14:paraId="7E764D83" w14:textId="77777777" w:rsidR="0028399A" w:rsidRPr="00756D59" w:rsidRDefault="0028399A" w:rsidP="00305D02">
            <w:pPr>
              <w:jc w:val="left"/>
              <w:rPr>
                <w:bCs/>
                <w:sz w:val="20"/>
                <w:szCs w:val="20"/>
                <w:lang w:eastAsia="en-CA"/>
              </w:rPr>
            </w:pPr>
            <w:r w:rsidRPr="00756D59">
              <w:rPr>
                <w:sz w:val="20"/>
                <w:szCs w:val="20"/>
                <w:lang w:eastAsia="en-CA"/>
              </w:rPr>
              <w:t>GEO/SEV/81/TAS/01+</w:t>
            </w:r>
          </w:p>
        </w:tc>
        <w:tc>
          <w:tcPr>
            <w:tcW w:w="3352" w:type="dxa"/>
            <w:tcMar>
              <w:left w:w="58" w:type="dxa"/>
              <w:right w:w="58" w:type="dxa"/>
            </w:tcMar>
          </w:tcPr>
          <w:p w14:paraId="1B8897A6"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22E74EC"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B4875BA" w14:textId="77777777" w:rsidR="0028399A" w:rsidRPr="00756D59" w:rsidRDefault="0028399A" w:rsidP="00305D02">
            <w:pPr>
              <w:jc w:val="center"/>
              <w:rPr>
                <w:bCs/>
                <w:sz w:val="20"/>
                <w:szCs w:val="20"/>
                <w:lang w:eastAsia="en-CA"/>
              </w:rPr>
            </w:pPr>
            <w:r w:rsidRPr="00756D59">
              <w:rPr>
                <w:bCs/>
                <w:sz w:val="20"/>
                <w:szCs w:val="20"/>
                <w:lang w:eastAsia="en-CA"/>
              </w:rPr>
              <w:t>38.4</w:t>
            </w:r>
          </w:p>
        </w:tc>
        <w:tc>
          <w:tcPr>
            <w:tcW w:w="4531" w:type="dxa"/>
            <w:tcMar>
              <w:left w:w="58" w:type="dxa"/>
              <w:right w:w="58" w:type="dxa"/>
            </w:tcMar>
          </w:tcPr>
          <w:p w14:paraId="15D91AF1" w14:textId="77777777" w:rsidR="0028399A" w:rsidRPr="00756D59" w:rsidRDefault="0028399A" w:rsidP="00305D02">
            <w:pPr>
              <w:jc w:val="left"/>
              <w:rPr>
                <w:sz w:val="20"/>
                <w:szCs w:val="20"/>
                <w:lang w:eastAsia="en-CA"/>
              </w:rPr>
            </w:pPr>
            <w:r w:rsidRPr="00756D59">
              <w:rPr>
                <w:sz w:val="20"/>
                <w:szCs w:val="20"/>
                <w:lang w:eastAsia="en-CA"/>
              </w:rPr>
              <w:t>Supporting the adoption of legal acts related to the control of HFCs and the establishment of the HFC licensing system by Parliament, and ratification of the Kigali Amendment; and international training of trainers on the safe use of alternative technologies.</w:t>
            </w:r>
          </w:p>
        </w:tc>
        <w:tc>
          <w:tcPr>
            <w:tcW w:w="1629" w:type="dxa"/>
            <w:shd w:val="clear" w:color="auto" w:fill="auto"/>
            <w:tcMar>
              <w:left w:w="58" w:type="dxa"/>
              <w:right w:w="58" w:type="dxa"/>
            </w:tcMar>
          </w:tcPr>
          <w:p w14:paraId="44EB5622"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7247E453" w14:textId="77777777" w:rsidTr="00305D02">
        <w:trPr>
          <w:trHeight w:val="337"/>
        </w:trPr>
        <w:tc>
          <w:tcPr>
            <w:tcW w:w="2261" w:type="dxa"/>
            <w:tcMar>
              <w:left w:w="58" w:type="dxa"/>
              <w:right w:w="58" w:type="dxa"/>
            </w:tcMar>
          </w:tcPr>
          <w:p w14:paraId="2064D27E" w14:textId="77777777" w:rsidR="0028399A" w:rsidRPr="00756D59" w:rsidRDefault="0028399A" w:rsidP="00305D02">
            <w:pPr>
              <w:jc w:val="left"/>
              <w:rPr>
                <w:sz w:val="20"/>
                <w:szCs w:val="20"/>
                <w:lang w:eastAsia="en-CA"/>
              </w:rPr>
            </w:pPr>
            <w:r w:rsidRPr="00756D59">
              <w:rPr>
                <w:bCs/>
                <w:sz w:val="20"/>
                <w:szCs w:val="20"/>
                <w:lang w:eastAsia="en-CA"/>
              </w:rPr>
              <w:t>Guinea-Bissau</w:t>
            </w:r>
            <w:r w:rsidRPr="00756D59">
              <w:rPr>
                <w:sz w:val="20"/>
                <w:szCs w:val="20"/>
                <w:lang w:eastAsia="en-CA"/>
              </w:rPr>
              <w:t xml:space="preserve"> </w:t>
            </w:r>
          </w:p>
          <w:p w14:paraId="56EBE671" w14:textId="77777777" w:rsidR="0028399A" w:rsidRPr="00756D59" w:rsidRDefault="0028399A" w:rsidP="00305D02">
            <w:pPr>
              <w:jc w:val="left"/>
              <w:rPr>
                <w:bCs/>
                <w:sz w:val="20"/>
                <w:szCs w:val="20"/>
                <w:lang w:eastAsia="en-CA"/>
              </w:rPr>
            </w:pPr>
            <w:r w:rsidRPr="00756D59">
              <w:rPr>
                <w:sz w:val="20"/>
                <w:szCs w:val="20"/>
                <w:lang w:eastAsia="en-CA"/>
              </w:rPr>
              <w:t>GBS/SEV/81/TAS/01+</w:t>
            </w:r>
          </w:p>
        </w:tc>
        <w:tc>
          <w:tcPr>
            <w:tcW w:w="3352" w:type="dxa"/>
            <w:tcMar>
              <w:left w:w="58" w:type="dxa"/>
              <w:right w:w="58" w:type="dxa"/>
            </w:tcMar>
          </w:tcPr>
          <w:p w14:paraId="32F45F82"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400CBA0"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D90AB52" w14:textId="77777777" w:rsidR="0028399A" w:rsidRPr="00756D59" w:rsidRDefault="0028399A" w:rsidP="00305D02">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02091560" w14:textId="77777777" w:rsidR="0028399A" w:rsidRPr="00756D59" w:rsidRDefault="0028399A" w:rsidP="00305D02">
            <w:pPr>
              <w:jc w:val="left"/>
              <w:rPr>
                <w:sz w:val="20"/>
                <w:szCs w:val="20"/>
                <w:lang w:eastAsia="en-CA"/>
              </w:rPr>
            </w:pPr>
            <w:r w:rsidRPr="00756D59">
              <w:rPr>
                <w:sz w:val="20"/>
                <w:szCs w:val="20"/>
                <w:lang w:eastAsia="en-CA"/>
              </w:rPr>
              <w:t xml:space="preserve">Development of country-specific national HS codes for HFCs; sensitization meetings for technicians on safe handling of HFCs and their alternatives; assisting customs office in developing national custom codes for different HFCs and including them into the </w:t>
            </w:r>
            <w:r w:rsidRPr="00756D59">
              <w:rPr>
                <w:sz w:val="20"/>
                <w:szCs w:val="20"/>
                <w:lang w:eastAsia="en-CA"/>
              </w:rPr>
              <w:lastRenderedPageBreak/>
              <w:t xml:space="preserve">Customs Tariff; and undertaking a training need assessment for the servicing sector. </w:t>
            </w:r>
          </w:p>
        </w:tc>
        <w:tc>
          <w:tcPr>
            <w:tcW w:w="1629" w:type="dxa"/>
            <w:shd w:val="clear" w:color="auto" w:fill="auto"/>
            <w:tcMar>
              <w:left w:w="58" w:type="dxa"/>
              <w:right w:w="58" w:type="dxa"/>
            </w:tcMar>
          </w:tcPr>
          <w:p w14:paraId="3185BA46" w14:textId="77777777" w:rsidR="0028399A" w:rsidRPr="00756D59" w:rsidRDefault="0028399A" w:rsidP="00305D02">
            <w:pPr>
              <w:jc w:val="center"/>
              <w:rPr>
                <w:bCs/>
                <w:sz w:val="20"/>
                <w:szCs w:val="20"/>
                <w:lang w:eastAsia="en-CA"/>
              </w:rPr>
            </w:pPr>
            <w:r w:rsidRPr="00756D59">
              <w:rPr>
                <w:bCs/>
                <w:sz w:val="20"/>
                <w:szCs w:val="20"/>
                <w:lang w:eastAsia="en-CA"/>
              </w:rPr>
              <w:lastRenderedPageBreak/>
              <w:t>Jun-22</w:t>
            </w:r>
          </w:p>
        </w:tc>
      </w:tr>
      <w:tr w:rsidR="0028399A" w:rsidRPr="00756D59" w14:paraId="250191B6" w14:textId="77777777" w:rsidTr="00305D02">
        <w:trPr>
          <w:trHeight w:val="337"/>
        </w:trPr>
        <w:tc>
          <w:tcPr>
            <w:tcW w:w="2261" w:type="dxa"/>
            <w:tcMar>
              <w:left w:w="58" w:type="dxa"/>
              <w:right w:w="58" w:type="dxa"/>
            </w:tcMar>
          </w:tcPr>
          <w:p w14:paraId="4B0F2D47" w14:textId="77777777" w:rsidR="0028399A" w:rsidRPr="00756D59" w:rsidRDefault="0028399A" w:rsidP="00305D02">
            <w:pPr>
              <w:jc w:val="left"/>
              <w:rPr>
                <w:sz w:val="20"/>
                <w:szCs w:val="20"/>
                <w:lang w:eastAsia="en-CA"/>
              </w:rPr>
            </w:pPr>
            <w:r w:rsidRPr="00756D59">
              <w:rPr>
                <w:bCs/>
                <w:sz w:val="20"/>
                <w:szCs w:val="20"/>
                <w:lang w:eastAsia="en-CA"/>
              </w:rPr>
              <w:lastRenderedPageBreak/>
              <w:t>Guyana</w:t>
            </w:r>
            <w:r w:rsidRPr="00756D59">
              <w:rPr>
                <w:sz w:val="20"/>
                <w:szCs w:val="20"/>
                <w:lang w:eastAsia="en-CA"/>
              </w:rPr>
              <w:t xml:space="preserve"> </w:t>
            </w:r>
          </w:p>
          <w:p w14:paraId="2048D0A4" w14:textId="77777777" w:rsidR="0028399A" w:rsidRPr="00756D59" w:rsidRDefault="0028399A" w:rsidP="00305D02">
            <w:pPr>
              <w:jc w:val="left"/>
              <w:rPr>
                <w:bCs/>
                <w:sz w:val="20"/>
                <w:szCs w:val="20"/>
                <w:lang w:eastAsia="en-CA"/>
              </w:rPr>
            </w:pPr>
            <w:r w:rsidRPr="00756D59">
              <w:rPr>
                <w:sz w:val="20"/>
                <w:szCs w:val="20"/>
                <w:lang w:eastAsia="en-CA"/>
              </w:rPr>
              <w:t>GUY/SEV/81/TAS/01+</w:t>
            </w:r>
          </w:p>
        </w:tc>
        <w:tc>
          <w:tcPr>
            <w:tcW w:w="3352" w:type="dxa"/>
            <w:tcMar>
              <w:left w:w="58" w:type="dxa"/>
              <w:right w:w="58" w:type="dxa"/>
            </w:tcMar>
          </w:tcPr>
          <w:p w14:paraId="2478E0DF"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C5794D1"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6F4EC8B" w14:textId="77777777" w:rsidR="0028399A" w:rsidRPr="00756D59" w:rsidRDefault="0028399A" w:rsidP="00305D02">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0D236970" w14:textId="77777777" w:rsidR="0028399A" w:rsidRPr="00756D59" w:rsidRDefault="0028399A" w:rsidP="00305D02">
            <w:pPr>
              <w:jc w:val="left"/>
              <w:rPr>
                <w:sz w:val="20"/>
                <w:szCs w:val="20"/>
                <w:lang w:eastAsia="en-CA"/>
              </w:rPr>
            </w:pPr>
            <w:r w:rsidRPr="00756D59">
              <w:rPr>
                <w:sz w:val="20"/>
                <w:szCs w:val="20"/>
                <w:lang w:eastAsia="en-CA"/>
              </w:rPr>
              <w:t>Analysis of ozone and climate legislation to support the Kigali Amendment; developing policy paper on Kigali Amendment ratification; stakeholder consultations meetings and awareness raising on HFC phase-down and energy efficiency; undertaking training needs assessment for the RAC service sector; mapping of HFCs available on the local market; technical assistance on HFC data collection; RAC technology projection; symposium on impacts of the Kigali Amendment ratification and seminar on the transition to low</w:t>
            </w:r>
            <w:r w:rsidRPr="00756D59">
              <w:rPr>
                <w:sz w:val="20"/>
                <w:szCs w:val="20"/>
                <w:lang w:eastAsia="en-CA"/>
              </w:rPr>
              <w:noBreakHyphen/>
              <w:t>GWP alternatives; developing country</w:t>
            </w:r>
            <w:r w:rsidRPr="00756D59">
              <w:rPr>
                <w:sz w:val="20"/>
                <w:szCs w:val="20"/>
                <w:lang w:eastAsia="en-CA"/>
              </w:rPr>
              <w:noBreakHyphen/>
              <w:t>specific HS codes for HFCs; and knowledge, attitude, and practices study of the RAC service sector, national strategies on a staged approach to introducing low</w:t>
            </w:r>
            <w:r w:rsidRPr="00756D59">
              <w:rPr>
                <w:sz w:val="20"/>
                <w:szCs w:val="20"/>
                <w:lang w:eastAsia="en-CA"/>
              </w:rPr>
              <w:noBreakHyphen/>
              <w:t>GWP energy efficient alternatives and support to RAC service sector on transition from HFCs to alternatives.</w:t>
            </w:r>
          </w:p>
        </w:tc>
        <w:tc>
          <w:tcPr>
            <w:tcW w:w="1629" w:type="dxa"/>
            <w:shd w:val="clear" w:color="auto" w:fill="auto"/>
            <w:tcMar>
              <w:left w:w="58" w:type="dxa"/>
              <w:right w:w="58" w:type="dxa"/>
            </w:tcMar>
          </w:tcPr>
          <w:p w14:paraId="2290B878"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24C15E0A" w14:textId="77777777" w:rsidTr="00305D02">
        <w:trPr>
          <w:trHeight w:val="337"/>
        </w:trPr>
        <w:tc>
          <w:tcPr>
            <w:tcW w:w="2261" w:type="dxa"/>
            <w:tcMar>
              <w:left w:w="58" w:type="dxa"/>
              <w:right w:w="58" w:type="dxa"/>
            </w:tcMar>
          </w:tcPr>
          <w:p w14:paraId="483FBCD9" w14:textId="77777777" w:rsidR="0028399A" w:rsidRPr="00756D59" w:rsidRDefault="0028399A" w:rsidP="00305D02">
            <w:pPr>
              <w:jc w:val="left"/>
              <w:rPr>
                <w:sz w:val="20"/>
                <w:szCs w:val="20"/>
                <w:lang w:eastAsia="en-CA"/>
              </w:rPr>
            </w:pPr>
            <w:r w:rsidRPr="00756D59">
              <w:rPr>
                <w:bCs/>
                <w:sz w:val="20"/>
                <w:szCs w:val="20"/>
                <w:lang w:eastAsia="en-CA"/>
              </w:rPr>
              <w:t>Honduras</w:t>
            </w:r>
            <w:r w:rsidRPr="00756D59">
              <w:rPr>
                <w:sz w:val="20"/>
                <w:szCs w:val="20"/>
                <w:lang w:eastAsia="en-CA"/>
              </w:rPr>
              <w:t xml:space="preserve"> </w:t>
            </w:r>
          </w:p>
          <w:p w14:paraId="503CA07B" w14:textId="77777777" w:rsidR="0028399A" w:rsidRPr="00756D59" w:rsidRDefault="0028399A" w:rsidP="00305D02">
            <w:pPr>
              <w:jc w:val="left"/>
              <w:rPr>
                <w:bCs/>
                <w:sz w:val="20"/>
                <w:szCs w:val="20"/>
                <w:lang w:eastAsia="en-CA"/>
              </w:rPr>
            </w:pPr>
            <w:r w:rsidRPr="00756D59">
              <w:rPr>
                <w:sz w:val="20"/>
                <w:szCs w:val="20"/>
                <w:lang w:eastAsia="en-CA"/>
              </w:rPr>
              <w:t>HON/SEV/81/TAS/01+</w:t>
            </w:r>
          </w:p>
        </w:tc>
        <w:tc>
          <w:tcPr>
            <w:tcW w:w="3352" w:type="dxa"/>
            <w:tcMar>
              <w:left w:w="58" w:type="dxa"/>
              <w:right w:w="58" w:type="dxa"/>
            </w:tcMar>
          </w:tcPr>
          <w:p w14:paraId="40E56BBF"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C6348CB"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7EC5562" w14:textId="77777777" w:rsidR="0028399A" w:rsidRPr="00756D59" w:rsidRDefault="0028399A" w:rsidP="00305D02">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50946EF0" w14:textId="77777777" w:rsidR="0028399A" w:rsidRPr="00756D59" w:rsidRDefault="0028399A" w:rsidP="00305D02">
            <w:pPr>
              <w:jc w:val="left"/>
              <w:rPr>
                <w:sz w:val="20"/>
                <w:szCs w:val="20"/>
                <w:lang w:eastAsia="en-CA"/>
              </w:rPr>
            </w:pPr>
            <w:r w:rsidRPr="00756D59">
              <w:rPr>
                <w:sz w:val="20"/>
                <w:szCs w:val="20"/>
                <w:lang w:eastAsia="en-CA"/>
              </w:rPr>
              <w:t>Assessing the existing technical barriers and gaps for the adoption of alternatives to HFCs in the RAC, polyurethane foam, fire-fighting sectors, mobile air-conditioning and refrigerated transport; analysis of the available zero</w:t>
            </w:r>
            <w:r w:rsidRPr="00756D59">
              <w:rPr>
                <w:sz w:val="20"/>
                <w:szCs w:val="20"/>
                <w:lang w:eastAsia="en-CA"/>
              </w:rPr>
              <w:noBreakHyphen/>
              <w:t>/low</w:t>
            </w:r>
            <w:r w:rsidRPr="00756D59">
              <w:rPr>
                <w:sz w:val="20"/>
                <w:szCs w:val="20"/>
                <w:lang w:eastAsia="en-CA"/>
              </w:rPr>
              <w:noBreakHyphen/>
              <w:t>GWP energy efficient alternatives and its environmental/socio-economic impacts; and preparing technical reports on the specific requirements of each alternative technology for the main sectors to facilitate consultations and adoption by stakeholders.</w:t>
            </w:r>
          </w:p>
        </w:tc>
        <w:tc>
          <w:tcPr>
            <w:tcW w:w="1629" w:type="dxa"/>
            <w:shd w:val="clear" w:color="auto" w:fill="auto"/>
            <w:tcMar>
              <w:left w:w="58" w:type="dxa"/>
              <w:right w:w="58" w:type="dxa"/>
            </w:tcMar>
          </w:tcPr>
          <w:p w14:paraId="6970BAF6"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77F962C1" w14:textId="77777777" w:rsidTr="00305D02">
        <w:trPr>
          <w:trHeight w:val="337"/>
        </w:trPr>
        <w:tc>
          <w:tcPr>
            <w:tcW w:w="2261" w:type="dxa"/>
            <w:tcMar>
              <w:left w:w="58" w:type="dxa"/>
              <w:right w:w="58" w:type="dxa"/>
            </w:tcMar>
          </w:tcPr>
          <w:p w14:paraId="294163FA" w14:textId="77777777" w:rsidR="0028399A" w:rsidRPr="00756D59" w:rsidRDefault="0028399A" w:rsidP="00305D02">
            <w:pPr>
              <w:jc w:val="left"/>
              <w:rPr>
                <w:sz w:val="20"/>
                <w:szCs w:val="20"/>
                <w:lang w:eastAsia="en-CA"/>
              </w:rPr>
            </w:pPr>
            <w:r w:rsidRPr="00756D59">
              <w:rPr>
                <w:bCs/>
                <w:sz w:val="20"/>
                <w:szCs w:val="20"/>
                <w:lang w:eastAsia="en-CA"/>
              </w:rPr>
              <w:t>Iran</w:t>
            </w:r>
            <w:r w:rsidRPr="00756D59">
              <w:rPr>
                <w:sz w:val="20"/>
                <w:szCs w:val="20"/>
                <w:lang w:eastAsia="en-CA"/>
              </w:rPr>
              <w:t xml:space="preserve"> (Islamic Republic of)</w:t>
            </w:r>
          </w:p>
          <w:p w14:paraId="4CA52617" w14:textId="77777777" w:rsidR="0028399A" w:rsidRPr="00756D59" w:rsidRDefault="0028399A" w:rsidP="00305D02">
            <w:pPr>
              <w:jc w:val="left"/>
              <w:rPr>
                <w:bCs/>
                <w:sz w:val="20"/>
                <w:szCs w:val="20"/>
                <w:lang w:eastAsia="en-CA"/>
              </w:rPr>
            </w:pPr>
            <w:r w:rsidRPr="00756D59">
              <w:rPr>
                <w:sz w:val="20"/>
                <w:szCs w:val="20"/>
                <w:lang w:eastAsia="en-CA"/>
              </w:rPr>
              <w:t>IRA/SEV/82/TAS/233</w:t>
            </w:r>
          </w:p>
        </w:tc>
        <w:tc>
          <w:tcPr>
            <w:tcW w:w="3352" w:type="dxa"/>
            <w:tcMar>
              <w:left w:w="58" w:type="dxa"/>
              <w:right w:w="58" w:type="dxa"/>
            </w:tcMar>
          </w:tcPr>
          <w:p w14:paraId="76B32A00"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25F468C"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2C224F23" w14:textId="77777777" w:rsidR="0028399A" w:rsidRPr="00756D59" w:rsidRDefault="0028399A" w:rsidP="00305D02">
            <w:pPr>
              <w:jc w:val="center"/>
              <w:rPr>
                <w:bCs/>
                <w:sz w:val="20"/>
                <w:szCs w:val="20"/>
                <w:lang w:eastAsia="en-CA"/>
              </w:rPr>
            </w:pPr>
            <w:r w:rsidRPr="00756D59">
              <w:rPr>
                <w:bCs/>
                <w:sz w:val="20"/>
                <w:szCs w:val="20"/>
                <w:lang w:eastAsia="en-CA"/>
              </w:rPr>
              <w:t>30.2</w:t>
            </w:r>
          </w:p>
        </w:tc>
        <w:tc>
          <w:tcPr>
            <w:tcW w:w="4531" w:type="dxa"/>
            <w:tcMar>
              <w:left w:w="58" w:type="dxa"/>
              <w:right w:w="58" w:type="dxa"/>
            </w:tcMar>
          </w:tcPr>
          <w:p w14:paraId="3B42C93B" w14:textId="77777777" w:rsidR="0028399A" w:rsidRPr="00756D59" w:rsidRDefault="0028399A" w:rsidP="00305D02">
            <w:pPr>
              <w:jc w:val="left"/>
              <w:rPr>
                <w:sz w:val="20"/>
                <w:szCs w:val="20"/>
                <w:lang w:eastAsia="en-CA"/>
              </w:rPr>
            </w:pPr>
            <w:r w:rsidRPr="00756D59">
              <w:rPr>
                <w:sz w:val="20"/>
                <w:szCs w:val="20"/>
                <w:lang w:eastAsia="en-CA"/>
              </w:rPr>
              <w:t>Finalization of the amendment to the draft regulation; development of knowledge products and information materials on Kigali Amendment and safe-handling of low</w:t>
            </w:r>
            <w:r w:rsidRPr="00756D59">
              <w:rPr>
                <w:sz w:val="20"/>
                <w:szCs w:val="20"/>
                <w:lang w:eastAsia="en-CA"/>
              </w:rPr>
              <w:noBreakHyphen/>
              <w:t>GWP technologies for large end users, servicing sector, importers and consumers; and roundtable discussions on low</w:t>
            </w:r>
            <w:r w:rsidRPr="00756D59">
              <w:rPr>
                <w:sz w:val="20"/>
                <w:szCs w:val="20"/>
                <w:lang w:eastAsia="en-CA"/>
              </w:rPr>
              <w:noBreakHyphen/>
              <w:t>GWP alternatives.</w:t>
            </w:r>
          </w:p>
        </w:tc>
        <w:tc>
          <w:tcPr>
            <w:tcW w:w="1629" w:type="dxa"/>
            <w:shd w:val="clear" w:color="auto" w:fill="auto"/>
            <w:tcMar>
              <w:left w:w="58" w:type="dxa"/>
              <w:right w:w="58" w:type="dxa"/>
            </w:tcMar>
          </w:tcPr>
          <w:p w14:paraId="0C2EBC45" w14:textId="77777777" w:rsidR="0028399A" w:rsidRPr="00756D59" w:rsidRDefault="0028399A" w:rsidP="00305D02">
            <w:pPr>
              <w:jc w:val="center"/>
              <w:rPr>
                <w:bCs/>
                <w:sz w:val="20"/>
                <w:szCs w:val="20"/>
                <w:lang w:eastAsia="en-CA"/>
              </w:rPr>
            </w:pPr>
            <w:r w:rsidRPr="00756D59">
              <w:rPr>
                <w:bCs/>
                <w:sz w:val="20"/>
                <w:szCs w:val="20"/>
                <w:lang w:eastAsia="en-CA"/>
              </w:rPr>
              <w:t>Mar-22</w:t>
            </w:r>
          </w:p>
        </w:tc>
      </w:tr>
      <w:tr w:rsidR="0028399A" w:rsidRPr="00756D59" w14:paraId="2FB9DB3F" w14:textId="77777777" w:rsidTr="00305D02">
        <w:trPr>
          <w:trHeight w:val="337"/>
        </w:trPr>
        <w:tc>
          <w:tcPr>
            <w:tcW w:w="2261" w:type="dxa"/>
            <w:tcMar>
              <w:left w:w="58" w:type="dxa"/>
              <w:right w:w="58" w:type="dxa"/>
            </w:tcMar>
          </w:tcPr>
          <w:p w14:paraId="354E6F17" w14:textId="77777777" w:rsidR="0028399A" w:rsidRPr="00756D59" w:rsidRDefault="0028399A" w:rsidP="00305D02">
            <w:pPr>
              <w:jc w:val="left"/>
              <w:rPr>
                <w:sz w:val="20"/>
                <w:szCs w:val="20"/>
                <w:lang w:eastAsia="en-CA"/>
              </w:rPr>
            </w:pPr>
            <w:r w:rsidRPr="00756D59">
              <w:rPr>
                <w:bCs/>
                <w:sz w:val="20"/>
                <w:szCs w:val="20"/>
                <w:lang w:eastAsia="en-CA"/>
              </w:rPr>
              <w:t>Iraq</w:t>
            </w:r>
            <w:r w:rsidRPr="00756D59">
              <w:rPr>
                <w:sz w:val="20"/>
                <w:szCs w:val="20"/>
                <w:lang w:eastAsia="en-CA"/>
              </w:rPr>
              <w:t xml:space="preserve"> </w:t>
            </w:r>
          </w:p>
          <w:p w14:paraId="1D088B44" w14:textId="77777777" w:rsidR="0028399A" w:rsidRPr="00756D59" w:rsidRDefault="0028399A" w:rsidP="00305D02">
            <w:pPr>
              <w:jc w:val="left"/>
              <w:rPr>
                <w:bCs/>
                <w:sz w:val="20"/>
                <w:szCs w:val="20"/>
                <w:lang w:eastAsia="en-CA"/>
              </w:rPr>
            </w:pPr>
            <w:r w:rsidRPr="00756D59">
              <w:rPr>
                <w:sz w:val="20"/>
                <w:szCs w:val="20"/>
                <w:lang w:eastAsia="en-CA"/>
              </w:rPr>
              <w:t>IRQ/SEV/81/TAS/26</w:t>
            </w:r>
          </w:p>
        </w:tc>
        <w:tc>
          <w:tcPr>
            <w:tcW w:w="3352" w:type="dxa"/>
            <w:tcMar>
              <w:left w:w="58" w:type="dxa"/>
              <w:right w:w="58" w:type="dxa"/>
            </w:tcMar>
          </w:tcPr>
          <w:p w14:paraId="6BD3753C"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A456E38"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4A211B7" w14:textId="77777777" w:rsidR="0028399A" w:rsidRPr="00756D59" w:rsidRDefault="0028399A" w:rsidP="00305D02">
            <w:pPr>
              <w:jc w:val="center"/>
              <w:rPr>
                <w:bCs/>
                <w:sz w:val="20"/>
                <w:szCs w:val="20"/>
                <w:lang w:eastAsia="en-CA"/>
              </w:rPr>
            </w:pPr>
            <w:r w:rsidRPr="00756D59">
              <w:rPr>
                <w:bCs/>
                <w:sz w:val="20"/>
                <w:szCs w:val="20"/>
                <w:lang w:eastAsia="en-CA"/>
              </w:rPr>
              <w:t>30.1</w:t>
            </w:r>
          </w:p>
        </w:tc>
        <w:tc>
          <w:tcPr>
            <w:tcW w:w="4531" w:type="dxa"/>
            <w:tcMar>
              <w:left w:w="58" w:type="dxa"/>
              <w:right w:w="58" w:type="dxa"/>
            </w:tcMar>
          </w:tcPr>
          <w:p w14:paraId="188E7C3D" w14:textId="77777777" w:rsidR="0028399A" w:rsidRPr="00756D59" w:rsidRDefault="0028399A" w:rsidP="00305D02">
            <w:pPr>
              <w:jc w:val="left"/>
              <w:rPr>
                <w:sz w:val="20"/>
                <w:szCs w:val="20"/>
                <w:lang w:eastAsia="en-CA"/>
              </w:rPr>
            </w:pPr>
            <w:r w:rsidRPr="00756D59">
              <w:rPr>
                <w:sz w:val="20"/>
                <w:szCs w:val="20"/>
                <w:lang w:eastAsia="en-CA"/>
              </w:rPr>
              <w:t xml:space="preserve">Drafting required ratification instrument; updating the HFC licensing system along with related capacity </w:t>
            </w:r>
            <w:r w:rsidRPr="00756D59">
              <w:rPr>
                <w:sz w:val="20"/>
                <w:szCs w:val="20"/>
                <w:lang w:eastAsia="en-CA"/>
              </w:rPr>
              <w:lastRenderedPageBreak/>
              <w:t>building; and the finalization of country assessment report.</w:t>
            </w:r>
          </w:p>
        </w:tc>
        <w:tc>
          <w:tcPr>
            <w:tcW w:w="1629" w:type="dxa"/>
            <w:shd w:val="clear" w:color="auto" w:fill="auto"/>
            <w:tcMar>
              <w:left w:w="58" w:type="dxa"/>
              <w:right w:w="58" w:type="dxa"/>
            </w:tcMar>
          </w:tcPr>
          <w:p w14:paraId="2D40F313" w14:textId="77777777" w:rsidR="0028399A" w:rsidRPr="00756D59" w:rsidRDefault="0028399A" w:rsidP="00305D02">
            <w:pPr>
              <w:jc w:val="center"/>
              <w:rPr>
                <w:bCs/>
                <w:sz w:val="20"/>
                <w:szCs w:val="20"/>
                <w:lang w:eastAsia="en-CA"/>
              </w:rPr>
            </w:pPr>
            <w:r w:rsidRPr="00756D59">
              <w:rPr>
                <w:bCs/>
                <w:sz w:val="20"/>
                <w:szCs w:val="20"/>
                <w:lang w:eastAsia="en-CA"/>
              </w:rPr>
              <w:lastRenderedPageBreak/>
              <w:t>Dec-21</w:t>
            </w:r>
          </w:p>
        </w:tc>
      </w:tr>
      <w:tr w:rsidR="0028399A" w:rsidRPr="00756D59" w14:paraId="7615E433" w14:textId="77777777" w:rsidTr="00305D02">
        <w:trPr>
          <w:trHeight w:val="337"/>
        </w:trPr>
        <w:tc>
          <w:tcPr>
            <w:tcW w:w="2261" w:type="dxa"/>
            <w:tcMar>
              <w:left w:w="58" w:type="dxa"/>
              <w:right w:w="58" w:type="dxa"/>
            </w:tcMar>
          </w:tcPr>
          <w:p w14:paraId="081CD456" w14:textId="77777777" w:rsidR="0028399A" w:rsidRPr="00756D59" w:rsidRDefault="0028399A" w:rsidP="00305D02">
            <w:pPr>
              <w:jc w:val="left"/>
              <w:rPr>
                <w:sz w:val="20"/>
                <w:szCs w:val="20"/>
                <w:lang w:eastAsia="en-CA"/>
              </w:rPr>
            </w:pPr>
            <w:r w:rsidRPr="00756D59">
              <w:rPr>
                <w:bCs/>
                <w:sz w:val="20"/>
                <w:szCs w:val="20"/>
                <w:lang w:eastAsia="en-CA"/>
              </w:rPr>
              <w:lastRenderedPageBreak/>
              <w:t>Kenya</w:t>
            </w:r>
            <w:r w:rsidRPr="00756D59">
              <w:rPr>
                <w:sz w:val="20"/>
                <w:szCs w:val="20"/>
                <w:lang w:eastAsia="en-CA"/>
              </w:rPr>
              <w:t xml:space="preserve"> </w:t>
            </w:r>
          </w:p>
          <w:p w14:paraId="550A8F8D" w14:textId="77777777" w:rsidR="0028399A" w:rsidRPr="00756D59" w:rsidRDefault="0028399A" w:rsidP="00305D02">
            <w:pPr>
              <w:jc w:val="left"/>
              <w:rPr>
                <w:bCs/>
                <w:sz w:val="20"/>
                <w:szCs w:val="20"/>
                <w:lang w:eastAsia="en-CA"/>
              </w:rPr>
            </w:pPr>
            <w:r w:rsidRPr="00756D59">
              <w:rPr>
                <w:sz w:val="20"/>
                <w:szCs w:val="20"/>
                <w:lang w:eastAsia="en-CA"/>
              </w:rPr>
              <w:t>KEN/SEV/81/TAS/01+</w:t>
            </w:r>
          </w:p>
        </w:tc>
        <w:tc>
          <w:tcPr>
            <w:tcW w:w="3352" w:type="dxa"/>
            <w:tcMar>
              <w:left w:w="58" w:type="dxa"/>
              <w:right w:w="58" w:type="dxa"/>
            </w:tcMar>
          </w:tcPr>
          <w:p w14:paraId="113209C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7AE3DA2"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27F52FC" w14:textId="77777777" w:rsidR="0028399A" w:rsidRPr="00756D59" w:rsidRDefault="0028399A" w:rsidP="00305D02">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699F4CEF" w14:textId="77777777" w:rsidR="0028399A" w:rsidRPr="00756D59" w:rsidRDefault="0028399A" w:rsidP="00305D02">
            <w:pPr>
              <w:jc w:val="left"/>
              <w:rPr>
                <w:sz w:val="20"/>
                <w:szCs w:val="20"/>
                <w:lang w:eastAsia="en-CA"/>
              </w:rPr>
            </w:pPr>
            <w:r w:rsidRPr="00756D59">
              <w:rPr>
                <w:sz w:val="20"/>
                <w:szCs w:val="20"/>
                <w:lang w:eastAsia="en-CA"/>
              </w:rPr>
              <w:t>Conducting sensitization meetings/workshops for technicians on safe handling of HFCs and their alternatives; sensitizing the public on the phase</w:t>
            </w:r>
            <w:r w:rsidRPr="00756D59">
              <w:rPr>
                <w:sz w:val="20"/>
                <w:szCs w:val="20"/>
                <w:lang w:eastAsia="en-CA"/>
              </w:rPr>
              <w:noBreakHyphen/>
              <w:t>down of HFCs and the Kigali Amendment; and organization of informative workshops and surveys to identify barriers for introduction of low-GWP alternatives for the servicing sector.</w:t>
            </w:r>
          </w:p>
        </w:tc>
        <w:tc>
          <w:tcPr>
            <w:tcW w:w="1629" w:type="dxa"/>
            <w:shd w:val="clear" w:color="auto" w:fill="auto"/>
            <w:tcMar>
              <w:left w:w="58" w:type="dxa"/>
              <w:right w:w="58" w:type="dxa"/>
            </w:tcMar>
          </w:tcPr>
          <w:p w14:paraId="1F57604B"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52F4B341" w14:textId="77777777" w:rsidTr="00305D02">
        <w:trPr>
          <w:trHeight w:val="337"/>
        </w:trPr>
        <w:tc>
          <w:tcPr>
            <w:tcW w:w="2261" w:type="dxa"/>
            <w:tcMar>
              <w:left w:w="58" w:type="dxa"/>
              <w:right w:w="58" w:type="dxa"/>
            </w:tcMar>
          </w:tcPr>
          <w:p w14:paraId="40E07941" w14:textId="77777777" w:rsidR="0028399A" w:rsidRPr="00756D59" w:rsidRDefault="0028399A" w:rsidP="00305D02">
            <w:pPr>
              <w:jc w:val="left"/>
              <w:rPr>
                <w:sz w:val="20"/>
                <w:szCs w:val="20"/>
                <w:lang w:eastAsia="en-CA"/>
              </w:rPr>
            </w:pPr>
            <w:r w:rsidRPr="00756D59">
              <w:rPr>
                <w:bCs/>
                <w:sz w:val="20"/>
                <w:szCs w:val="20"/>
                <w:lang w:eastAsia="en-CA"/>
              </w:rPr>
              <w:t>Kiribati</w:t>
            </w:r>
            <w:r w:rsidRPr="00756D59">
              <w:rPr>
                <w:sz w:val="20"/>
                <w:szCs w:val="20"/>
                <w:lang w:eastAsia="en-CA"/>
              </w:rPr>
              <w:t xml:space="preserve"> </w:t>
            </w:r>
          </w:p>
          <w:p w14:paraId="7E988ED9" w14:textId="77777777" w:rsidR="0028399A" w:rsidRPr="00756D59" w:rsidRDefault="0028399A" w:rsidP="00305D02">
            <w:pPr>
              <w:jc w:val="left"/>
              <w:rPr>
                <w:bCs/>
                <w:sz w:val="20"/>
                <w:szCs w:val="20"/>
                <w:lang w:eastAsia="en-CA"/>
              </w:rPr>
            </w:pPr>
            <w:r w:rsidRPr="00756D59">
              <w:rPr>
                <w:sz w:val="20"/>
                <w:szCs w:val="20"/>
                <w:lang w:eastAsia="en-CA"/>
              </w:rPr>
              <w:t>KIR/SEV/81/TAS/01+</w:t>
            </w:r>
          </w:p>
        </w:tc>
        <w:tc>
          <w:tcPr>
            <w:tcW w:w="3352" w:type="dxa"/>
            <w:tcMar>
              <w:left w:w="58" w:type="dxa"/>
              <w:right w:w="58" w:type="dxa"/>
            </w:tcMar>
          </w:tcPr>
          <w:p w14:paraId="3DAD0BAD"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2A5B49B"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A0E6019" w14:textId="77777777" w:rsidR="0028399A" w:rsidRPr="00756D59" w:rsidRDefault="0028399A" w:rsidP="00305D02">
            <w:pPr>
              <w:jc w:val="center"/>
              <w:rPr>
                <w:bCs/>
                <w:sz w:val="20"/>
                <w:szCs w:val="20"/>
                <w:lang w:eastAsia="en-CA"/>
              </w:rPr>
            </w:pPr>
            <w:r w:rsidRPr="00756D59">
              <w:rPr>
                <w:bCs/>
                <w:sz w:val="20"/>
                <w:szCs w:val="20"/>
                <w:lang w:eastAsia="en-CA"/>
              </w:rPr>
              <w:t>50.3</w:t>
            </w:r>
          </w:p>
        </w:tc>
        <w:tc>
          <w:tcPr>
            <w:tcW w:w="4531" w:type="dxa"/>
            <w:tcMar>
              <w:left w:w="58" w:type="dxa"/>
              <w:right w:w="58" w:type="dxa"/>
            </w:tcMar>
          </w:tcPr>
          <w:p w14:paraId="348964FE"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 roundtable workshops and trainings for servicing sector; finalization of draft regulation amendment; and development of knowledge products and information materials on Kigali Amendment and safe 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15F429CF"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08203FC9" w14:textId="77777777" w:rsidTr="00305D02">
        <w:trPr>
          <w:trHeight w:val="337"/>
        </w:trPr>
        <w:tc>
          <w:tcPr>
            <w:tcW w:w="2261" w:type="dxa"/>
            <w:tcMar>
              <w:left w:w="58" w:type="dxa"/>
              <w:right w:w="58" w:type="dxa"/>
            </w:tcMar>
          </w:tcPr>
          <w:p w14:paraId="108DA247" w14:textId="77777777" w:rsidR="0028399A" w:rsidRPr="00756D59" w:rsidRDefault="0028399A" w:rsidP="00305D02">
            <w:pPr>
              <w:jc w:val="left"/>
              <w:rPr>
                <w:sz w:val="20"/>
                <w:szCs w:val="20"/>
                <w:lang w:eastAsia="en-CA"/>
              </w:rPr>
            </w:pPr>
            <w:r w:rsidRPr="00756D59">
              <w:rPr>
                <w:bCs/>
                <w:sz w:val="20"/>
                <w:szCs w:val="20"/>
                <w:lang w:eastAsia="en-CA"/>
              </w:rPr>
              <w:t>Kuwait</w:t>
            </w:r>
            <w:r w:rsidRPr="00756D59">
              <w:rPr>
                <w:sz w:val="20"/>
                <w:szCs w:val="20"/>
                <w:lang w:eastAsia="en-CA"/>
              </w:rPr>
              <w:t xml:space="preserve"> </w:t>
            </w:r>
          </w:p>
          <w:p w14:paraId="24973338" w14:textId="77777777" w:rsidR="0028399A" w:rsidRPr="00756D59" w:rsidRDefault="0028399A" w:rsidP="00305D02">
            <w:pPr>
              <w:jc w:val="left"/>
              <w:rPr>
                <w:bCs/>
                <w:sz w:val="20"/>
                <w:szCs w:val="20"/>
                <w:lang w:eastAsia="en-CA"/>
              </w:rPr>
            </w:pPr>
            <w:r w:rsidRPr="00756D59">
              <w:rPr>
                <w:sz w:val="20"/>
                <w:szCs w:val="20"/>
                <w:lang w:eastAsia="en-CA"/>
              </w:rPr>
              <w:t>KUW/SEV/81/TAS/33</w:t>
            </w:r>
          </w:p>
        </w:tc>
        <w:tc>
          <w:tcPr>
            <w:tcW w:w="3352" w:type="dxa"/>
            <w:tcMar>
              <w:left w:w="58" w:type="dxa"/>
              <w:right w:w="58" w:type="dxa"/>
            </w:tcMar>
          </w:tcPr>
          <w:p w14:paraId="5794B260"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E8BEE34"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93E3F38" w14:textId="77777777" w:rsidR="0028399A" w:rsidRPr="00756D59" w:rsidRDefault="0028399A" w:rsidP="00305D02">
            <w:pPr>
              <w:jc w:val="center"/>
              <w:rPr>
                <w:bCs/>
                <w:sz w:val="20"/>
                <w:szCs w:val="20"/>
                <w:lang w:eastAsia="en-CA"/>
              </w:rPr>
            </w:pPr>
            <w:r w:rsidRPr="00756D59">
              <w:rPr>
                <w:bCs/>
                <w:sz w:val="20"/>
                <w:szCs w:val="20"/>
                <w:lang w:eastAsia="en-CA"/>
              </w:rPr>
              <w:t>3.9</w:t>
            </w:r>
          </w:p>
        </w:tc>
        <w:tc>
          <w:tcPr>
            <w:tcW w:w="4531" w:type="dxa"/>
            <w:tcMar>
              <w:left w:w="58" w:type="dxa"/>
              <w:right w:w="58" w:type="dxa"/>
            </w:tcMar>
          </w:tcPr>
          <w:p w14:paraId="440C2AC6" w14:textId="77777777" w:rsidR="0028399A" w:rsidRPr="00756D59" w:rsidRDefault="0028399A" w:rsidP="00305D02">
            <w:pPr>
              <w:jc w:val="left"/>
              <w:rPr>
                <w:sz w:val="20"/>
                <w:szCs w:val="20"/>
                <w:lang w:eastAsia="en-CA"/>
              </w:rPr>
            </w:pPr>
            <w:r w:rsidRPr="00756D59">
              <w:rPr>
                <w:sz w:val="20"/>
                <w:szCs w:val="20"/>
                <w:lang w:eastAsia="en-CA"/>
              </w:rPr>
              <w:t>Drafting required ratification instrument; updating the HFC licensing system along with related capacity building activities; capacity building and training for ODS alternatives, building national registry and information system to register all controlled substances and products and building database for different uses and users; and final country assessment report.</w:t>
            </w:r>
          </w:p>
        </w:tc>
        <w:tc>
          <w:tcPr>
            <w:tcW w:w="1629" w:type="dxa"/>
            <w:shd w:val="clear" w:color="auto" w:fill="auto"/>
            <w:tcMar>
              <w:left w:w="58" w:type="dxa"/>
              <w:right w:w="58" w:type="dxa"/>
            </w:tcMar>
          </w:tcPr>
          <w:p w14:paraId="21D1C932"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32FD551B" w14:textId="77777777" w:rsidTr="00305D02">
        <w:trPr>
          <w:trHeight w:val="337"/>
        </w:trPr>
        <w:tc>
          <w:tcPr>
            <w:tcW w:w="2261" w:type="dxa"/>
            <w:tcMar>
              <w:left w:w="58" w:type="dxa"/>
              <w:right w:w="58" w:type="dxa"/>
            </w:tcMar>
          </w:tcPr>
          <w:p w14:paraId="583BB379" w14:textId="77777777" w:rsidR="0028399A" w:rsidRPr="00756D59" w:rsidRDefault="0028399A" w:rsidP="00305D02">
            <w:pPr>
              <w:jc w:val="left"/>
              <w:rPr>
                <w:sz w:val="20"/>
                <w:szCs w:val="20"/>
                <w:lang w:eastAsia="en-CA"/>
              </w:rPr>
            </w:pPr>
            <w:r w:rsidRPr="00756D59">
              <w:rPr>
                <w:bCs/>
                <w:sz w:val="20"/>
                <w:szCs w:val="20"/>
                <w:lang w:eastAsia="en-CA"/>
              </w:rPr>
              <w:t>Lao People’s Democratic Republic (the)</w:t>
            </w:r>
          </w:p>
          <w:p w14:paraId="0560FE4E" w14:textId="77777777" w:rsidR="0028399A" w:rsidRPr="00756D59" w:rsidRDefault="0028399A" w:rsidP="00305D02">
            <w:pPr>
              <w:jc w:val="left"/>
              <w:rPr>
                <w:bCs/>
                <w:sz w:val="20"/>
                <w:szCs w:val="20"/>
                <w:lang w:eastAsia="en-CA"/>
              </w:rPr>
            </w:pPr>
            <w:r w:rsidRPr="00756D59">
              <w:rPr>
                <w:sz w:val="20"/>
                <w:szCs w:val="20"/>
                <w:lang w:eastAsia="en-CA"/>
              </w:rPr>
              <w:t>LAO/SEV/81/TAS/01+</w:t>
            </w:r>
          </w:p>
        </w:tc>
        <w:tc>
          <w:tcPr>
            <w:tcW w:w="3352" w:type="dxa"/>
            <w:tcMar>
              <w:left w:w="58" w:type="dxa"/>
              <w:right w:w="58" w:type="dxa"/>
            </w:tcMar>
          </w:tcPr>
          <w:p w14:paraId="7508A58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7C3899B"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382DD7E" w14:textId="77777777" w:rsidR="0028399A" w:rsidRPr="00756D59" w:rsidRDefault="0028399A" w:rsidP="00305D02">
            <w:pPr>
              <w:jc w:val="center"/>
              <w:rPr>
                <w:bCs/>
                <w:sz w:val="20"/>
                <w:szCs w:val="20"/>
                <w:lang w:eastAsia="en-CA"/>
              </w:rPr>
            </w:pPr>
            <w:r w:rsidRPr="00756D59">
              <w:rPr>
                <w:bCs/>
                <w:sz w:val="20"/>
                <w:szCs w:val="20"/>
                <w:lang w:eastAsia="en-CA"/>
              </w:rPr>
              <w:t>29.3</w:t>
            </w:r>
          </w:p>
        </w:tc>
        <w:tc>
          <w:tcPr>
            <w:tcW w:w="4531" w:type="dxa"/>
            <w:tcMar>
              <w:left w:w="58" w:type="dxa"/>
              <w:right w:w="58" w:type="dxa"/>
            </w:tcMar>
          </w:tcPr>
          <w:p w14:paraId="5E7810F9"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 roundtable workshops and trainings; finalization of draft regulation amendment; development of knowledge products and information materials; consultations with energy office, importers and traders; and public event with energy office.</w:t>
            </w:r>
          </w:p>
        </w:tc>
        <w:tc>
          <w:tcPr>
            <w:tcW w:w="1629" w:type="dxa"/>
            <w:shd w:val="clear" w:color="auto" w:fill="auto"/>
            <w:tcMar>
              <w:left w:w="58" w:type="dxa"/>
              <w:right w:w="58" w:type="dxa"/>
            </w:tcMar>
          </w:tcPr>
          <w:p w14:paraId="3F30175E"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448E9452" w14:textId="77777777" w:rsidTr="00305D02">
        <w:trPr>
          <w:trHeight w:val="337"/>
        </w:trPr>
        <w:tc>
          <w:tcPr>
            <w:tcW w:w="2261" w:type="dxa"/>
            <w:tcMar>
              <w:left w:w="58" w:type="dxa"/>
              <w:right w:w="58" w:type="dxa"/>
            </w:tcMar>
          </w:tcPr>
          <w:p w14:paraId="3BB6AC20" w14:textId="77777777" w:rsidR="0028399A" w:rsidRPr="00756D59" w:rsidRDefault="0028399A" w:rsidP="00305D02">
            <w:pPr>
              <w:jc w:val="left"/>
              <w:rPr>
                <w:sz w:val="20"/>
                <w:szCs w:val="20"/>
                <w:lang w:eastAsia="en-CA"/>
              </w:rPr>
            </w:pPr>
            <w:r w:rsidRPr="00756D59">
              <w:rPr>
                <w:bCs/>
                <w:sz w:val="20"/>
                <w:szCs w:val="20"/>
                <w:lang w:eastAsia="en-CA"/>
              </w:rPr>
              <w:t>Madagascar</w:t>
            </w:r>
            <w:r w:rsidRPr="00756D59">
              <w:rPr>
                <w:sz w:val="20"/>
                <w:szCs w:val="20"/>
                <w:lang w:eastAsia="en-CA"/>
              </w:rPr>
              <w:t xml:space="preserve"> </w:t>
            </w:r>
          </w:p>
          <w:p w14:paraId="69F60DC1" w14:textId="77777777" w:rsidR="0028399A" w:rsidRPr="00756D59" w:rsidRDefault="0028399A" w:rsidP="00305D02">
            <w:pPr>
              <w:jc w:val="left"/>
              <w:rPr>
                <w:bCs/>
                <w:sz w:val="20"/>
                <w:szCs w:val="20"/>
                <w:lang w:eastAsia="en-CA"/>
              </w:rPr>
            </w:pPr>
            <w:r w:rsidRPr="00756D59">
              <w:rPr>
                <w:sz w:val="20"/>
                <w:szCs w:val="20"/>
                <w:lang w:eastAsia="en-CA"/>
              </w:rPr>
              <w:t>MAG/SEV/81/TAS/01+</w:t>
            </w:r>
          </w:p>
        </w:tc>
        <w:tc>
          <w:tcPr>
            <w:tcW w:w="3352" w:type="dxa"/>
            <w:tcMar>
              <w:left w:w="58" w:type="dxa"/>
              <w:right w:w="58" w:type="dxa"/>
            </w:tcMar>
          </w:tcPr>
          <w:p w14:paraId="1F7AA5E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F3BE510"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7CF7598" w14:textId="77777777" w:rsidR="0028399A" w:rsidRPr="00756D59" w:rsidRDefault="0028399A" w:rsidP="00305D02">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6CDF3FCD" w14:textId="77777777" w:rsidR="0028399A" w:rsidRPr="00756D59" w:rsidRDefault="0028399A" w:rsidP="00305D02">
            <w:pPr>
              <w:jc w:val="left"/>
              <w:rPr>
                <w:sz w:val="20"/>
                <w:szCs w:val="20"/>
                <w:lang w:eastAsia="en-CA"/>
              </w:rPr>
            </w:pPr>
            <w:r w:rsidRPr="00756D59">
              <w:rPr>
                <w:sz w:val="20"/>
                <w:szCs w:val="20"/>
                <w:lang w:eastAsia="en-CA"/>
              </w:rPr>
              <w:t xml:space="preserve">Finalization of the package on the ratification of the Kigali Amendment and advancing the ratification process; drafting the law on ratification of the Kigali Amendment with the justification document, as required by the national legislative process; and undertaking the training needs assessment for the servicing sector and preparing an assessment report </w:t>
            </w:r>
            <w:r w:rsidRPr="00756D59">
              <w:rPr>
                <w:sz w:val="20"/>
                <w:szCs w:val="20"/>
                <w:lang w:eastAsia="en-CA"/>
              </w:rPr>
              <w:lastRenderedPageBreak/>
              <w:t xml:space="preserve">that will be used for further planning of the activities related to use of HFCs and low-GWP alternatives. </w:t>
            </w:r>
          </w:p>
        </w:tc>
        <w:tc>
          <w:tcPr>
            <w:tcW w:w="1629" w:type="dxa"/>
            <w:shd w:val="clear" w:color="auto" w:fill="auto"/>
            <w:tcMar>
              <w:left w:w="58" w:type="dxa"/>
              <w:right w:w="58" w:type="dxa"/>
            </w:tcMar>
          </w:tcPr>
          <w:p w14:paraId="4B9F97C7" w14:textId="77777777" w:rsidR="0028399A" w:rsidRPr="00756D59" w:rsidRDefault="0028399A" w:rsidP="00305D02">
            <w:pPr>
              <w:jc w:val="center"/>
              <w:rPr>
                <w:bCs/>
                <w:sz w:val="20"/>
                <w:szCs w:val="20"/>
                <w:lang w:eastAsia="en-CA"/>
              </w:rPr>
            </w:pPr>
            <w:r w:rsidRPr="00756D59">
              <w:rPr>
                <w:bCs/>
                <w:sz w:val="20"/>
                <w:szCs w:val="20"/>
                <w:lang w:eastAsia="en-CA"/>
              </w:rPr>
              <w:lastRenderedPageBreak/>
              <w:t>Jun-22</w:t>
            </w:r>
          </w:p>
        </w:tc>
      </w:tr>
      <w:tr w:rsidR="0028399A" w:rsidRPr="00756D59" w14:paraId="26626D3A" w14:textId="77777777" w:rsidTr="00305D02">
        <w:trPr>
          <w:trHeight w:val="337"/>
        </w:trPr>
        <w:tc>
          <w:tcPr>
            <w:tcW w:w="2261" w:type="dxa"/>
            <w:tcMar>
              <w:left w:w="58" w:type="dxa"/>
              <w:right w:w="58" w:type="dxa"/>
            </w:tcMar>
          </w:tcPr>
          <w:p w14:paraId="2CDCDE43" w14:textId="77777777" w:rsidR="0028399A" w:rsidRPr="00756D59" w:rsidRDefault="0028399A" w:rsidP="00305D02">
            <w:pPr>
              <w:jc w:val="left"/>
              <w:rPr>
                <w:sz w:val="20"/>
                <w:szCs w:val="20"/>
                <w:lang w:eastAsia="en-CA"/>
              </w:rPr>
            </w:pPr>
            <w:r w:rsidRPr="00756D59">
              <w:rPr>
                <w:bCs/>
                <w:sz w:val="20"/>
                <w:szCs w:val="20"/>
                <w:lang w:eastAsia="en-CA"/>
              </w:rPr>
              <w:lastRenderedPageBreak/>
              <w:t>Malawi</w:t>
            </w:r>
            <w:r w:rsidRPr="00756D59">
              <w:rPr>
                <w:sz w:val="20"/>
                <w:szCs w:val="20"/>
                <w:lang w:eastAsia="en-CA"/>
              </w:rPr>
              <w:t xml:space="preserve"> </w:t>
            </w:r>
          </w:p>
          <w:p w14:paraId="30478D54" w14:textId="77777777" w:rsidR="0028399A" w:rsidRPr="00756D59" w:rsidRDefault="0028399A" w:rsidP="00305D02">
            <w:pPr>
              <w:jc w:val="left"/>
              <w:rPr>
                <w:bCs/>
                <w:sz w:val="20"/>
                <w:szCs w:val="20"/>
                <w:lang w:eastAsia="en-CA"/>
              </w:rPr>
            </w:pPr>
            <w:r w:rsidRPr="00756D59">
              <w:rPr>
                <w:sz w:val="20"/>
                <w:szCs w:val="20"/>
                <w:lang w:eastAsia="en-CA"/>
              </w:rPr>
              <w:t>MLW/SEV/81/TAS/01+</w:t>
            </w:r>
          </w:p>
        </w:tc>
        <w:tc>
          <w:tcPr>
            <w:tcW w:w="3352" w:type="dxa"/>
            <w:tcMar>
              <w:left w:w="58" w:type="dxa"/>
              <w:right w:w="58" w:type="dxa"/>
            </w:tcMar>
          </w:tcPr>
          <w:p w14:paraId="440592F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4E36067"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1F60704" w14:textId="77777777" w:rsidR="0028399A" w:rsidRPr="00756D59" w:rsidRDefault="0028399A" w:rsidP="00305D02">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1677F5C1" w14:textId="77777777" w:rsidR="0028399A" w:rsidRPr="00756D59" w:rsidRDefault="0028399A" w:rsidP="00305D02">
            <w:pPr>
              <w:jc w:val="left"/>
              <w:rPr>
                <w:sz w:val="20"/>
                <w:szCs w:val="20"/>
                <w:lang w:eastAsia="en-CA"/>
              </w:rPr>
            </w:pPr>
            <w:r w:rsidRPr="00756D59">
              <w:rPr>
                <w:sz w:val="20"/>
                <w:szCs w:val="20"/>
                <w:lang w:eastAsia="en-CA"/>
              </w:rPr>
              <w:t>Conducting consultations with enforcement agencies on monitoring and controlling imports and exports of HFCs and HFC</w:t>
            </w:r>
            <w:r w:rsidRPr="00756D59">
              <w:rPr>
                <w:sz w:val="20"/>
                <w:szCs w:val="20"/>
                <w:lang w:eastAsia="en-CA"/>
              </w:rPr>
              <w:noBreakHyphen/>
              <w:t>based products; developing electronic registry for HFCs and their alternatives; and assisting customs office in developing national custom codes for different HFCs and including them into the Customs Tariff.</w:t>
            </w:r>
          </w:p>
        </w:tc>
        <w:tc>
          <w:tcPr>
            <w:tcW w:w="1629" w:type="dxa"/>
            <w:shd w:val="clear" w:color="auto" w:fill="auto"/>
            <w:tcMar>
              <w:left w:w="58" w:type="dxa"/>
              <w:right w:w="58" w:type="dxa"/>
            </w:tcMar>
          </w:tcPr>
          <w:p w14:paraId="131BA3AA"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07BBFF1" w14:textId="77777777" w:rsidTr="00305D02">
        <w:trPr>
          <w:trHeight w:val="337"/>
        </w:trPr>
        <w:tc>
          <w:tcPr>
            <w:tcW w:w="2261" w:type="dxa"/>
            <w:tcMar>
              <w:left w:w="58" w:type="dxa"/>
              <w:right w:w="58" w:type="dxa"/>
            </w:tcMar>
          </w:tcPr>
          <w:p w14:paraId="290513F4" w14:textId="77777777" w:rsidR="0028399A" w:rsidRPr="00756D59" w:rsidRDefault="0028399A" w:rsidP="00305D02">
            <w:pPr>
              <w:jc w:val="left"/>
              <w:rPr>
                <w:sz w:val="20"/>
                <w:szCs w:val="20"/>
                <w:lang w:eastAsia="en-CA"/>
              </w:rPr>
            </w:pPr>
            <w:r w:rsidRPr="00756D59">
              <w:rPr>
                <w:bCs/>
                <w:sz w:val="20"/>
                <w:szCs w:val="20"/>
                <w:lang w:eastAsia="en-CA"/>
              </w:rPr>
              <w:t>Maldives</w:t>
            </w:r>
            <w:r w:rsidRPr="00756D59">
              <w:rPr>
                <w:sz w:val="20"/>
                <w:szCs w:val="20"/>
                <w:lang w:eastAsia="en-CA"/>
              </w:rPr>
              <w:t xml:space="preserve"> </w:t>
            </w:r>
          </w:p>
          <w:p w14:paraId="42DB2EDD" w14:textId="77777777" w:rsidR="0028399A" w:rsidRPr="00756D59" w:rsidRDefault="0028399A" w:rsidP="00305D02">
            <w:pPr>
              <w:jc w:val="left"/>
              <w:rPr>
                <w:bCs/>
                <w:sz w:val="20"/>
                <w:szCs w:val="20"/>
                <w:lang w:eastAsia="en-CA"/>
              </w:rPr>
            </w:pPr>
            <w:r w:rsidRPr="00756D59">
              <w:rPr>
                <w:sz w:val="20"/>
                <w:szCs w:val="20"/>
                <w:lang w:eastAsia="en-CA"/>
              </w:rPr>
              <w:t>MDV/SEV/80/TAS/01+</w:t>
            </w:r>
          </w:p>
        </w:tc>
        <w:tc>
          <w:tcPr>
            <w:tcW w:w="3352" w:type="dxa"/>
            <w:tcMar>
              <w:left w:w="58" w:type="dxa"/>
              <w:right w:w="58" w:type="dxa"/>
            </w:tcMar>
          </w:tcPr>
          <w:p w14:paraId="6DA1A91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DE13BF6"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4C62D65" w14:textId="77777777" w:rsidR="0028399A" w:rsidRPr="00756D59" w:rsidRDefault="0028399A" w:rsidP="00305D02">
            <w:pPr>
              <w:jc w:val="center"/>
              <w:rPr>
                <w:bCs/>
                <w:sz w:val="20"/>
                <w:szCs w:val="20"/>
                <w:lang w:eastAsia="en-CA"/>
              </w:rPr>
            </w:pPr>
            <w:r w:rsidRPr="00756D59">
              <w:rPr>
                <w:bCs/>
                <w:sz w:val="20"/>
                <w:szCs w:val="20"/>
                <w:lang w:eastAsia="en-CA"/>
              </w:rPr>
              <w:t>95</w:t>
            </w:r>
          </w:p>
        </w:tc>
        <w:tc>
          <w:tcPr>
            <w:tcW w:w="4531" w:type="dxa"/>
            <w:tcMar>
              <w:left w:w="58" w:type="dxa"/>
              <w:right w:w="58" w:type="dxa"/>
            </w:tcMar>
          </w:tcPr>
          <w:p w14:paraId="71C88495"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 roundtable workshops and training; drafting regulation amendment; and survey for cold chain database.</w:t>
            </w:r>
          </w:p>
        </w:tc>
        <w:tc>
          <w:tcPr>
            <w:tcW w:w="1629" w:type="dxa"/>
            <w:shd w:val="clear" w:color="auto" w:fill="auto"/>
            <w:tcMar>
              <w:left w:w="58" w:type="dxa"/>
              <w:right w:w="58" w:type="dxa"/>
            </w:tcMar>
          </w:tcPr>
          <w:p w14:paraId="349342F0"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053C4A7" w14:textId="77777777" w:rsidTr="00305D02">
        <w:trPr>
          <w:trHeight w:val="337"/>
        </w:trPr>
        <w:tc>
          <w:tcPr>
            <w:tcW w:w="2261" w:type="dxa"/>
            <w:tcMar>
              <w:left w:w="58" w:type="dxa"/>
              <w:right w:w="58" w:type="dxa"/>
            </w:tcMar>
          </w:tcPr>
          <w:p w14:paraId="767F305A" w14:textId="77777777" w:rsidR="0028399A" w:rsidRPr="00756D59" w:rsidRDefault="0028399A" w:rsidP="00305D02">
            <w:pPr>
              <w:jc w:val="left"/>
              <w:rPr>
                <w:sz w:val="20"/>
                <w:szCs w:val="20"/>
                <w:lang w:eastAsia="en-CA"/>
              </w:rPr>
            </w:pPr>
            <w:r w:rsidRPr="00756D59">
              <w:rPr>
                <w:bCs/>
                <w:sz w:val="20"/>
                <w:szCs w:val="20"/>
                <w:lang w:eastAsia="en-CA"/>
              </w:rPr>
              <w:t>Mali</w:t>
            </w:r>
            <w:r w:rsidRPr="00756D59">
              <w:rPr>
                <w:sz w:val="20"/>
                <w:szCs w:val="20"/>
                <w:lang w:eastAsia="en-CA"/>
              </w:rPr>
              <w:t xml:space="preserve"> </w:t>
            </w:r>
          </w:p>
          <w:p w14:paraId="086EE88E" w14:textId="77777777" w:rsidR="0028399A" w:rsidRPr="00756D59" w:rsidRDefault="0028399A" w:rsidP="00305D02">
            <w:pPr>
              <w:jc w:val="left"/>
              <w:rPr>
                <w:bCs/>
                <w:sz w:val="20"/>
                <w:szCs w:val="20"/>
                <w:lang w:eastAsia="en-CA"/>
              </w:rPr>
            </w:pPr>
            <w:r w:rsidRPr="00756D59">
              <w:rPr>
                <w:sz w:val="20"/>
                <w:szCs w:val="20"/>
                <w:lang w:eastAsia="en-CA"/>
              </w:rPr>
              <w:t>MLI/SEV/81/TAS/01+</w:t>
            </w:r>
          </w:p>
        </w:tc>
        <w:tc>
          <w:tcPr>
            <w:tcW w:w="3352" w:type="dxa"/>
            <w:tcMar>
              <w:left w:w="58" w:type="dxa"/>
              <w:right w:w="58" w:type="dxa"/>
            </w:tcMar>
          </w:tcPr>
          <w:p w14:paraId="21DC4CC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B7B3DAD"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1F9CA39" w14:textId="77777777" w:rsidR="0028399A" w:rsidRPr="00756D59" w:rsidRDefault="0028399A" w:rsidP="00305D02">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46CFC546" w14:textId="77777777" w:rsidR="0028399A" w:rsidRPr="00756D59" w:rsidRDefault="0028399A" w:rsidP="00305D02">
            <w:pPr>
              <w:jc w:val="left"/>
              <w:rPr>
                <w:sz w:val="20"/>
                <w:szCs w:val="20"/>
                <w:lang w:eastAsia="en-CA"/>
              </w:rPr>
            </w:pPr>
            <w:r w:rsidRPr="00756D59">
              <w:rPr>
                <w:sz w:val="20"/>
                <w:szCs w:val="20"/>
                <w:lang w:eastAsia="en-CA"/>
              </w:rPr>
              <w:t xml:space="preserve">Development of country-specific HS codes for HFCs; undertaking training need assessment for servicing sector; and assisting customs office in developing national custom codes for different HFCs and including them in the Customs Tariff to ensure proper monitoring and recording of imports/exports or re-export of individual HFCs. </w:t>
            </w:r>
          </w:p>
        </w:tc>
        <w:tc>
          <w:tcPr>
            <w:tcW w:w="1629" w:type="dxa"/>
            <w:shd w:val="clear" w:color="auto" w:fill="auto"/>
            <w:tcMar>
              <w:left w:w="58" w:type="dxa"/>
              <w:right w:w="58" w:type="dxa"/>
            </w:tcMar>
          </w:tcPr>
          <w:p w14:paraId="2BCFDCBB"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C52FEEA" w14:textId="77777777" w:rsidTr="00305D02">
        <w:trPr>
          <w:trHeight w:val="337"/>
        </w:trPr>
        <w:tc>
          <w:tcPr>
            <w:tcW w:w="2261" w:type="dxa"/>
            <w:tcMar>
              <w:left w:w="58" w:type="dxa"/>
              <w:right w:w="58" w:type="dxa"/>
            </w:tcMar>
          </w:tcPr>
          <w:p w14:paraId="08AC28E4" w14:textId="77777777" w:rsidR="0028399A" w:rsidRPr="00756D59" w:rsidRDefault="0028399A" w:rsidP="00305D02">
            <w:pPr>
              <w:jc w:val="left"/>
              <w:rPr>
                <w:sz w:val="20"/>
                <w:szCs w:val="20"/>
                <w:lang w:eastAsia="en-CA"/>
              </w:rPr>
            </w:pPr>
            <w:r w:rsidRPr="00756D59">
              <w:rPr>
                <w:bCs/>
                <w:sz w:val="20"/>
                <w:szCs w:val="20"/>
                <w:lang w:eastAsia="en-CA"/>
              </w:rPr>
              <w:t>Marshall Islands (the)</w:t>
            </w:r>
            <w:r w:rsidRPr="00756D59">
              <w:rPr>
                <w:sz w:val="20"/>
                <w:szCs w:val="20"/>
                <w:lang w:eastAsia="en-CA"/>
              </w:rPr>
              <w:t xml:space="preserve"> </w:t>
            </w:r>
          </w:p>
          <w:p w14:paraId="4FA96DB9" w14:textId="77777777" w:rsidR="0028399A" w:rsidRPr="00756D59" w:rsidRDefault="0028399A" w:rsidP="00305D02">
            <w:pPr>
              <w:jc w:val="left"/>
              <w:rPr>
                <w:bCs/>
                <w:sz w:val="20"/>
                <w:szCs w:val="20"/>
                <w:lang w:eastAsia="en-CA"/>
              </w:rPr>
            </w:pPr>
            <w:r w:rsidRPr="00756D59">
              <w:rPr>
                <w:sz w:val="20"/>
                <w:szCs w:val="20"/>
                <w:lang w:eastAsia="en-CA"/>
              </w:rPr>
              <w:t>MAS/SEV/81/TAS/01+</w:t>
            </w:r>
          </w:p>
        </w:tc>
        <w:tc>
          <w:tcPr>
            <w:tcW w:w="3352" w:type="dxa"/>
            <w:tcMar>
              <w:left w:w="58" w:type="dxa"/>
              <w:right w:w="58" w:type="dxa"/>
            </w:tcMar>
          </w:tcPr>
          <w:p w14:paraId="31E32335"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1CA694A"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D362F32" w14:textId="77777777" w:rsidR="0028399A" w:rsidRPr="00756D59" w:rsidRDefault="0028399A" w:rsidP="00305D02">
            <w:pPr>
              <w:jc w:val="center"/>
              <w:rPr>
                <w:bCs/>
                <w:sz w:val="20"/>
                <w:szCs w:val="20"/>
                <w:lang w:eastAsia="en-CA"/>
              </w:rPr>
            </w:pPr>
            <w:r w:rsidRPr="00756D59">
              <w:rPr>
                <w:bCs/>
                <w:sz w:val="20"/>
                <w:szCs w:val="20"/>
                <w:lang w:eastAsia="en-CA"/>
              </w:rPr>
              <w:t>27.4</w:t>
            </w:r>
          </w:p>
        </w:tc>
        <w:tc>
          <w:tcPr>
            <w:tcW w:w="4531" w:type="dxa"/>
            <w:tcMar>
              <w:left w:w="58" w:type="dxa"/>
              <w:right w:w="58" w:type="dxa"/>
            </w:tcMar>
          </w:tcPr>
          <w:p w14:paraId="22BD7FFC"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 roundtable workshops and trainings; finalization of regulation amendment drafting; and development of knowledge products and information materials.</w:t>
            </w:r>
          </w:p>
        </w:tc>
        <w:tc>
          <w:tcPr>
            <w:tcW w:w="1629" w:type="dxa"/>
            <w:shd w:val="clear" w:color="auto" w:fill="auto"/>
            <w:tcMar>
              <w:left w:w="58" w:type="dxa"/>
              <w:right w:w="58" w:type="dxa"/>
            </w:tcMar>
          </w:tcPr>
          <w:p w14:paraId="5AE3B2E6"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27980799" w14:textId="77777777" w:rsidTr="00305D02">
        <w:trPr>
          <w:trHeight w:val="337"/>
        </w:trPr>
        <w:tc>
          <w:tcPr>
            <w:tcW w:w="2261" w:type="dxa"/>
            <w:tcMar>
              <w:left w:w="58" w:type="dxa"/>
              <w:right w:w="58" w:type="dxa"/>
            </w:tcMar>
          </w:tcPr>
          <w:p w14:paraId="470A3D49" w14:textId="77777777" w:rsidR="0028399A" w:rsidRPr="00756D59" w:rsidRDefault="0028399A" w:rsidP="00305D02">
            <w:pPr>
              <w:jc w:val="left"/>
              <w:rPr>
                <w:sz w:val="20"/>
                <w:szCs w:val="20"/>
                <w:lang w:eastAsia="en-CA"/>
              </w:rPr>
            </w:pPr>
            <w:r w:rsidRPr="00756D59">
              <w:rPr>
                <w:bCs/>
                <w:sz w:val="20"/>
                <w:szCs w:val="20"/>
                <w:lang w:eastAsia="en-CA"/>
              </w:rPr>
              <w:t>Mauritania</w:t>
            </w:r>
            <w:r w:rsidRPr="00756D59">
              <w:rPr>
                <w:sz w:val="20"/>
                <w:szCs w:val="20"/>
                <w:lang w:eastAsia="en-CA"/>
              </w:rPr>
              <w:t xml:space="preserve"> </w:t>
            </w:r>
          </w:p>
          <w:p w14:paraId="6EDDF11C" w14:textId="77777777" w:rsidR="0028399A" w:rsidRPr="00756D59" w:rsidRDefault="0028399A" w:rsidP="00305D02">
            <w:pPr>
              <w:jc w:val="left"/>
              <w:rPr>
                <w:bCs/>
                <w:sz w:val="20"/>
                <w:szCs w:val="20"/>
                <w:lang w:eastAsia="en-CA"/>
              </w:rPr>
            </w:pPr>
            <w:r w:rsidRPr="00756D59">
              <w:rPr>
                <w:sz w:val="20"/>
                <w:szCs w:val="20"/>
                <w:lang w:eastAsia="en-CA"/>
              </w:rPr>
              <w:t>MAU/SEV/81/TAS/01+</w:t>
            </w:r>
          </w:p>
        </w:tc>
        <w:tc>
          <w:tcPr>
            <w:tcW w:w="3352" w:type="dxa"/>
            <w:tcMar>
              <w:left w:w="58" w:type="dxa"/>
              <w:right w:w="58" w:type="dxa"/>
            </w:tcMar>
          </w:tcPr>
          <w:p w14:paraId="5377A5F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0272364"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8857650" w14:textId="77777777" w:rsidR="0028399A" w:rsidRPr="00756D59" w:rsidRDefault="0028399A" w:rsidP="00305D02">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6318C3BC" w14:textId="77777777" w:rsidR="0028399A" w:rsidRPr="00756D59" w:rsidRDefault="0028399A" w:rsidP="00305D02">
            <w:pPr>
              <w:jc w:val="left"/>
              <w:rPr>
                <w:sz w:val="20"/>
                <w:szCs w:val="20"/>
                <w:lang w:eastAsia="en-CA"/>
              </w:rPr>
            </w:pPr>
            <w:r w:rsidRPr="00756D59">
              <w:rPr>
                <w:sz w:val="20"/>
                <w:szCs w:val="20"/>
                <w:lang w:eastAsia="en-CA"/>
              </w:rPr>
              <w:t xml:space="preserve">Training needs assessment for the servicing sector and preparing an assessment report; development of country-specific national HS codes for HFCs; sensitisation meetings for technicians on safe handling of HFCs and their alternatives; assisting customs office in developing national custom codes for different HFCs and including them into the Customs Tariff.     </w:t>
            </w:r>
          </w:p>
        </w:tc>
        <w:tc>
          <w:tcPr>
            <w:tcW w:w="1629" w:type="dxa"/>
            <w:shd w:val="clear" w:color="auto" w:fill="auto"/>
            <w:tcMar>
              <w:left w:w="58" w:type="dxa"/>
              <w:right w:w="58" w:type="dxa"/>
            </w:tcMar>
          </w:tcPr>
          <w:p w14:paraId="4819F9FC"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515B99CC" w14:textId="77777777" w:rsidTr="00305D02">
        <w:trPr>
          <w:trHeight w:val="337"/>
        </w:trPr>
        <w:tc>
          <w:tcPr>
            <w:tcW w:w="2261" w:type="dxa"/>
            <w:tcMar>
              <w:left w:w="58" w:type="dxa"/>
              <w:right w:w="58" w:type="dxa"/>
            </w:tcMar>
          </w:tcPr>
          <w:p w14:paraId="0E684443" w14:textId="77777777" w:rsidR="0028399A" w:rsidRPr="00756D59" w:rsidRDefault="0028399A" w:rsidP="00305D02">
            <w:pPr>
              <w:jc w:val="left"/>
              <w:rPr>
                <w:sz w:val="20"/>
                <w:szCs w:val="20"/>
                <w:lang w:eastAsia="en-CA"/>
              </w:rPr>
            </w:pPr>
            <w:r w:rsidRPr="00756D59">
              <w:rPr>
                <w:bCs/>
                <w:sz w:val="20"/>
                <w:szCs w:val="20"/>
                <w:lang w:eastAsia="en-CA"/>
              </w:rPr>
              <w:t>Mauritius</w:t>
            </w:r>
            <w:r w:rsidRPr="00756D59">
              <w:rPr>
                <w:sz w:val="20"/>
                <w:szCs w:val="20"/>
                <w:lang w:eastAsia="en-CA"/>
              </w:rPr>
              <w:t xml:space="preserve"> </w:t>
            </w:r>
          </w:p>
          <w:p w14:paraId="510F8359" w14:textId="77777777" w:rsidR="0028399A" w:rsidRPr="00756D59" w:rsidRDefault="0028399A" w:rsidP="00305D02">
            <w:pPr>
              <w:jc w:val="left"/>
              <w:rPr>
                <w:bCs/>
                <w:sz w:val="20"/>
                <w:szCs w:val="20"/>
                <w:lang w:eastAsia="en-CA"/>
              </w:rPr>
            </w:pPr>
            <w:r w:rsidRPr="00756D59">
              <w:rPr>
                <w:sz w:val="20"/>
                <w:szCs w:val="20"/>
                <w:lang w:eastAsia="en-CA"/>
              </w:rPr>
              <w:t>MAR/SEV/82/TAS/28</w:t>
            </w:r>
          </w:p>
        </w:tc>
        <w:tc>
          <w:tcPr>
            <w:tcW w:w="3352" w:type="dxa"/>
            <w:tcMar>
              <w:left w:w="58" w:type="dxa"/>
              <w:right w:w="58" w:type="dxa"/>
            </w:tcMar>
          </w:tcPr>
          <w:p w14:paraId="5B2ED256"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E480163"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1B6A0C22" w14:textId="77777777" w:rsidR="0028399A" w:rsidRPr="00756D59" w:rsidRDefault="0028399A" w:rsidP="00305D02">
            <w:pPr>
              <w:jc w:val="center"/>
              <w:rPr>
                <w:bCs/>
                <w:sz w:val="20"/>
                <w:szCs w:val="20"/>
                <w:lang w:eastAsia="en-CA"/>
              </w:rPr>
            </w:pPr>
            <w:r w:rsidRPr="00756D59">
              <w:rPr>
                <w:bCs/>
                <w:sz w:val="20"/>
                <w:szCs w:val="20"/>
                <w:lang w:eastAsia="en-CA"/>
              </w:rPr>
              <w:t>90</w:t>
            </w:r>
          </w:p>
        </w:tc>
        <w:tc>
          <w:tcPr>
            <w:tcW w:w="4531" w:type="dxa"/>
            <w:tcMar>
              <w:left w:w="58" w:type="dxa"/>
              <w:right w:w="58" w:type="dxa"/>
            </w:tcMar>
          </w:tcPr>
          <w:p w14:paraId="4E602DAC" w14:textId="77777777" w:rsidR="0028399A" w:rsidRPr="00756D59" w:rsidRDefault="0028399A" w:rsidP="00305D02">
            <w:pPr>
              <w:jc w:val="left"/>
              <w:rPr>
                <w:sz w:val="20"/>
                <w:szCs w:val="20"/>
                <w:lang w:eastAsia="en-CA"/>
              </w:rPr>
            </w:pPr>
            <w:r w:rsidRPr="00756D59">
              <w:rPr>
                <w:sz w:val="20"/>
                <w:szCs w:val="20"/>
                <w:lang w:eastAsia="en-CA"/>
              </w:rPr>
              <w:t>Conduct stakeholder consultative meetings on enabling policies and strategies for quick adoption of low</w:t>
            </w:r>
            <w:r w:rsidRPr="00756D59">
              <w:rPr>
                <w:sz w:val="20"/>
                <w:szCs w:val="20"/>
                <w:lang w:eastAsia="en-CA"/>
              </w:rPr>
              <w:noBreakHyphen/>
              <w:t xml:space="preserve">GWP HFC alternative technologies; and assisting customs office in developing national custom codes for different HFCs and including them into the Customs Tariff. </w:t>
            </w:r>
          </w:p>
        </w:tc>
        <w:tc>
          <w:tcPr>
            <w:tcW w:w="1629" w:type="dxa"/>
            <w:shd w:val="clear" w:color="auto" w:fill="auto"/>
            <w:tcMar>
              <w:left w:w="58" w:type="dxa"/>
              <w:right w:w="58" w:type="dxa"/>
            </w:tcMar>
          </w:tcPr>
          <w:p w14:paraId="5AC4F799"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EB34B78" w14:textId="77777777" w:rsidTr="00305D02">
        <w:trPr>
          <w:trHeight w:val="337"/>
        </w:trPr>
        <w:tc>
          <w:tcPr>
            <w:tcW w:w="2261" w:type="dxa"/>
            <w:tcMar>
              <w:left w:w="58" w:type="dxa"/>
              <w:right w:w="58" w:type="dxa"/>
            </w:tcMar>
          </w:tcPr>
          <w:p w14:paraId="4228128F" w14:textId="77777777" w:rsidR="0028399A" w:rsidRPr="00756D59" w:rsidRDefault="0028399A" w:rsidP="00305D02">
            <w:pPr>
              <w:jc w:val="left"/>
              <w:rPr>
                <w:sz w:val="20"/>
                <w:szCs w:val="20"/>
                <w:lang w:eastAsia="en-CA"/>
              </w:rPr>
            </w:pPr>
            <w:r w:rsidRPr="00756D59">
              <w:rPr>
                <w:bCs/>
                <w:sz w:val="20"/>
                <w:szCs w:val="20"/>
                <w:lang w:eastAsia="en-CA"/>
              </w:rPr>
              <w:lastRenderedPageBreak/>
              <w:t>Mexico</w:t>
            </w:r>
            <w:r w:rsidRPr="00756D59">
              <w:rPr>
                <w:sz w:val="20"/>
                <w:szCs w:val="20"/>
                <w:lang w:eastAsia="en-CA"/>
              </w:rPr>
              <w:t xml:space="preserve"> </w:t>
            </w:r>
          </w:p>
          <w:p w14:paraId="165CBD8F" w14:textId="77777777" w:rsidR="0028399A" w:rsidRPr="00756D59" w:rsidRDefault="0028399A" w:rsidP="00305D02">
            <w:pPr>
              <w:jc w:val="left"/>
              <w:rPr>
                <w:bCs/>
                <w:sz w:val="20"/>
                <w:szCs w:val="20"/>
                <w:lang w:eastAsia="en-CA"/>
              </w:rPr>
            </w:pPr>
            <w:r w:rsidRPr="00756D59">
              <w:rPr>
                <w:sz w:val="20"/>
                <w:szCs w:val="20"/>
                <w:lang w:eastAsia="en-CA"/>
              </w:rPr>
              <w:t>MEX/SEV/80/TAS/01+</w:t>
            </w:r>
          </w:p>
        </w:tc>
        <w:tc>
          <w:tcPr>
            <w:tcW w:w="3352" w:type="dxa"/>
            <w:tcMar>
              <w:left w:w="58" w:type="dxa"/>
              <w:right w:w="58" w:type="dxa"/>
            </w:tcMar>
          </w:tcPr>
          <w:p w14:paraId="7EE0E6F8"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509B800"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0E48DE0" w14:textId="77777777" w:rsidR="0028399A" w:rsidRPr="00756D59" w:rsidRDefault="0028399A" w:rsidP="00305D02">
            <w:pPr>
              <w:jc w:val="center"/>
              <w:rPr>
                <w:bCs/>
                <w:sz w:val="20"/>
                <w:szCs w:val="20"/>
                <w:lang w:eastAsia="en-CA"/>
              </w:rPr>
            </w:pPr>
            <w:r w:rsidRPr="00756D59">
              <w:rPr>
                <w:bCs/>
                <w:sz w:val="20"/>
                <w:szCs w:val="20"/>
                <w:lang w:eastAsia="en-CA"/>
              </w:rPr>
              <w:t>33</w:t>
            </w:r>
          </w:p>
        </w:tc>
        <w:tc>
          <w:tcPr>
            <w:tcW w:w="4531" w:type="dxa"/>
            <w:tcMar>
              <w:left w:w="58" w:type="dxa"/>
              <w:right w:w="58" w:type="dxa"/>
            </w:tcMar>
          </w:tcPr>
          <w:p w14:paraId="4B2394DA" w14:textId="77777777" w:rsidR="0028399A" w:rsidRPr="00756D59" w:rsidRDefault="0028399A" w:rsidP="00305D02">
            <w:pPr>
              <w:jc w:val="left"/>
              <w:rPr>
                <w:sz w:val="20"/>
                <w:szCs w:val="20"/>
                <w:lang w:eastAsia="en-CA"/>
              </w:rPr>
            </w:pPr>
            <w:r w:rsidRPr="00756D59">
              <w:rPr>
                <w:sz w:val="20"/>
                <w:szCs w:val="20"/>
                <w:lang w:eastAsia="en-CA"/>
              </w:rPr>
              <w:t>Specialized training in HFC controls for customs officers.</w:t>
            </w:r>
          </w:p>
        </w:tc>
        <w:tc>
          <w:tcPr>
            <w:tcW w:w="1629" w:type="dxa"/>
            <w:shd w:val="clear" w:color="auto" w:fill="auto"/>
            <w:tcMar>
              <w:left w:w="58" w:type="dxa"/>
              <w:right w:w="58" w:type="dxa"/>
            </w:tcMar>
          </w:tcPr>
          <w:p w14:paraId="2F125E2A"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226D0117" w14:textId="77777777" w:rsidTr="00305D02">
        <w:trPr>
          <w:trHeight w:val="337"/>
        </w:trPr>
        <w:tc>
          <w:tcPr>
            <w:tcW w:w="2261" w:type="dxa"/>
            <w:tcMar>
              <w:left w:w="58" w:type="dxa"/>
              <w:right w:w="58" w:type="dxa"/>
            </w:tcMar>
          </w:tcPr>
          <w:p w14:paraId="6F632F1B" w14:textId="77777777" w:rsidR="0028399A" w:rsidRPr="00756D59" w:rsidRDefault="0028399A" w:rsidP="00305D02">
            <w:pPr>
              <w:jc w:val="left"/>
              <w:rPr>
                <w:sz w:val="20"/>
                <w:szCs w:val="20"/>
                <w:lang w:eastAsia="en-CA"/>
              </w:rPr>
            </w:pPr>
            <w:r w:rsidRPr="00756D59">
              <w:rPr>
                <w:bCs/>
                <w:sz w:val="20"/>
                <w:szCs w:val="20"/>
                <w:lang w:eastAsia="en-CA"/>
              </w:rPr>
              <w:t>Mozambique</w:t>
            </w:r>
            <w:r w:rsidRPr="00756D59">
              <w:rPr>
                <w:sz w:val="20"/>
                <w:szCs w:val="20"/>
                <w:lang w:eastAsia="en-CA"/>
              </w:rPr>
              <w:t xml:space="preserve"> </w:t>
            </w:r>
          </w:p>
          <w:p w14:paraId="4B130A08" w14:textId="77777777" w:rsidR="0028399A" w:rsidRPr="00756D59" w:rsidRDefault="0028399A" w:rsidP="00305D02">
            <w:pPr>
              <w:jc w:val="left"/>
              <w:rPr>
                <w:bCs/>
                <w:sz w:val="20"/>
                <w:szCs w:val="20"/>
                <w:lang w:eastAsia="en-CA"/>
              </w:rPr>
            </w:pPr>
            <w:r w:rsidRPr="00756D59">
              <w:rPr>
                <w:sz w:val="20"/>
                <w:szCs w:val="20"/>
                <w:lang w:eastAsia="en-CA"/>
              </w:rPr>
              <w:t>MOZ/SEV/81/TAS/01+</w:t>
            </w:r>
          </w:p>
        </w:tc>
        <w:tc>
          <w:tcPr>
            <w:tcW w:w="3352" w:type="dxa"/>
            <w:tcMar>
              <w:left w:w="58" w:type="dxa"/>
              <w:right w:w="58" w:type="dxa"/>
            </w:tcMar>
          </w:tcPr>
          <w:p w14:paraId="3474AC0D"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AF92BB6"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40EDFC6" w14:textId="77777777" w:rsidR="0028399A" w:rsidRPr="00756D59" w:rsidRDefault="0028399A" w:rsidP="00305D02">
            <w:pPr>
              <w:jc w:val="center"/>
              <w:rPr>
                <w:bCs/>
                <w:sz w:val="20"/>
                <w:szCs w:val="20"/>
                <w:lang w:eastAsia="en-CA"/>
              </w:rPr>
            </w:pPr>
            <w:r w:rsidRPr="00756D59">
              <w:rPr>
                <w:bCs/>
                <w:sz w:val="20"/>
                <w:szCs w:val="20"/>
                <w:lang w:eastAsia="en-CA"/>
              </w:rPr>
              <w:t>86.7</w:t>
            </w:r>
          </w:p>
        </w:tc>
        <w:tc>
          <w:tcPr>
            <w:tcW w:w="4531" w:type="dxa"/>
            <w:tcMar>
              <w:left w:w="58" w:type="dxa"/>
              <w:right w:w="58" w:type="dxa"/>
            </w:tcMar>
          </w:tcPr>
          <w:p w14:paraId="09AB961C" w14:textId="77777777" w:rsidR="0028399A" w:rsidRPr="00756D59" w:rsidRDefault="0028399A" w:rsidP="00305D02">
            <w:pPr>
              <w:jc w:val="left"/>
              <w:rPr>
                <w:sz w:val="20"/>
                <w:szCs w:val="20"/>
                <w:lang w:eastAsia="en-CA"/>
              </w:rPr>
            </w:pPr>
            <w:r w:rsidRPr="00756D59">
              <w:rPr>
                <w:sz w:val="20"/>
                <w:szCs w:val="20"/>
                <w:lang w:eastAsia="en-CA"/>
              </w:rPr>
              <w:t>Undertaking the training needs assessment for the servicing sector and preparing an assessment report; revising the existing national ozone</w:t>
            </w:r>
            <w:r w:rsidRPr="00756D59">
              <w:rPr>
                <w:sz w:val="20"/>
                <w:szCs w:val="20"/>
                <w:lang w:eastAsia="en-CA"/>
              </w:rPr>
              <w:noBreakHyphen/>
              <w:t>depleting substances legislation for HFC and alternatives; and conducting sensitization meetings for technicians on safe handling of HFCs and their alternatives.</w:t>
            </w:r>
          </w:p>
        </w:tc>
        <w:tc>
          <w:tcPr>
            <w:tcW w:w="1629" w:type="dxa"/>
            <w:shd w:val="clear" w:color="auto" w:fill="auto"/>
            <w:tcMar>
              <w:left w:w="58" w:type="dxa"/>
              <w:right w:w="58" w:type="dxa"/>
            </w:tcMar>
          </w:tcPr>
          <w:p w14:paraId="16AA6839"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707D45BA" w14:textId="77777777" w:rsidTr="00305D02">
        <w:trPr>
          <w:trHeight w:val="337"/>
        </w:trPr>
        <w:tc>
          <w:tcPr>
            <w:tcW w:w="2261" w:type="dxa"/>
            <w:tcMar>
              <w:left w:w="58" w:type="dxa"/>
              <w:right w:w="58" w:type="dxa"/>
            </w:tcMar>
          </w:tcPr>
          <w:p w14:paraId="4ACF938A" w14:textId="77777777" w:rsidR="0028399A" w:rsidRPr="00756D59" w:rsidRDefault="0028399A" w:rsidP="00305D02">
            <w:pPr>
              <w:jc w:val="left"/>
              <w:rPr>
                <w:sz w:val="20"/>
                <w:szCs w:val="20"/>
                <w:lang w:eastAsia="en-CA"/>
              </w:rPr>
            </w:pPr>
            <w:r w:rsidRPr="00756D59">
              <w:rPr>
                <w:bCs/>
                <w:sz w:val="20"/>
                <w:szCs w:val="20"/>
                <w:lang w:eastAsia="en-CA"/>
              </w:rPr>
              <w:t>Myanmar</w:t>
            </w:r>
            <w:r w:rsidRPr="00756D59">
              <w:rPr>
                <w:sz w:val="20"/>
                <w:szCs w:val="20"/>
                <w:lang w:eastAsia="en-CA"/>
              </w:rPr>
              <w:t xml:space="preserve"> </w:t>
            </w:r>
          </w:p>
          <w:p w14:paraId="185BFA37" w14:textId="77777777" w:rsidR="0028399A" w:rsidRPr="00756D59" w:rsidRDefault="0028399A" w:rsidP="00305D02">
            <w:pPr>
              <w:jc w:val="left"/>
              <w:rPr>
                <w:bCs/>
                <w:sz w:val="20"/>
                <w:szCs w:val="20"/>
                <w:lang w:eastAsia="en-CA"/>
              </w:rPr>
            </w:pPr>
            <w:r w:rsidRPr="00756D59">
              <w:rPr>
                <w:sz w:val="20"/>
                <w:szCs w:val="20"/>
                <w:lang w:eastAsia="en-CA"/>
              </w:rPr>
              <w:t>MYA/SEV/81/TAS/01+</w:t>
            </w:r>
          </w:p>
        </w:tc>
        <w:tc>
          <w:tcPr>
            <w:tcW w:w="3352" w:type="dxa"/>
            <w:tcMar>
              <w:left w:w="58" w:type="dxa"/>
              <w:right w:w="58" w:type="dxa"/>
            </w:tcMar>
          </w:tcPr>
          <w:p w14:paraId="1B9AC4BC"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B7A0EFB"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49D6CE1" w14:textId="77777777" w:rsidR="0028399A" w:rsidRPr="00756D59" w:rsidRDefault="0028399A" w:rsidP="00305D02">
            <w:pPr>
              <w:jc w:val="center"/>
              <w:rPr>
                <w:bCs/>
                <w:sz w:val="20"/>
                <w:szCs w:val="20"/>
                <w:lang w:eastAsia="en-CA"/>
              </w:rPr>
            </w:pPr>
            <w:r w:rsidRPr="00756D59">
              <w:rPr>
                <w:bCs/>
                <w:sz w:val="20"/>
                <w:szCs w:val="20"/>
                <w:lang w:eastAsia="en-CA"/>
              </w:rPr>
              <w:t>27.5</w:t>
            </w:r>
          </w:p>
        </w:tc>
        <w:tc>
          <w:tcPr>
            <w:tcW w:w="4531" w:type="dxa"/>
            <w:tcMar>
              <w:left w:w="58" w:type="dxa"/>
              <w:right w:w="58" w:type="dxa"/>
            </w:tcMar>
          </w:tcPr>
          <w:p w14:paraId="1666C856" w14:textId="77777777" w:rsidR="0028399A" w:rsidRPr="00756D59" w:rsidRDefault="0028399A" w:rsidP="00305D02">
            <w:pPr>
              <w:jc w:val="left"/>
              <w:rPr>
                <w:sz w:val="20"/>
                <w:szCs w:val="20"/>
                <w:lang w:eastAsia="en-CA"/>
              </w:rPr>
            </w:pPr>
            <w:r w:rsidRPr="00756D59">
              <w:rPr>
                <w:sz w:val="20"/>
                <w:szCs w:val="20"/>
                <w:lang w:eastAsia="en-CA"/>
              </w:rPr>
              <w:t>Finalization of country assessment report, roundtable workshops and trainings; drafting regulation amendment; development of knowledge products and information materials; and HS code revision 2022.</w:t>
            </w:r>
          </w:p>
        </w:tc>
        <w:tc>
          <w:tcPr>
            <w:tcW w:w="1629" w:type="dxa"/>
            <w:shd w:val="clear" w:color="auto" w:fill="auto"/>
            <w:tcMar>
              <w:left w:w="58" w:type="dxa"/>
              <w:right w:w="58" w:type="dxa"/>
            </w:tcMar>
          </w:tcPr>
          <w:p w14:paraId="0020417F"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556DFC5" w14:textId="77777777" w:rsidTr="00305D02">
        <w:trPr>
          <w:trHeight w:val="337"/>
        </w:trPr>
        <w:tc>
          <w:tcPr>
            <w:tcW w:w="2261" w:type="dxa"/>
            <w:tcMar>
              <w:left w:w="58" w:type="dxa"/>
              <w:right w:w="58" w:type="dxa"/>
            </w:tcMar>
          </w:tcPr>
          <w:p w14:paraId="10E8F14D" w14:textId="77777777" w:rsidR="0028399A" w:rsidRPr="00756D59" w:rsidRDefault="0028399A" w:rsidP="00305D02">
            <w:pPr>
              <w:jc w:val="left"/>
              <w:rPr>
                <w:sz w:val="20"/>
                <w:szCs w:val="20"/>
                <w:lang w:eastAsia="en-CA"/>
              </w:rPr>
            </w:pPr>
            <w:r w:rsidRPr="00756D59">
              <w:rPr>
                <w:bCs/>
                <w:sz w:val="20"/>
                <w:szCs w:val="20"/>
                <w:lang w:eastAsia="en-CA"/>
              </w:rPr>
              <w:t>Nepal</w:t>
            </w:r>
            <w:r w:rsidRPr="00756D59">
              <w:rPr>
                <w:sz w:val="20"/>
                <w:szCs w:val="20"/>
                <w:lang w:eastAsia="en-CA"/>
              </w:rPr>
              <w:t xml:space="preserve"> </w:t>
            </w:r>
          </w:p>
          <w:p w14:paraId="537DDB15" w14:textId="77777777" w:rsidR="0028399A" w:rsidRPr="00756D59" w:rsidRDefault="0028399A" w:rsidP="00305D02">
            <w:pPr>
              <w:jc w:val="left"/>
              <w:rPr>
                <w:bCs/>
                <w:sz w:val="20"/>
                <w:szCs w:val="20"/>
                <w:lang w:eastAsia="en-CA"/>
              </w:rPr>
            </w:pPr>
            <w:r w:rsidRPr="00756D59">
              <w:rPr>
                <w:sz w:val="20"/>
                <w:szCs w:val="20"/>
                <w:lang w:eastAsia="en-CA"/>
              </w:rPr>
              <w:t>NEP/SEV/81/TAS/01+</w:t>
            </w:r>
          </w:p>
        </w:tc>
        <w:tc>
          <w:tcPr>
            <w:tcW w:w="3352" w:type="dxa"/>
            <w:tcMar>
              <w:left w:w="58" w:type="dxa"/>
              <w:right w:w="58" w:type="dxa"/>
            </w:tcMar>
          </w:tcPr>
          <w:p w14:paraId="1E4A92B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DEC3BE5"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AC294DC" w14:textId="77777777" w:rsidR="0028399A" w:rsidRPr="00756D59" w:rsidRDefault="0028399A" w:rsidP="00305D02">
            <w:pPr>
              <w:jc w:val="center"/>
              <w:rPr>
                <w:bCs/>
                <w:sz w:val="20"/>
                <w:szCs w:val="20"/>
                <w:lang w:eastAsia="en-CA"/>
              </w:rPr>
            </w:pPr>
            <w:r w:rsidRPr="00756D59">
              <w:rPr>
                <w:bCs/>
                <w:sz w:val="20"/>
                <w:szCs w:val="20"/>
                <w:lang w:eastAsia="en-CA"/>
              </w:rPr>
              <w:t>45.1</w:t>
            </w:r>
          </w:p>
        </w:tc>
        <w:tc>
          <w:tcPr>
            <w:tcW w:w="4531" w:type="dxa"/>
            <w:tcMar>
              <w:left w:w="58" w:type="dxa"/>
              <w:right w:w="58" w:type="dxa"/>
            </w:tcMar>
          </w:tcPr>
          <w:p w14:paraId="75D59F80" w14:textId="77777777" w:rsidR="0028399A" w:rsidRPr="00756D59" w:rsidRDefault="0028399A" w:rsidP="00305D02">
            <w:pPr>
              <w:jc w:val="left"/>
              <w:rPr>
                <w:sz w:val="20"/>
                <w:szCs w:val="20"/>
                <w:lang w:eastAsia="en-CA"/>
              </w:rPr>
            </w:pPr>
            <w:r w:rsidRPr="00756D59">
              <w:rPr>
                <w:sz w:val="20"/>
                <w:szCs w:val="20"/>
                <w:lang w:eastAsia="en-CA"/>
              </w:rPr>
              <w:t>Consultations on Kigali Amendment ratification; country assessment report finalization; roundtable workshops and training; finalization of drafting the amendment to the regulation; development of knowledge products and information materials; and finalization of safety standards.</w:t>
            </w:r>
          </w:p>
        </w:tc>
        <w:tc>
          <w:tcPr>
            <w:tcW w:w="1629" w:type="dxa"/>
            <w:shd w:val="clear" w:color="auto" w:fill="auto"/>
            <w:tcMar>
              <w:left w:w="58" w:type="dxa"/>
              <w:right w:w="58" w:type="dxa"/>
            </w:tcMar>
          </w:tcPr>
          <w:p w14:paraId="1F54DAB4"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BC531DE" w14:textId="77777777" w:rsidTr="00305D02">
        <w:trPr>
          <w:trHeight w:val="337"/>
        </w:trPr>
        <w:tc>
          <w:tcPr>
            <w:tcW w:w="2261" w:type="dxa"/>
            <w:tcMar>
              <w:left w:w="58" w:type="dxa"/>
              <w:right w:w="58" w:type="dxa"/>
            </w:tcMar>
          </w:tcPr>
          <w:p w14:paraId="40D33AC5" w14:textId="77777777" w:rsidR="0028399A" w:rsidRPr="00756D59" w:rsidRDefault="0028399A" w:rsidP="00305D02">
            <w:pPr>
              <w:jc w:val="left"/>
              <w:rPr>
                <w:sz w:val="20"/>
                <w:szCs w:val="20"/>
                <w:lang w:eastAsia="en-CA"/>
              </w:rPr>
            </w:pPr>
            <w:r w:rsidRPr="00756D59">
              <w:rPr>
                <w:bCs/>
                <w:sz w:val="20"/>
                <w:szCs w:val="20"/>
                <w:lang w:eastAsia="en-CA"/>
              </w:rPr>
              <w:t>Oman</w:t>
            </w:r>
            <w:r w:rsidRPr="00756D59">
              <w:rPr>
                <w:sz w:val="20"/>
                <w:szCs w:val="20"/>
                <w:lang w:eastAsia="en-CA"/>
              </w:rPr>
              <w:t xml:space="preserve"> </w:t>
            </w:r>
          </w:p>
          <w:p w14:paraId="028265DF" w14:textId="77777777" w:rsidR="0028399A" w:rsidRPr="00756D59" w:rsidRDefault="0028399A" w:rsidP="00305D02">
            <w:pPr>
              <w:jc w:val="left"/>
              <w:rPr>
                <w:bCs/>
                <w:sz w:val="20"/>
                <w:szCs w:val="20"/>
                <w:lang w:eastAsia="en-CA"/>
              </w:rPr>
            </w:pPr>
            <w:r w:rsidRPr="00756D59">
              <w:rPr>
                <w:sz w:val="20"/>
                <w:szCs w:val="20"/>
                <w:lang w:eastAsia="en-CA"/>
              </w:rPr>
              <w:t>OMA/SEV/81/TAS/35</w:t>
            </w:r>
          </w:p>
        </w:tc>
        <w:tc>
          <w:tcPr>
            <w:tcW w:w="3352" w:type="dxa"/>
            <w:tcMar>
              <w:left w:w="58" w:type="dxa"/>
              <w:right w:w="58" w:type="dxa"/>
            </w:tcMar>
          </w:tcPr>
          <w:p w14:paraId="5F8AC85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A35AC5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8228A69" w14:textId="77777777" w:rsidR="0028399A" w:rsidRPr="00756D59" w:rsidRDefault="0028399A" w:rsidP="00305D02">
            <w:pPr>
              <w:jc w:val="center"/>
              <w:rPr>
                <w:bCs/>
                <w:sz w:val="20"/>
                <w:szCs w:val="20"/>
                <w:lang w:eastAsia="en-CA"/>
              </w:rPr>
            </w:pPr>
            <w:r w:rsidRPr="00756D59">
              <w:rPr>
                <w:bCs/>
                <w:sz w:val="20"/>
                <w:szCs w:val="20"/>
                <w:lang w:eastAsia="en-CA"/>
              </w:rPr>
              <w:t>45.4</w:t>
            </w:r>
          </w:p>
        </w:tc>
        <w:tc>
          <w:tcPr>
            <w:tcW w:w="4531" w:type="dxa"/>
            <w:tcMar>
              <w:left w:w="58" w:type="dxa"/>
              <w:right w:w="58" w:type="dxa"/>
            </w:tcMar>
          </w:tcPr>
          <w:p w14:paraId="5024A613" w14:textId="77777777" w:rsidR="0028399A" w:rsidRPr="00756D59" w:rsidRDefault="0028399A" w:rsidP="00305D02">
            <w:pPr>
              <w:jc w:val="left"/>
              <w:rPr>
                <w:sz w:val="20"/>
                <w:szCs w:val="20"/>
                <w:lang w:eastAsia="en-CA"/>
              </w:rPr>
            </w:pPr>
            <w:r w:rsidRPr="00756D59">
              <w:rPr>
                <w:sz w:val="20"/>
                <w:szCs w:val="20"/>
                <w:lang w:eastAsia="en-CA"/>
              </w:rPr>
              <w:t>Drafting required ratification instrument; capacity building for enhanced monitoring and reporting; and finalization of country assessment report.</w:t>
            </w:r>
          </w:p>
        </w:tc>
        <w:tc>
          <w:tcPr>
            <w:tcW w:w="1629" w:type="dxa"/>
            <w:shd w:val="clear" w:color="auto" w:fill="auto"/>
            <w:tcMar>
              <w:left w:w="58" w:type="dxa"/>
              <w:right w:w="58" w:type="dxa"/>
            </w:tcMar>
          </w:tcPr>
          <w:p w14:paraId="29040F21"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659F7D22" w14:textId="77777777" w:rsidTr="00305D02">
        <w:trPr>
          <w:trHeight w:val="337"/>
        </w:trPr>
        <w:tc>
          <w:tcPr>
            <w:tcW w:w="2261" w:type="dxa"/>
            <w:tcMar>
              <w:left w:w="58" w:type="dxa"/>
              <w:right w:w="58" w:type="dxa"/>
            </w:tcMar>
          </w:tcPr>
          <w:p w14:paraId="7716D30F" w14:textId="77777777" w:rsidR="0028399A" w:rsidRPr="00756D59" w:rsidRDefault="0028399A" w:rsidP="00305D02">
            <w:pPr>
              <w:jc w:val="left"/>
              <w:rPr>
                <w:sz w:val="20"/>
                <w:szCs w:val="20"/>
                <w:lang w:eastAsia="en-CA"/>
              </w:rPr>
            </w:pPr>
            <w:r w:rsidRPr="00756D59">
              <w:rPr>
                <w:bCs/>
                <w:sz w:val="20"/>
                <w:szCs w:val="20"/>
                <w:lang w:eastAsia="en-CA"/>
              </w:rPr>
              <w:t>Pakistan</w:t>
            </w:r>
            <w:r w:rsidRPr="00756D59">
              <w:rPr>
                <w:sz w:val="20"/>
                <w:szCs w:val="20"/>
                <w:lang w:eastAsia="en-CA"/>
              </w:rPr>
              <w:t xml:space="preserve"> </w:t>
            </w:r>
          </w:p>
          <w:p w14:paraId="41ABD63E" w14:textId="77777777" w:rsidR="0028399A" w:rsidRPr="00756D59" w:rsidRDefault="0028399A" w:rsidP="00305D02">
            <w:pPr>
              <w:jc w:val="left"/>
              <w:rPr>
                <w:bCs/>
                <w:sz w:val="20"/>
                <w:szCs w:val="20"/>
                <w:lang w:eastAsia="en-CA"/>
              </w:rPr>
            </w:pPr>
            <w:r w:rsidRPr="00756D59">
              <w:rPr>
                <w:sz w:val="20"/>
                <w:szCs w:val="20"/>
                <w:lang w:eastAsia="en-CA"/>
              </w:rPr>
              <w:t>PAK/SEV/81/TAS/97</w:t>
            </w:r>
          </w:p>
        </w:tc>
        <w:tc>
          <w:tcPr>
            <w:tcW w:w="3352" w:type="dxa"/>
            <w:tcMar>
              <w:left w:w="58" w:type="dxa"/>
              <w:right w:w="58" w:type="dxa"/>
            </w:tcMar>
          </w:tcPr>
          <w:p w14:paraId="7846E2A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2725AF0"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817989C" w14:textId="77777777" w:rsidR="0028399A" w:rsidRPr="00756D59" w:rsidRDefault="0028399A" w:rsidP="00305D02">
            <w:pPr>
              <w:jc w:val="center"/>
              <w:rPr>
                <w:bCs/>
                <w:sz w:val="20"/>
                <w:szCs w:val="20"/>
                <w:lang w:eastAsia="en-CA"/>
              </w:rPr>
            </w:pPr>
            <w:r w:rsidRPr="00756D59">
              <w:rPr>
                <w:bCs/>
                <w:sz w:val="20"/>
                <w:szCs w:val="20"/>
                <w:lang w:eastAsia="en-CA"/>
              </w:rPr>
              <w:t>4.9</w:t>
            </w:r>
          </w:p>
        </w:tc>
        <w:tc>
          <w:tcPr>
            <w:tcW w:w="4531" w:type="dxa"/>
            <w:tcMar>
              <w:left w:w="58" w:type="dxa"/>
              <w:right w:w="58" w:type="dxa"/>
            </w:tcMar>
          </w:tcPr>
          <w:p w14:paraId="0C464FF9" w14:textId="77777777" w:rsidR="0028399A" w:rsidRPr="00756D59" w:rsidRDefault="0028399A" w:rsidP="00305D02">
            <w:pPr>
              <w:jc w:val="left"/>
              <w:rPr>
                <w:sz w:val="20"/>
                <w:szCs w:val="20"/>
                <w:lang w:eastAsia="en-CA"/>
              </w:rPr>
            </w:pPr>
            <w:r w:rsidRPr="00756D59">
              <w:rPr>
                <w:sz w:val="20"/>
                <w:szCs w:val="20"/>
                <w:lang w:eastAsia="en-CA"/>
              </w:rPr>
              <w:t>Consultations on Kigali Amendment ratification; country assessment report finalization; roundtable workshops and trainings; finalization of drafting the amendment to the regulation; development of knowledge products/information materials; awareness workshops for retailers, building sector, energy efficiency, climate change and public procurement focal points; and revision of  web based one customs (</w:t>
            </w:r>
            <w:proofErr w:type="spellStart"/>
            <w:r w:rsidRPr="00756D59">
              <w:rPr>
                <w:sz w:val="20"/>
                <w:szCs w:val="20"/>
                <w:lang w:eastAsia="en-CA"/>
              </w:rPr>
              <w:t>WeBOC</w:t>
            </w:r>
            <w:proofErr w:type="spellEnd"/>
            <w:r w:rsidRPr="00756D59">
              <w:rPr>
                <w:sz w:val="20"/>
                <w:szCs w:val="20"/>
                <w:lang w:eastAsia="en-CA"/>
              </w:rPr>
              <w:t>) to include HFCs.</w:t>
            </w:r>
          </w:p>
        </w:tc>
        <w:tc>
          <w:tcPr>
            <w:tcW w:w="1629" w:type="dxa"/>
            <w:shd w:val="clear" w:color="auto" w:fill="auto"/>
            <w:tcMar>
              <w:left w:w="58" w:type="dxa"/>
              <w:right w:w="58" w:type="dxa"/>
            </w:tcMar>
          </w:tcPr>
          <w:p w14:paraId="0076B8E3"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5EF22B5E" w14:textId="77777777" w:rsidTr="00305D02">
        <w:trPr>
          <w:trHeight w:val="337"/>
        </w:trPr>
        <w:tc>
          <w:tcPr>
            <w:tcW w:w="2261" w:type="dxa"/>
            <w:tcMar>
              <w:left w:w="58" w:type="dxa"/>
              <w:right w:w="58" w:type="dxa"/>
            </w:tcMar>
          </w:tcPr>
          <w:p w14:paraId="329062B0" w14:textId="77777777" w:rsidR="0028399A" w:rsidRPr="00756D59" w:rsidRDefault="0028399A" w:rsidP="00305D02">
            <w:pPr>
              <w:jc w:val="left"/>
              <w:rPr>
                <w:sz w:val="20"/>
                <w:szCs w:val="20"/>
                <w:lang w:eastAsia="en-CA"/>
              </w:rPr>
            </w:pPr>
            <w:r w:rsidRPr="00756D59">
              <w:rPr>
                <w:bCs/>
                <w:sz w:val="20"/>
                <w:szCs w:val="20"/>
                <w:lang w:eastAsia="en-CA"/>
              </w:rPr>
              <w:t>Paraguay</w:t>
            </w:r>
            <w:r w:rsidRPr="00756D59">
              <w:rPr>
                <w:sz w:val="20"/>
                <w:szCs w:val="20"/>
                <w:lang w:eastAsia="en-CA"/>
              </w:rPr>
              <w:t xml:space="preserve"> </w:t>
            </w:r>
          </w:p>
          <w:p w14:paraId="6826B700" w14:textId="77777777" w:rsidR="0028399A" w:rsidRPr="00756D59" w:rsidRDefault="0028399A" w:rsidP="00305D02">
            <w:pPr>
              <w:jc w:val="left"/>
              <w:rPr>
                <w:bCs/>
                <w:sz w:val="20"/>
                <w:szCs w:val="20"/>
                <w:lang w:eastAsia="en-CA"/>
              </w:rPr>
            </w:pPr>
            <w:r w:rsidRPr="00756D59">
              <w:rPr>
                <w:sz w:val="20"/>
                <w:szCs w:val="20"/>
                <w:lang w:eastAsia="en-CA"/>
              </w:rPr>
              <w:t>PAR/SEV/81/TAS/02+</w:t>
            </w:r>
          </w:p>
        </w:tc>
        <w:tc>
          <w:tcPr>
            <w:tcW w:w="3352" w:type="dxa"/>
            <w:tcMar>
              <w:left w:w="58" w:type="dxa"/>
              <w:right w:w="58" w:type="dxa"/>
            </w:tcMar>
          </w:tcPr>
          <w:p w14:paraId="30477CA1"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184E91B"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2EF88A0" w14:textId="77777777" w:rsidR="0028399A" w:rsidRPr="00756D59" w:rsidRDefault="0028399A" w:rsidP="00305D02">
            <w:pPr>
              <w:jc w:val="center"/>
              <w:rPr>
                <w:bCs/>
                <w:sz w:val="20"/>
                <w:szCs w:val="20"/>
                <w:lang w:eastAsia="en-CA"/>
              </w:rPr>
            </w:pPr>
            <w:r w:rsidRPr="00756D59">
              <w:rPr>
                <w:bCs/>
                <w:sz w:val="20"/>
                <w:szCs w:val="20"/>
                <w:lang w:eastAsia="en-CA"/>
              </w:rPr>
              <w:t>27.6</w:t>
            </w:r>
          </w:p>
        </w:tc>
        <w:tc>
          <w:tcPr>
            <w:tcW w:w="4531" w:type="dxa"/>
            <w:tcMar>
              <w:left w:w="58" w:type="dxa"/>
              <w:right w:w="58" w:type="dxa"/>
            </w:tcMar>
          </w:tcPr>
          <w:p w14:paraId="5A593778" w14:textId="77777777" w:rsidR="0028399A" w:rsidRPr="00756D59" w:rsidRDefault="0028399A" w:rsidP="00305D02">
            <w:pPr>
              <w:jc w:val="left"/>
              <w:rPr>
                <w:sz w:val="20"/>
                <w:szCs w:val="20"/>
                <w:lang w:eastAsia="en-CA"/>
              </w:rPr>
            </w:pPr>
            <w:r w:rsidRPr="00756D59">
              <w:rPr>
                <w:sz w:val="20"/>
                <w:szCs w:val="20"/>
                <w:lang w:eastAsia="en-CA"/>
              </w:rPr>
              <w:t>Reviewing safety standards for the use of flammable refrigerants; drafting specific regulations to control low</w:t>
            </w:r>
            <w:r w:rsidRPr="00756D59">
              <w:rPr>
                <w:sz w:val="20"/>
                <w:szCs w:val="20"/>
                <w:lang w:eastAsia="en-CA"/>
              </w:rPr>
              <w:noBreakHyphen/>
              <w:t>GWP alternatives; developing national customs codes for main zero</w:t>
            </w:r>
            <w:r w:rsidRPr="00756D59">
              <w:rPr>
                <w:sz w:val="20"/>
                <w:szCs w:val="20"/>
                <w:lang w:eastAsia="en-CA"/>
              </w:rPr>
              <w:noBreakHyphen/>
              <w:t>/low</w:t>
            </w:r>
            <w:r w:rsidRPr="00756D59">
              <w:rPr>
                <w:sz w:val="20"/>
                <w:szCs w:val="20"/>
                <w:lang w:eastAsia="en-CA"/>
              </w:rPr>
              <w:noBreakHyphen/>
              <w:t xml:space="preserve">GWP alternatives; training of trainers on import/export controls for HFCs; analysis and revision of the current national </w:t>
            </w:r>
            <w:proofErr w:type="spellStart"/>
            <w:r w:rsidRPr="00756D59">
              <w:rPr>
                <w:sz w:val="20"/>
                <w:szCs w:val="20"/>
                <w:lang w:eastAsia="en-CA"/>
              </w:rPr>
              <w:t>labor</w:t>
            </w:r>
            <w:proofErr w:type="spellEnd"/>
            <w:r w:rsidRPr="00756D59">
              <w:rPr>
                <w:sz w:val="20"/>
                <w:szCs w:val="20"/>
                <w:lang w:eastAsia="en-CA"/>
              </w:rPr>
              <w:t xml:space="preserve"> competency standards; and disseminating the revisions </w:t>
            </w:r>
            <w:r w:rsidRPr="00756D59">
              <w:rPr>
                <w:sz w:val="20"/>
                <w:szCs w:val="20"/>
                <w:lang w:eastAsia="en-CA"/>
              </w:rPr>
              <w:lastRenderedPageBreak/>
              <w:t>adopted to refrigeration technicians, nation-wide, through different media.</w:t>
            </w:r>
          </w:p>
        </w:tc>
        <w:tc>
          <w:tcPr>
            <w:tcW w:w="1629" w:type="dxa"/>
            <w:shd w:val="clear" w:color="auto" w:fill="auto"/>
            <w:tcMar>
              <w:left w:w="58" w:type="dxa"/>
              <w:right w:w="58" w:type="dxa"/>
            </w:tcMar>
          </w:tcPr>
          <w:p w14:paraId="2BB1CC2A" w14:textId="77777777" w:rsidR="0028399A" w:rsidRPr="00756D59" w:rsidRDefault="0028399A" w:rsidP="00305D02">
            <w:pPr>
              <w:jc w:val="center"/>
              <w:rPr>
                <w:bCs/>
                <w:sz w:val="20"/>
                <w:szCs w:val="20"/>
                <w:lang w:eastAsia="en-CA"/>
              </w:rPr>
            </w:pPr>
            <w:r w:rsidRPr="00756D59">
              <w:rPr>
                <w:bCs/>
                <w:sz w:val="20"/>
                <w:szCs w:val="20"/>
                <w:lang w:eastAsia="en-CA"/>
              </w:rPr>
              <w:lastRenderedPageBreak/>
              <w:t>Jun-22</w:t>
            </w:r>
          </w:p>
        </w:tc>
      </w:tr>
      <w:tr w:rsidR="0028399A" w:rsidRPr="00756D59" w14:paraId="1AC77BC7" w14:textId="77777777" w:rsidTr="00305D02">
        <w:trPr>
          <w:trHeight w:val="337"/>
        </w:trPr>
        <w:tc>
          <w:tcPr>
            <w:tcW w:w="2261" w:type="dxa"/>
            <w:tcMar>
              <w:left w:w="58" w:type="dxa"/>
              <w:right w:w="58" w:type="dxa"/>
            </w:tcMar>
          </w:tcPr>
          <w:p w14:paraId="0B769343" w14:textId="77777777" w:rsidR="0028399A" w:rsidRPr="00756D59" w:rsidRDefault="0028399A" w:rsidP="00305D02">
            <w:pPr>
              <w:jc w:val="left"/>
              <w:rPr>
                <w:sz w:val="20"/>
                <w:szCs w:val="20"/>
                <w:lang w:eastAsia="en-CA"/>
              </w:rPr>
            </w:pPr>
            <w:r w:rsidRPr="00756D59">
              <w:rPr>
                <w:bCs/>
                <w:sz w:val="20"/>
                <w:szCs w:val="20"/>
                <w:lang w:eastAsia="en-CA"/>
              </w:rPr>
              <w:lastRenderedPageBreak/>
              <w:t>Qatar</w:t>
            </w:r>
            <w:r w:rsidRPr="00756D59">
              <w:rPr>
                <w:sz w:val="20"/>
                <w:szCs w:val="20"/>
                <w:lang w:eastAsia="en-CA"/>
              </w:rPr>
              <w:t xml:space="preserve"> </w:t>
            </w:r>
          </w:p>
          <w:p w14:paraId="5EFC2A35" w14:textId="77777777" w:rsidR="0028399A" w:rsidRPr="00756D59" w:rsidRDefault="0028399A" w:rsidP="00305D02">
            <w:pPr>
              <w:jc w:val="left"/>
              <w:rPr>
                <w:bCs/>
                <w:sz w:val="20"/>
                <w:szCs w:val="20"/>
                <w:lang w:eastAsia="en-CA"/>
              </w:rPr>
            </w:pPr>
            <w:r w:rsidRPr="00756D59">
              <w:rPr>
                <w:sz w:val="20"/>
                <w:szCs w:val="20"/>
                <w:lang w:eastAsia="en-CA"/>
              </w:rPr>
              <w:t>QAT/SEV/82/TAS/23</w:t>
            </w:r>
          </w:p>
        </w:tc>
        <w:tc>
          <w:tcPr>
            <w:tcW w:w="3352" w:type="dxa"/>
            <w:tcMar>
              <w:left w:w="58" w:type="dxa"/>
              <w:right w:w="58" w:type="dxa"/>
            </w:tcMar>
          </w:tcPr>
          <w:p w14:paraId="0AEC2E4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1B88A1A"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3F96CA48" w14:textId="77777777" w:rsidR="0028399A" w:rsidRPr="00756D59" w:rsidRDefault="0028399A" w:rsidP="00305D02">
            <w:pPr>
              <w:jc w:val="center"/>
              <w:rPr>
                <w:bCs/>
                <w:sz w:val="20"/>
                <w:szCs w:val="20"/>
                <w:lang w:eastAsia="en-CA"/>
              </w:rPr>
            </w:pPr>
            <w:r w:rsidRPr="00756D59">
              <w:rPr>
                <w:bCs/>
                <w:sz w:val="20"/>
                <w:szCs w:val="20"/>
                <w:lang w:eastAsia="en-CA"/>
              </w:rPr>
              <w:t>7</w:t>
            </w:r>
          </w:p>
        </w:tc>
        <w:tc>
          <w:tcPr>
            <w:tcW w:w="4531" w:type="dxa"/>
            <w:tcMar>
              <w:left w:w="58" w:type="dxa"/>
              <w:right w:w="58" w:type="dxa"/>
            </w:tcMar>
          </w:tcPr>
          <w:p w14:paraId="16DB06E6" w14:textId="77777777" w:rsidR="0028399A" w:rsidRPr="00756D59" w:rsidRDefault="0028399A" w:rsidP="00305D02">
            <w:pPr>
              <w:jc w:val="left"/>
              <w:rPr>
                <w:sz w:val="20"/>
                <w:szCs w:val="20"/>
                <w:lang w:eastAsia="en-CA"/>
              </w:rPr>
            </w:pPr>
            <w:r w:rsidRPr="00756D59">
              <w:rPr>
                <w:sz w:val="20"/>
                <w:szCs w:val="20"/>
                <w:lang w:eastAsia="en-CA"/>
              </w:rPr>
              <w:t>Implementing activities aiming at strengthening the related institutional frameworks using the best regional/international practices related to HFCs and low</w:t>
            </w:r>
            <w:r w:rsidRPr="00756D59">
              <w:rPr>
                <w:sz w:val="20"/>
                <w:szCs w:val="20"/>
                <w:lang w:eastAsia="en-CA"/>
              </w:rPr>
              <w:noBreakHyphen/>
              <w:t>GWP alternatives including proposal for updating codes/standards; completing reviewing the national reporting system to include HFCs, HFC blends and HFC containing products/equipment; and providing assistance to customs and relevant ministries to ensure accurate reporting/monitoring of HFC trade.</w:t>
            </w:r>
          </w:p>
        </w:tc>
        <w:tc>
          <w:tcPr>
            <w:tcW w:w="1629" w:type="dxa"/>
            <w:shd w:val="clear" w:color="auto" w:fill="auto"/>
            <w:tcMar>
              <w:left w:w="58" w:type="dxa"/>
              <w:right w:w="58" w:type="dxa"/>
            </w:tcMar>
          </w:tcPr>
          <w:p w14:paraId="6BA457C1"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0B501051" w14:textId="77777777" w:rsidTr="00305D02">
        <w:trPr>
          <w:trHeight w:val="337"/>
        </w:trPr>
        <w:tc>
          <w:tcPr>
            <w:tcW w:w="2261" w:type="dxa"/>
            <w:tcMar>
              <w:left w:w="58" w:type="dxa"/>
              <w:right w:w="58" w:type="dxa"/>
            </w:tcMar>
          </w:tcPr>
          <w:p w14:paraId="71E45416" w14:textId="77777777" w:rsidR="0028399A" w:rsidRPr="00756D59" w:rsidRDefault="0028399A" w:rsidP="00305D02">
            <w:pPr>
              <w:jc w:val="left"/>
              <w:rPr>
                <w:sz w:val="20"/>
                <w:szCs w:val="20"/>
                <w:lang w:eastAsia="en-CA"/>
              </w:rPr>
            </w:pPr>
            <w:r w:rsidRPr="00756D59">
              <w:rPr>
                <w:bCs/>
                <w:sz w:val="20"/>
                <w:szCs w:val="20"/>
                <w:lang w:eastAsia="en-CA"/>
              </w:rPr>
              <w:t>Saint Kitts and Nevis</w:t>
            </w:r>
            <w:r w:rsidRPr="00756D59">
              <w:rPr>
                <w:sz w:val="20"/>
                <w:szCs w:val="20"/>
                <w:lang w:eastAsia="en-CA"/>
              </w:rPr>
              <w:t xml:space="preserve"> </w:t>
            </w:r>
          </w:p>
          <w:p w14:paraId="5F7AC52E" w14:textId="77777777" w:rsidR="0028399A" w:rsidRPr="00756D59" w:rsidRDefault="0028399A" w:rsidP="00305D02">
            <w:pPr>
              <w:jc w:val="left"/>
              <w:rPr>
                <w:bCs/>
                <w:sz w:val="20"/>
                <w:szCs w:val="20"/>
                <w:lang w:eastAsia="en-CA"/>
              </w:rPr>
            </w:pPr>
            <w:r w:rsidRPr="00756D59">
              <w:rPr>
                <w:sz w:val="20"/>
                <w:szCs w:val="20"/>
                <w:lang w:eastAsia="en-CA"/>
              </w:rPr>
              <w:t>STK/SEV/81/TAS/01+</w:t>
            </w:r>
          </w:p>
        </w:tc>
        <w:tc>
          <w:tcPr>
            <w:tcW w:w="3352" w:type="dxa"/>
            <w:tcMar>
              <w:left w:w="58" w:type="dxa"/>
              <w:right w:w="58" w:type="dxa"/>
            </w:tcMar>
          </w:tcPr>
          <w:p w14:paraId="03EB52DA"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5D62034"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29E4EC5" w14:textId="77777777" w:rsidR="0028399A" w:rsidRPr="00756D59" w:rsidRDefault="0028399A" w:rsidP="00305D02">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7E40BA59" w14:textId="77777777" w:rsidR="0028399A" w:rsidRPr="00756D59" w:rsidRDefault="0028399A" w:rsidP="00305D02">
            <w:pPr>
              <w:jc w:val="left"/>
              <w:rPr>
                <w:sz w:val="20"/>
                <w:szCs w:val="20"/>
                <w:lang w:eastAsia="en-CA"/>
              </w:rPr>
            </w:pPr>
            <w:r w:rsidRPr="00756D59">
              <w:rPr>
                <w:sz w:val="20"/>
                <w:szCs w:val="20"/>
                <w:lang w:eastAsia="en-CA"/>
              </w:rPr>
              <w:t>Analysis of ozone and climate legislation to support Kigali Amendment, policy paper on Kigali Amendment ratification; stakeholder consultations meetings and awareness raising on HFC phase-down and energy efficiency; training needs assessment for the RAC service sector; mapping to determine HFCs available on the local market; technical assistance on HFC data collection; RAC technology projection; symposium on Kigali Amendment ratification impacts and seminar on the transition to low</w:t>
            </w:r>
            <w:r w:rsidRPr="00756D59">
              <w:rPr>
                <w:sz w:val="20"/>
                <w:szCs w:val="20"/>
                <w:lang w:eastAsia="en-CA"/>
              </w:rPr>
              <w:noBreakHyphen/>
              <w:t>GWP technologies; training seminar for technicians on management of alternatives; consultations on the revision/review of the ODS licensing and quota systems, developing country-specific HS codes for HFCs; and knowledge, attitude and practices study of the RAC service sector, national strategy on a staged approach to introducing low</w:t>
            </w:r>
            <w:r w:rsidRPr="00756D59">
              <w:rPr>
                <w:sz w:val="20"/>
                <w:szCs w:val="20"/>
                <w:lang w:eastAsia="en-CA"/>
              </w:rPr>
              <w:noBreakHyphen/>
              <w:t>GWP energy efficient alternatives and supporting RAC service sector in transitioning from HFC refrigerants.</w:t>
            </w:r>
          </w:p>
        </w:tc>
        <w:tc>
          <w:tcPr>
            <w:tcW w:w="1629" w:type="dxa"/>
            <w:shd w:val="clear" w:color="auto" w:fill="auto"/>
            <w:tcMar>
              <w:left w:w="58" w:type="dxa"/>
              <w:right w:w="58" w:type="dxa"/>
            </w:tcMar>
          </w:tcPr>
          <w:p w14:paraId="1439DFEC"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6E930AF" w14:textId="77777777" w:rsidTr="00305D02">
        <w:trPr>
          <w:trHeight w:val="337"/>
        </w:trPr>
        <w:tc>
          <w:tcPr>
            <w:tcW w:w="2261" w:type="dxa"/>
            <w:tcMar>
              <w:left w:w="58" w:type="dxa"/>
              <w:right w:w="58" w:type="dxa"/>
            </w:tcMar>
          </w:tcPr>
          <w:p w14:paraId="198EB404" w14:textId="77777777" w:rsidR="0028399A" w:rsidRPr="00756D59" w:rsidRDefault="0028399A" w:rsidP="00305D02">
            <w:pPr>
              <w:jc w:val="left"/>
              <w:rPr>
                <w:sz w:val="20"/>
                <w:szCs w:val="20"/>
                <w:lang w:val="es-419" w:eastAsia="en-CA"/>
              </w:rPr>
            </w:pPr>
            <w:r w:rsidRPr="00756D59">
              <w:rPr>
                <w:bCs/>
                <w:sz w:val="20"/>
                <w:szCs w:val="20"/>
                <w:lang w:val="es-419" w:eastAsia="en-CA"/>
              </w:rPr>
              <w:t>Saint Lucia</w:t>
            </w:r>
            <w:r w:rsidRPr="00756D59">
              <w:rPr>
                <w:sz w:val="20"/>
                <w:szCs w:val="20"/>
                <w:lang w:val="es-419" w:eastAsia="en-CA"/>
              </w:rPr>
              <w:t xml:space="preserve"> </w:t>
            </w:r>
          </w:p>
          <w:p w14:paraId="129CC6F6" w14:textId="77777777" w:rsidR="0028399A" w:rsidRPr="00756D59" w:rsidRDefault="0028399A" w:rsidP="00305D02">
            <w:pPr>
              <w:jc w:val="left"/>
              <w:rPr>
                <w:bCs/>
                <w:sz w:val="20"/>
                <w:szCs w:val="20"/>
                <w:lang w:val="es-419" w:eastAsia="en-CA"/>
              </w:rPr>
            </w:pPr>
            <w:r w:rsidRPr="00756D59">
              <w:rPr>
                <w:sz w:val="20"/>
                <w:szCs w:val="20"/>
                <w:lang w:val="es-419" w:eastAsia="en-CA"/>
              </w:rPr>
              <w:t>STL/SEV/80/TAS/01+</w:t>
            </w:r>
          </w:p>
        </w:tc>
        <w:tc>
          <w:tcPr>
            <w:tcW w:w="3352" w:type="dxa"/>
            <w:tcMar>
              <w:left w:w="58" w:type="dxa"/>
              <w:right w:w="58" w:type="dxa"/>
            </w:tcMar>
          </w:tcPr>
          <w:p w14:paraId="2389861D"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DEAC998"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344BBDC" w14:textId="77777777" w:rsidR="0028399A" w:rsidRPr="00756D59" w:rsidRDefault="0028399A" w:rsidP="00305D02">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5EE7D9A3" w14:textId="77777777" w:rsidR="0028399A" w:rsidRPr="00756D59" w:rsidRDefault="0028399A" w:rsidP="00305D02">
            <w:pPr>
              <w:jc w:val="left"/>
              <w:rPr>
                <w:sz w:val="20"/>
                <w:szCs w:val="20"/>
                <w:lang w:eastAsia="en-CA"/>
              </w:rPr>
            </w:pPr>
            <w:r w:rsidRPr="00756D59">
              <w:rPr>
                <w:sz w:val="20"/>
                <w:szCs w:val="20"/>
                <w:lang w:eastAsia="en-CA"/>
              </w:rPr>
              <w:t xml:space="preserve">Comprehensive review of licensing and quota system for including HFCs and alternatives, and controls on HFC-based products, policy interventions for energy efficiency and/or adapting safety standards for the proper handling of flammable/toxic refrigerants; developing country-specific HS codes for HFCs; knowledge, attitude, and practices study of the RAC </w:t>
            </w:r>
            <w:r w:rsidRPr="00756D59">
              <w:rPr>
                <w:sz w:val="20"/>
                <w:szCs w:val="20"/>
                <w:lang w:eastAsia="en-CA"/>
              </w:rPr>
              <w:lastRenderedPageBreak/>
              <w:t>service sector regarding low</w:t>
            </w:r>
            <w:r w:rsidRPr="00756D59">
              <w:rPr>
                <w:sz w:val="20"/>
                <w:szCs w:val="20"/>
                <w:lang w:eastAsia="en-CA"/>
              </w:rPr>
              <w:noBreakHyphen/>
              <w:t>GWP and flammable refrigerants, and supporting RAC service sector on managing transition from HFC</w:t>
            </w:r>
            <w:r w:rsidRPr="00756D59">
              <w:rPr>
                <w:sz w:val="20"/>
                <w:szCs w:val="20"/>
                <w:lang w:eastAsia="en-CA"/>
              </w:rPr>
              <w:noBreakHyphen/>
              <w:t>based refrigerants; and national strategy on a staged approach to introducing low</w:t>
            </w:r>
            <w:r w:rsidRPr="00756D59">
              <w:rPr>
                <w:sz w:val="20"/>
                <w:szCs w:val="20"/>
                <w:lang w:eastAsia="en-CA"/>
              </w:rPr>
              <w:noBreakHyphen/>
              <w:t>GWP energy efficient alternatives.</w:t>
            </w:r>
          </w:p>
        </w:tc>
        <w:tc>
          <w:tcPr>
            <w:tcW w:w="1629" w:type="dxa"/>
            <w:shd w:val="clear" w:color="auto" w:fill="auto"/>
            <w:tcMar>
              <w:left w:w="58" w:type="dxa"/>
              <w:right w:w="58" w:type="dxa"/>
            </w:tcMar>
          </w:tcPr>
          <w:p w14:paraId="7F951F92" w14:textId="77777777" w:rsidR="0028399A" w:rsidRPr="00756D59" w:rsidRDefault="0028399A" w:rsidP="00305D02">
            <w:pPr>
              <w:jc w:val="center"/>
              <w:rPr>
                <w:bCs/>
                <w:sz w:val="20"/>
                <w:szCs w:val="20"/>
                <w:lang w:eastAsia="en-CA"/>
              </w:rPr>
            </w:pPr>
            <w:r w:rsidRPr="00756D59">
              <w:rPr>
                <w:bCs/>
                <w:sz w:val="20"/>
                <w:szCs w:val="20"/>
                <w:lang w:eastAsia="en-CA"/>
              </w:rPr>
              <w:lastRenderedPageBreak/>
              <w:t>Jun-22</w:t>
            </w:r>
          </w:p>
        </w:tc>
      </w:tr>
      <w:tr w:rsidR="0028399A" w:rsidRPr="00756D59" w14:paraId="40198EC8" w14:textId="77777777" w:rsidTr="00305D02">
        <w:trPr>
          <w:trHeight w:val="337"/>
        </w:trPr>
        <w:tc>
          <w:tcPr>
            <w:tcW w:w="2261" w:type="dxa"/>
            <w:tcMar>
              <w:left w:w="58" w:type="dxa"/>
              <w:right w:w="58" w:type="dxa"/>
            </w:tcMar>
          </w:tcPr>
          <w:p w14:paraId="0AFD5ACE" w14:textId="77777777" w:rsidR="0028399A" w:rsidRPr="00756D59" w:rsidRDefault="0028399A" w:rsidP="00305D02">
            <w:pPr>
              <w:jc w:val="left"/>
              <w:rPr>
                <w:sz w:val="20"/>
                <w:szCs w:val="20"/>
                <w:lang w:eastAsia="en-CA"/>
              </w:rPr>
            </w:pPr>
            <w:r w:rsidRPr="00756D59">
              <w:rPr>
                <w:bCs/>
                <w:sz w:val="20"/>
                <w:szCs w:val="20"/>
                <w:lang w:eastAsia="en-CA"/>
              </w:rPr>
              <w:lastRenderedPageBreak/>
              <w:t>Saint Vincent and the Grenadines</w:t>
            </w:r>
            <w:r w:rsidRPr="00756D59">
              <w:rPr>
                <w:sz w:val="20"/>
                <w:szCs w:val="20"/>
                <w:lang w:eastAsia="en-CA"/>
              </w:rPr>
              <w:t xml:space="preserve"> </w:t>
            </w:r>
          </w:p>
          <w:p w14:paraId="34915146" w14:textId="77777777" w:rsidR="0028399A" w:rsidRPr="00756D59" w:rsidRDefault="0028399A" w:rsidP="00305D02">
            <w:pPr>
              <w:jc w:val="left"/>
              <w:rPr>
                <w:bCs/>
                <w:sz w:val="20"/>
                <w:szCs w:val="20"/>
                <w:lang w:eastAsia="en-CA"/>
              </w:rPr>
            </w:pPr>
            <w:r w:rsidRPr="00756D59">
              <w:rPr>
                <w:sz w:val="20"/>
                <w:szCs w:val="20"/>
                <w:lang w:eastAsia="en-CA"/>
              </w:rPr>
              <w:t>STV/SEV/80/TAS/01+</w:t>
            </w:r>
          </w:p>
        </w:tc>
        <w:tc>
          <w:tcPr>
            <w:tcW w:w="3352" w:type="dxa"/>
            <w:tcMar>
              <w:left w:w="58" w:type="dxa"/>
              <w:right w:w="58" w:type="dxa"/>
            </w:tcMar>
          </w:tcPr>
          <w:p w14:paraId="45E7CC5C"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897CEC5"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2E4443E" w14:textId="77777777" w:rsidR="0028399A" w:rsidRPr="00756D59" w:rsidRDefault="0028399A" w:rsidP="00305D02">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2A1ACED9" w14:textId="77777777" w:rsidR="0028399A" w:rsidRPr="00756D59" w:rsidRDefault="0028399A" w:rsidP="00305D02">
            <w:pPr>
              <w:jc w:val="left"/>
              <w:rPr>
                <w:sz w:val="20"/>
                <w:szCs w:val="20"/>
                <w:lang w:eastAsia="en-CA"/>
              </w:rPr>
            </w:pPr>
            <w:r w:rsidRPr="00756D59">
              <w:rPr>
                <w:sz w:val="20"/>
                <w:szCs w:val="20"/>
                <w:lang w:eastAsia="en-CA"/>
              </w:rPr>
              <w:t>Analysis of ozone and climate legislation to support Kigali Amendment; stakeholder consultations meetings and awareness raising on HFC phase</w:t>
            </w:r>
            <w:r w:rsidRPr="00756D59">
              <w:rPr>
                <w:sz w:val="20"/>
                <w:szCs w:val="20"/>
                <w:lang w:eastAsia="en-CA"/>
              </w:rPr>
              <w:noBreakHyphen/>
              <w:t>down and energy efficiency; training needs assessment for the RAC service sector; mapping of HFCs available on the local market and technical assistance on HFC data collection, RAC technology projection; symposium on  impacts of the Kigali Amendment ratification and seminar on the transition to low</w:t>
            </w:r>
            <w:r w:rsidRPr="00756D59">
              <w:rPr>
                <w:sz w:val="20"/>
                <w:szCs w:val="20"/>
                <w:lang w:eastAsia="en-CA"/>
              </w:rPr>
              <w:noBreakHyphen/>
              <w:t>GWP refrigerants; training seminar for technicians on management of alternatives; developing country</w:t>
            </w:r>
            <w:r w:rsidRPr="00756D59">
              <w:rPr>
                <w:sz w:val="20"/>
                <w:szCs w:val="20"/>
                <w:lang w:eastAsia="en-CA"/>
              </w:rPr>
              <w:noBreakHyphen/>
              <w:t>specific HS Codes for HFCs; knowledge, attitude, and practices study of the RAC service sector; and developing a national strategy on a staged approach to introducing low</w:t>
            </w:r>
            <w:r w:rsidRPr="00756D59">
              <w:rPr>
                <w:sz w:val="20"/>
                <w:szCs w:val="20"/>
                <w:lang w:eastAsia="en-CA"/>
              </w:rPr>
              <w:noBreakHyphen/>
              <w:t>GWP energy efficient technologies and change management support for RAC service sector in transitioning from HFC refrigerants.</w:t>
            </w:r>
          </w:p>
        </w:tc>
        <w:tc>
          <w:tcPr>
            <w:tcW w:w="1629" w:type="dxa"/>
            <w:shd w:val="clear" w:color="auto" w:fill="auto"/>
            <w:tcMar>
              <w:left w:w="58" w:type="dxa"/>
              <w:right w:w="58" w:type="dxa"/>
            </w:tcMar>
          </w:tcPr>
          <w:p w14:paraId="617E29E1"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2368DF71" w14:textId="77777777" w:rsidTr="00305D02">
        <w:trPr>
          <w:trHeight w:val="337"/>
        </w:trPr>
        <w:tc>
          <w:tcPr>
            <w:tcW w:w="2261" w:type="dxa"/>
            <w:tcMar>
              <w:left w:w="58" w:type="dxa"/>
              <w:right w:w="58" w:type="dxa"/>
            </w:tcMar>
          </w:tcPr>
          <w:p w14:paraId="2F8753AB" w14:textId="77777777" w:rsidR="0028399A" w:rsidRPr="00756D59" w:rsidRDefault="0028399A" w:rsidP="00305D02">
            <w:pPr>
              <w:jc w:val="left"/>
              <w:rPr>
                <w:sz w:val="20"/>
                <w:szCs w:val="20"/>
                <w:lang w:eastAsia="en-CA"/>
              </w:rPr>
            </w:pPr>
            <w:r w:rsidRPr="00756D59">
              <w:rPr>
                <w:bCs/>
                <w:sz w:val="20"/>
                <w:szCs w:val="20"/>
                <w:lang w:eastAsia="en-CA"/>
              </w:rPr>
              <w:t>Sao Tome and Principe</w:t>
            </w:r>
            <w:r w:rsidRPr="00756D59">
              <w:rPr>
                <w:sz w:val="20"/>
                <w:szCs w:val="20"/>
                <w:lang w:eastAsia="en-CA"/>
              </w:rPr>
              <w:t xml:space="preserve"> </w:t>
            </w:r>
          </w:p>
          <w:p w14:paraId="75A185C2" w14:textId="77777777" w:rsidR="0028399A" w:rsidRPr="00756D59" w:rsidRDefault="0028399A" w:rsidP="00305D02">
            <w:pPr>
              <w:jc w:val="left"/>
              <w:rPr>
                <w:bCs/>
                <w:sz w:val="20"/>
                <w:szCs w:val="20"/>
                <w:lang w:eastAsia="en-CA"/>
              </w:rPr>
            </w:pPr>
            <w:r w:rsidRPr="00756D59">
              <w:rPr>
                <w:sz w:val="20"/>
                <w:szCs w:val="20"/>
                <w:lang w:eastAsia="en-CA"/>
              </w:rPr>
              <w:t>STP/SEV/81/TAS/01+</w:t>
            </w:r>
          </w:p>
        </w:tc>
        <w:tc>
          <w:tcPr>
            <w:tcW w:w="3352" w:type="dxa"/>
            <w:tcMar>
              <w:left w:w="58" w:type="dxa"/>
              <w:right w:w="58" w:type="dxa"/>
            </w:tcMar>
          </w:tcPr>
          <w:p w14:paraId="50955DFC"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D4365CA"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DA4B6AB" w14:textId="77777777" w:rsidR="0028399A" w:rsidRPr="00756D59" w:rsidRDefault="0028399A" w:rsidP="00305D02">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6300B87A" w14:textId="77777777" w:rsidR="0028399A" w:rsidRPr="00756D59" w:rsidRDefault="0028399A" w:rsidP="00305D02">
            <w:pPr>
              <w:jc w:val="left"/>
              <w:rPr>
                <w:sz w:val="20"/>
                <w:szCs w:val="20"/>
                <w:lang w:eastAsia="en-CA"/>
              </w:rPr>
            </w:pPr>
            <w:r w:rsidRPr="00756D59">
              <w:rPr>
                <w:sz w:val="20"/>
                <w:szCs w:val="20"/>
                <w:lang w:eastAsia="en-CA"/>
              </w:rPr>
              <w:t>Development of country-specific HS codes for HFCs; conducting training needs assessment for serving sector; sensitization meetings for technicians on safe handling of HFCs and their alternatives; and assisting Customs Office in developing national custom codes for different HFCs and including them into the Customs Tariff for proper monitoring and recording of imports/exports or re</w:t>
            </w:r>
            <w:r w:rsidRPr="00756D59">
              <w:rPr>
                <w:sz w:val="20"/>
                <w:szCs w:val="20"/>
                <w:lang w:eastAsia="en-CA"/>
              </w:rPr>
              <w:noBreakHyphen/>
              <w:t>export of individual HFCs.</w:t>
            </w:r>
          </w:p>
        </w:tc>
        <w:tc>
          <w:tcPr>
            <w:tcW w:w="1629" w:type="dxa"/>
            <w:shd w:val="clear" w:color="auto" w:fill="auto"/>
            <w:tcMar>
              <w:left w:w="58" w:type="dxa"/>
              <w:right w:w="58" w:type="dxa"/>
            </w:tcMar>
          </w:tcPr>
          <w:p w14:paraId="2DB211FD"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3F05F973" w14:textId="77777777" w:rsidTr="00305D02">
        <w:trPr>
          <w:trHeight w:val="337"/>
        </w:trPr>
        <w:tc>
          <w:tcPr>
            <w:tcW w:w="2261" w:type="dxa"/>
            <w:tcMar>
              <w:left w:w="58" w:type="dxa"/>
              <w:right w:w="58" w:type="dxa"/>
            </w:tcMar>
          </w:tcPr>
          <w:p w14:paraId="0950C54D" w14:textId="77777777" w:rsidR="0028399A" w:rsidRPr="00756D59" w:rsidRDefault="0028399A" w:rsidP="00305D02">
            <w:pPr>
              <w:jc w:val="left"/>
              <w:rPr>
                <w:bCs/>
                <w:sz w:val="20"/>
                <w:szCs w:val="20"/>
                <w:lang w:eastAsia="en-CA"/>
              </w:rPr>
            </w:pPr>
            <w:r w:rsidRPr="00756D59">
              <w:rPr>
                <w:bCs/>
                <w:sz w:val="20"/>
                <w:szCs w:val="20"/>
                <w:lang w:eastAsia="en-CA"/>
              </w:rPr>
              <w:t>Saudi Arabia</w:t>
            </w:r>
          </w:p>
          <w:p w14:paraId="7AADC6E1" w14:textId="77777777" w:rsidR="0028399A" w:rsidRPr="00756D59" w:rsidRDefault="0028399A" w:rsidP="00305D02">
            <w:pPr>
              <w:jc w:val="left"/>
              <w:rPr>
                <w:bCs/>
                <w:sz w:val="20"/>
                <w:szCs w:val="20"/>
                <w:lang w:eastAsia="en-CA"/>
              </w:rPr>
            </w:pPr>
            <w:r w:rsidRPr="00756D59">
              <w:rPr>
                <w:sz w:val="20"/>
                <w:szCs w:val="20"/>
                <w:lang w:eastAsia="en-CA"/>
              </w:rPr>
              <w:t>SAU/SEV/81/TAS/33</w:t>
            </w:r>
          </w:p>
        </w:tc>
        <w:tc>
          <w:tcPr>
            <w:tcW w:w="3352" w:type="dxa"/>
            <w:tcMar>
              <w:left w:w="58" w:type="dxa"/>
              <w:right w:w="58" w:type="dxa"/>
            </w:tcMar>
          </w:tcPr>
          <w:p w14:paraId="77B39082"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EBBC549"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48C5750" w14:textId="77777777" w:rsidR="0028399A" w:rsidRPr="00756D59" w:rsidRDefault="0028399A" w:rsidP="00305D02">
            <w:pPr>
              <w:jc w:val="center"/>
              <w:rPr>
                <w:bCs/>
                <w:sz w:val="20"/>
                <w:szCs w:val="20"/>
                <w:lang w:eastAsia="en-CA"/>
              </w:rPr>
            </w:pPr>
            <w:r w:rsidRPr="00756D59">
              <w:rPr>
                <w:bCs/>
                <w:sz w:val="20"/>
                <w:szCs w:val="20"/>
                <w:lang w:eastAsia="en-CA"/>
              </w:rPr>
              <w:t>33.4</w:t>
            </w:r>
          </w:p>
        </w:tc>
        <w:tc>
          <w:tcPr>
            <w:tcW w:w="4531" w:type="dxa"/>
            <w:tcMar>
              <w:left w:w="58" w:type="dxa"/>
              <w:right w:w="58" w:type="dxa"/>
            </w:tcMar>
          </w:tcPr>
          <w:p w14:paraId="56FE7114" w14:textId="77777777" w:rsidR="0028399A" w:rsidRPr="00756D59" w:rsidRDefault="0028399A" w:rsidP="00305D02">
            <w:pPr>
              <w:jc w:val="left"/>
              <w:rPr>
                <w:sz w:val="20"/>
                <w:szCs w:val="20"/>
                <w:lang w:eastAsia="en-CA"/>
              </w:rPr>
            </w:pPr>
            <w:r w:rsidRPr="00756D59">
              <w:rPr>
                <w:sz w:val="20"/>
                <w:szCs w:val="20"/>
                <w:lang w:eastAsia="en-CA"/>
              </w:rPr>
              <w:t>Updating the HFC licensing system along with related capacity building; and the finalization of country assessment report.</w:t>
            </w:r>
          </w:p>
        </w:tc>
        <w:tc>
          <w:tcPr>
            <w:tcW w:w="1629" w:type="dxa"/>
            <w:shd w:val="clear" w:color="auto" w:fill="auto"/>
            <w:tcMar>
              <w:left w:w="58" w:type="dxa"/>
              <w:right w:w="58" w:type="dxa"/>
            </w:tcMar>
          </w:tcPr>
          <w:p w14:paraId="7A44DE02"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3A30CE70" w14:textId="77777777" w:rsidTr="00305D02">
        <w:trPr>
          <w:trHeight w:val="337"/>
        </w:trPr>
        <w:tc>
          <w:tcPr>
            <w:tcW w:w="2261" w:type="dxa"/>
            <w:tcMar>
              <w:left w:w="58" w:type="dxa"/>
              <w:right w:w="58" w:type="dxa"/>
            </w:tcMar>
          </w:tcPr>
          <w:p w14:paraId="633F7B08" w14:textId="77777777" w:rsidR="0028399A" w:rsidRPr="00756D59" w:rsidRDefault="0028399A" w:rsidP="00305D02">
            <w:pPr>
              <w:jc w:val="left"/>
              <w:rPr>
                <w:sz w:val="20"/>
                <w:szCs w:val="20"/>
                <w:lang w:eastAsia="en-CA"/>
              </w:rPr>
            </w:pPr>
            <w:r w:rsidRPr="00756D59">
              <w:rPr>
                <w:bCs/>
                <w:sz w:val="20"/>
                <w:szCs w:val="20"/>
                <w:lang w:eastAsia="en-CA"/>
              </w:rPr>
              <w:t>Senegal</w:t>
            </w:r>
            <w:r w:rsidRPr="00756D59">
              <w:rPr>
                <w:sz w:val="20"/>
                <w:szCs w:val="20"/>
                <w:lang w:eastAsia="en-CA"/>
              </w:rPr>
              <w:t xml:space="preserve"> </w:t>
            </w:r>
          </w:p>
          <w:p w14:paraId="155FBBF9" w14:textId="77777777" w:rsidR="0028399A" w:rsidRPr="00756D59" w:rsidRDefault="0028399A" w:rsidP="00305D02">
            <w:pPr>
              <w:jc w:val="left"/>
              <w:rPr>
                <w:bCs/>
                <w:sz w:val="20"/>
                <w:szCs w:val="20"/>
                <w:lang w:eastAsia="en-CA"/>
              </w:rPr>
            </w:pPr>
            <w:r w:rsidRPr="00756D59">
              <w:rPr>
                <w:sz w:val="20"/>
                <w:szCs w:val="20"/>
                <w:lang w:eastAsia="en-CA"/>
              </w:rPr>
              <w:t>SEN/SEV/80/TAS/01+</w:t>
            </w:r>
          </w:p>
        </w:tc>
        <w:tc>
          <w:tcPr>
            <w:tcW w:w="3352" w:type="dxa"/>
            <w:tcMar>
              <w:left w:w="58" w:type="dxa"/>
              <w:right w:w="58" w:type="dxa"/>
            </w:tcMar>
          </w:tcPr>
          <w:p w14:paraId="14BAFFAC"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4EF3682"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80B0EF0" w14:textId="77777777" w:rsidR="0028399A" w:rsidRPr="00756D59" w:rsidRDefault="0028399A" w:rsidP="00305D02">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6B48F4BC" w14:textId="77777777" w:rsidR="0028399A" w:rsidRPr="00756D59" w:rsidRDefault="0028399A" w:rsidP="00305D02">
            <w:pPr>
              <w:jc w:val="left"/>
              <w:rPr>
                <w:sz w:val="20"/>
                <w:szCs w:val="20"/>
                <w:lang w:eastAsia="en-CA"/>
              </w:rPr>
            </w:pPr>
            <w:r w:rsidRPr="00756D59">
              <w:rPr>
                <w:sz w:val="20"/>
                <w:szCs w:val="20"/>
                <w:lang w:eastAsia="en-CA"/>
              </w:rPr>
              <w:t xml:space="preserve">Sensitization meetings for technicians on safe handling of HFCs and their alternatives; and assisting customs office in developing national custom codes for </w:t>
            </w:r>
            <w:r w:rsidRPr="00756D59">
              <w:rPr>
                <w:sz w:val="20"/>
                <w:szCs w:val="20"/>
                <w:lang w:eastAsia="en-CA"/>
              </w:rPr>
              <w:lastRenderedPageBreak/>
              <w:t>different HFCs and including them into the customs tariff.</w:t>
            </w:r>
          </w:p>
        </w:tc>
        <w:tc>
          <w:tcPr>
            <w:tcW w:w="1629" w:type="dxa"/>
            <w:shd w:val="clear" w:color="auto" w:fill="auto"/>
            <w:tcMar>
              <w:left w:w="58" w:type="dxa"/>
              <w:right w:w="58" w:type="dxa"/>
            </w:tcMar>
          </w:tcPr>
          <w:p w14:paraId="68E1D18C" w14:textId="77777777" w:rsidR="0028399A" w:rsidRPr="00756D59" w:rsidRDefault="0028399A" w:rsidP="00305D02">
            <w:pPr>
              <w:jc w:val="center"/>
              <w:rPr>
                <w:bCs/>
                <w:sz w:val="20"/>
                <w:szCs w:val="20"/>
                <w:lang w:eastAsia="en-CA"/>
              </w:rPr>
            </w:pPr>
            <w:r w:rsidRPr="00756D59">
              <w:rPr>
                <w:bCs/>
                <w:sz w:val="20"/>
                <w:szCs w:val="20"/>
                <w:lang w:eastAsia="en-CA"/>
              </w:rPr>
              <w:lastRenderedPageBreak/>
              <w:t>Dec-21</w:t>
            </w:r>
          </w:p>
        </w:tc>
      </w:tr>
      <w:tr w:rsidR="0028399A" w:rsidRPr="00756D59" w14:paraId="12BBE46E" w14:textId="77777777" w:rsidTr="00305D02">
        <w:trPr>
          <w:trHeight w:val="337"/>
        </w:trPr>
        <w:tc>
          <w:tcPr>
            <w:tcW w:w="2261" w:type="dxa"/>
            <w:tcMar>
              <w:left w:w="58" w:type="dxa"/>
              <w:right w:w="58" w:type="dxa"/>
            </w:tcMar>
          </w:tcPr>
          <w:p w14:paraId="7D6C6BB6" w14:textId="77777777" w:rsidR="0028399A" w:rsidRPr="00756D59" w:rsidRDefault="0028399A" w:rsidP="00305D02">
            <w:pPr>
              <w:jc w:val="left"/>
              <w:rPr>
                <w:sz w:val="20"/>
                <w:szCs w:val="20"/>
                <w:lang w:val="es-419" w:eastAsia="en-CA"/>
              </w:rPr>
            </w:pPr>
            <w:r w:rsidRPr="00756D59">
              <w:rPr>
                <w:bCs/>
                <w:sz w:val="20"/>
                <w:szCs w:val="20"/>
                <w:lang w:val="es-419" w:eastAsia="en-CA"/>
              </w:rPr>
              <w:lastRenderedPageBreak/>
              <w:t>Sierra Leone</w:t>
            </w:r>
            <w:r w:rsidRPr="00756D59">
              <w:rPr>
                <w:sz w:val="20"/>
                <w:szCs w:val="20"/>
                <w:lang w:val="es-419" w:eastAsia="en-CA"/>
              </w:rPr>
              <w:t xml:space="preserve"> </w:t>
            </w:r>
          </w:p>
          <w:p w14:paraId="436D1AD4" w14:textId="77777777" w:rsidR="0028399A" w:rsidRPr="00756D59" w:rsidRDefault="0028399A" w:rsidP="00305D02">
            <w:pPr>
              <w:jc w:val="left"/>
              <w:rPr>
                <w:bCs/>
                <w:sz w:val="20"/>
                <w:szCs w:val="20"/>
                <w:lang w:val="es-419" w:eastAsia="en-CA"/>
              </w:rPr>
            </w:pPr>
            <w:r w:rsidRPr="00756D59">
              <w:rPr>
                <w:sz w:val="20"/>
                <w:szCs w:val="20"/>
                <w:lang w:val="es-419" w:eastAsia="en-CA"/>
              </w:rPr>
              <w:t>SIL/SEV/81/TAS/01+</w:t>
            </w:r>
          </w:p>
        </w:tc>
        <w:tc>
          <w:tcPr>
            <w:tcW w:w="3352" w:type="dxa"/>
            <w:tcMar>
              <w:left w:w="58" w:type="dxa"/>
              <w:right w:w="58" w:type="dxa"/>
            </w:tcMar>
          </w:tcPr>
          <w:p w14:paraId="4BAB1EA4"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EC35B6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79793B5" w14:textId="77777777" w:rsidR="0028399A" w:rsidRPr="00756D59" w:rsidRDefault="0028399A" w:rsidP="00305D02">
            <w:pPr>
              <w:jc w:val="center"/>
              <w:rPr>
                <w:bCs/>
                <w:sz w:val="20"/>
                <w:szCs w:val="20"/>
                <w:lang w:eastAsia="en-CA"/>
              </w:rPr>
            </w:pPr>
            <w:r w:rsidRPr="00756D59">
              <w:rPr>
                <w:bCs/>
                <w:sz w:val="20"/>
                <w:szCs w:val="20"/>
                <w:lang w:eastAsia="en-CA"/>
              </w:rPr>
              <w:t>52.6</w:t>
            </w:r>
          </w:p>
        </w:tc>
        <w:tc>
          <w:tcPr>
            <w:tcW w:w="4531" w:type="dxa"/>
            <w:tcMar>
              <w:left w:w="58" w:type="dxa"/>
              <w:right w:w="58" w:type="dxa"/>
            </w:tcMar>
          </w:tcPr>
          <w:p w14:paraId="7D0A4D42" w14:textId="77777777" w:rsidR="0028399A" w:rsidRPr="00756D59" w:rsidRDefault="0028399A" w:rsidP="00305D02">
            <w:pPr>
              <w:jc w:val="left"/>
              <w:rPr>
                <w:sz w:val="20"/>
                <w:szCs w:val="20"/>
                <w:lang w:eastAsia="en-CA"/>
              </w:rPr>
            </w:pPr>
            <w:r w:rsidRPr="00756D59">
              <w:rPr>
                <w:sz w:val="20"/>
                <w:szCs w:val="20"/>
                <w:lang w:eastAsia="en-CA"/>
              </w:rPr>
              <w:t>Conducting sensitization meetings for technicians on safe handling of HFCs and their alternatives; and assisting national customs authorities in establishing national custom codes for HFCs.</w:t>
            </w:r>
          </w:p>
        </w:tc>
        <w:tc>
          <w:tcPr>
            <w:tcW w:w="1629" w:type="dxa"/>
            <w:shd w:val="clear" w:color="auto" w:fill="auto"/>
            <w:tcMar>
              <w:left w:w="58" w:type="dxa"/>
              <w:right w:w="58" w:type="dxa"/>
            </w:tcMar>
          </w:tcPr>
          <w:p w14:paraId="0F42DA43"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00157D9A" w14:textId="77777777" w:rsidTr="00305D02">
        <w:trPr>
          <w:trHeight w:val="337"/>
        </w:trPr>
        <w:tc>
          <w:tcPr>
            <w:tcW w:w="2261" w:type="dxa"/>
            <w:tcMar>
              <w:left w:w="58" w:type="dxa"/>
              <w:right w:w="58" w:type="dxa"/>
            </w:tcMar>
          </w:tcPr>
          <w:p w14:paraId="4D370A41" w14:textId="77777777" w:rsidR="0028399A" w:rsidRPr="00756D59" w:rsidRDefault="0028399A" w:rsidP="00305D02">
            <w:pPr>
              <w:jc w:val="left"/>
              <w:rPr>
                <w:sz w:val="20"/>
                <w:szCs w:val="20"/>
                <w:lang w:val="fr-FR" w:eastAsia="en-CA"/>
              </w:rPr>
            </w:pPr>
            <w:r w:rsidRPr="00756D59">
              <w:rPr>
                <w:bCs/>
                <w:sz w:val="20"/>
                <w:szCs w:val="20"/>
                <w:lang w:val="fr-FR" w:eastAsia="en-CA"/>
              </w:rPr>
              <w:t xml:space="preserve">Solomon </w:t>
            </w:r>
            <w:proofErr w:type="spellStart"/>
            <w:r w:rsidRPr="00756D59">
              <w:rPr>
                <w:bCs/>
                <w:sz w:val="20"/>
                <w:szCs w:val="20"/>
                <w:lang w:val="fr-FR" w:eastAsia="en-CA"/>
              </w:rPr>
              <w:t>Islands</w:t>
            </w:r>
            <w:proofErr w:type="spellEnd"/>
            <w:r w:rsidRPr="00756D59">
              <w:rPr>
                <w:sz w:val="20"/>
                <w:szCs w:val="20"/>
                <w:lang w:val="fr-FR" w:eastAsia="en-CA"/>
              </w:rPr>
              <w:t xml:space="preserve"> </w:t>
            </w:r>
          </w:p>
          <w:p w14:paraId="53914597" w14:textId="77777777" w:rsidR="0028399A" w:rsidRPr="00756D59" w:rsidRDefault="0028399A" w:rsidP="00305D02">
            <w:pPr>
              <w:jc w:val="left"/>
              <w:rPr>
                <w:bCs/>
                <w:sz w:val="20"/>
                <w:szCs w:val="20"/>
                <w:lang w:val="fr-FR" w:eastAsia="en-CA"/>
              </w:rPr>
            </w:pPr>
            <w:r w:rsidRPr="00756D59">
              <w:rPr>
                <w:sz w:val="20"/>
                <w:szCs w:val="20"/>
                <w:lang w:val="fr-FR" w:eastAsia="en-CA"/>
              </w:rPr>
              <w:t>SOI/SEV/81/TAS/01+</w:t>
            </w:r>
          </w:p>
        </w:tc>
        <w:tc>
          <w:tcPr>
            <w:tcW w:w="3352" w:type="dxa"/>
            <w:tcMar>
              <w:left w:w="58" w:type="dxa"/>
              <w:right w:w="58" w:type="dxa"/>
            </w:tcMar>
          </w:tcPr>
          <w:p w14:paraId="072793D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4604F3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DCCBBB7" w14:textId="77777777" w:rsidR="0028399A" w:rsidRPr="00756D59" w:rsidRDefault="0028399A" w:rsidP="00305D02">
            <w:pPr>
              <w:jc w:val="center"/>
              <w:rPr>
                <w:bCs/>
                <w:sz w:val="20"/>
                <w:szCs w:val="20"/>
                <w:lang w:eastAsia="en-CA"/>
              </w:rPr>
            </w:pPr>
            <w:r w:rsidRPr="00756D59">
              <w:rPr>
                <w:bCs/>
                <w:sz w:val="20"/>
                <w:szCs w:val="20"/>
                <w:lang w:eastAsia="en-CA"/>
              </w:rPr>
              <w:t>42.2</w:t>
            </w:r>
          </w:p>
        </w:tc>
        <w:tc>
          <w:tcPr>
            <w:tcW w:w="4531" w:type="dxa"/>
            <w:tcMar>
              <w:left w:w="58" w:type="dxa"/>
              <w:right w:w="58" w:type="dxa"/>
            </w:tcMar>
          </w:tcPr>
          <w:p w14:paraId="424A2C2E" w14:textId="77777777" w:rsidR="0028399A" w:rsidRPr="00756D59" w:rsidRDefault="0028399A" w:rsidP="00305D02">
            <w:pPr>
              <w:jc w:val="left"/>
              <w:rPr>
                <w:sz w:val="20"/>
                <w:szCs w:val="20"/>
                <w:lang w:eastAsia="en-CA"/>
              </w:rPr>
            </w:pPr>
            <w:r w:rsidRPr="00756D59">
              <w:rPr>
                <w:sz w:val="20"/>
                <w:szCs w:val="20"/>
                <w:lang w:eastAsia="en-CA"/>
              </w:rPr>
              <w:t>Consultations on Kigali Amendment ratification; finalization of country assessment report; roundtable workshops and trainings; finalization of draft regulation amendment; development of knowledge products and information materials; and finalization of e</w:t>
            </w:r>
            <w:r w:rsidRPr="00756D59">
              <w:rPr>
                <w:sz w:val="20"/>
                <w:szCs w:val="20"/>
                <w:lang w:eastAsia="en-CA"/>
              </w:rPr>
              <w:noBreakHyphen/>
              <w:t>licensing system.</w:t>
            </w:r>
          </w:p>
        </w:tc>
        <w:tc>
          <w:tcPr>
            <w:tcW w:w="1629" w:type="dxa"/>
            <w:shd w:val="clear" w:color="auto" w:fill="auto"/>
            <w:tcMar>
              <w:left w:w="58" w:type="dxa"/>
              <w:right w:w="58" w:type="dxa"/>
            </w:tcMar>
          </w:tcPr>
          <w:p w14:paraId="328DAC3D"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1BDCD46F" w14:textId="77777777" w:rsidTr="00305D02">
        <w:trPr>
          <w:trHeight w:val="337"/>
        </w:trPr>
        <w:tc>
          <w:tcPr>
            <w:tcW w:w="2261" w:type="dxa"/>
            <w:tcMar>
              <w:left w:w="58" w:type="dxa"/>
              <w:right w:w="58" w:type="dxa"/>
            </w:tcMar>
          </w:tcPr>
          <w:p w14:paraId="53801D77" w14:textId="77777777" w:rsidR="0028399A" w:rsidRPr="00756D59" w:rsidRDefault="0028399A" w:rsidP="00305D02">
            <w:pPr>
              <w:jc w:val="left"/>
              <w:rPr>
                <w:sz w:val="20"/>
                <w:szCs w:val="20"/>
                <w:lang w:eastAsia="en-CA"/>
              </w:rPr>
            </w:pPr>
            <w:r w:rsidRPr="00756D59">
              <w:rPr>
                <w:bCs/>
                <w:sz w:val="20"/>
                <w:szCs w:val="20"/>
                <w:lang w:eastAsia="en-CA"/>
              </w:rPr>
              <w:t>South Sudan</w:t>
            </w:r>
            <w:r w:rsidRPr="00756D59">
              <w:rPr>
                <w:sz w:val="20"/>
                <w:szCs w:val="20"/>
                <w:lang w:eastAsia="en-CA"/>
              </w:rPr>
              <w:t xml:space="preserve"> </w:t>
            </w:r>
          </w:p>
          <w:p w14:paraId="74F731A0" w14:textId="77777777" w:rsidR="0028399A" w:rsidRPr="00756D59" w:rsidRDefault="0028399A" w:rsidP="00305D02">
            <w:pPr>
              <w:jc w:val="left"/>
              <w:rPr>
                <w:bCs/>
                <w:sz w:val="20"/>
                <w:szCs w:val="20"/>
                <w:lang w:eastAsia="en-CA"/>
              </w:rPr>
            </w:pPr>
            <w:r w:rsidRPr="00756D59">
              <w:rPr>
                <w:sz w:val="20"/>
                <w:szCs w:val="20"/>
                <w:lang w:eastAsia="en-CA"/>
              </w:rPr>
              <w:t>SSD/SEV/81/TAS/01+</w:t>
            </w:r>
          </w:p>
        </w:tc>
        <w:tc>
          <w:tcPr>
            <w:tcW w:w="3352" w:type="dxa"/>
            <w:tcMar>
              <w:left w:w="58" w:type="dxa"/>
              <w:right w:w="58" w:type="dxa"/>
            </w:tcMar>
          </w:tcPr>
          <w:p w14:paraId="4A37B4F8"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6267305"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C177A5C" w14:textId="77777777" w:rsidR="0028399A" w:rsidRPr="00756D59" w:rsidRDefault="0028399A" w:rsidP="00305D02">
            <w:pPr>
              <w:jc w:val="center"/>
              <w:rPr>
                <w:bCs/>
                <w:sz w:val="20"/>
                <w:szCs w:val="20"/>
                <w:lang w:eastAsia="en-CA"/>
              </w:rPr>
            </w:pPr>
            <w:r w:rsidRPr="00756D59">
              <w:rPr>
                <w:bCs/>
                <w:sz w:val="20"/>
                <w:szCs w:val="20"/>
                <w:lang w:eastAsia="en-CA"/>
              </w:rPr>
              <w:t>31.6</w:t>
            </w:r>
          </w:p>
        </w:tc>
        <w:tc>
          <w:tcPr>
            <w:tcW w:w="4531" w:type="dxa"/>
            <w:tcMar>
              <w:left w:w="58" w:type="dxa"/>
              <w:right w:w="58" w:type="dxa"/>
            </w:tcMar>
          </w:tcPr>
          <w:p w14:paraId="4BBDD258" w14:textId="77777777" w:rsidR="0028399A" w:rsidRPr="00756D59" w:rsidRDefault="0028399A" w:rsidP="00305D02">
            <w:pPr>
              <w:jc w:val="left"/>
              <w:rPr>
                <w:sz w:val="20"/>
                <w:szCs w:val="20"/>
                <w:lang w:eastAsia="en-CA"/>
              </w:rPr>
            </w:pPr>
            <w:r w:rsidRPr="00756D59">
              <w:rPr>
                <w:sz w:val="20"/>
                <w:szCs w:val="20"/>
                <w:lang w:eastAsia="en-CA"/>
              </w:rPr>
              <w:t>Analysis of existing legislation and drafting amendments; conducting sensitization meetings for technicians on safe handling of HFCs and their alternatives; and revising the existing national Ozone</w:t>
            </w:r>
            <w:r w:rsidRPr="00756D59">
              <w:rPr>
                <w:sz w:val="20"/>
                <w:szCs w:val="20"/>
                <w:lang w:eastAsia="en-CA"/>
              </w:rPr>
              <w:noBreakHyphen/>
              <w:t>Depleting Substances legislation (and ODS</w:t>
            </w:r>
            <w:r w:rsidRPr="00756D59">
              <w:rPr>
                <w:sz w:val="20"/>
                <w:szCs w:val="20"/>
                <w:lang w:eastAsia="en-CA"/>
              </w:rPr>
              <w:noBreakHyphen/>
              <w:t>based equipment).</w:t>
            </w:r>
          </w:p>
        </w:tc>
        <w:tc>
          <w:tcPr>
            <w:tcW w:w="1629" w:type="dxa"/>
            <w:shd w:val="clear" w:color="auto" w:fill="auto"/>
            <w:tcMar>
              <w:left w:w="58" w:type="dxa"/>
              <w:right w:w="58" w:type="dxa"/>
            </w:tcMar>
          </w:tcPr>
          <w:p w14:paraId="4C3B5947"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598DBDBC" w14:textId="77777777" w:rsidTr="00305D02">
        <w:trPr>
          <w:trHeight w:val="337"/>
        </w:trPr>
        <w:tc>
          <w:tcPr>
            <w:tcW w:w="2261" w:type="dxa"/>
            <w:tcMar>
              <w:left w:w="58" w:type="dxa"/>
              <w:right w:w="58" w:type="dxa"/>
            </w:tcMar>
          </w:tcPr>
          <w:p w14:paraId="01CE5F6C" w14:textId="77777777" w:rsidR="0028399A" w:rsidRPr="00756D59" w:rsidRDefault="0028399A" w:rsidP="00305D02">
            <w:pPr>
              <w:jc w:val="left"/>
              <w:rPr>
                <w:sz w:val="20"/>
                <w:szCs w:val="20"/>
                <w:lang w:eastAsia="en-CA"/>
              </w:rPr>
            </w:pPr>
            <w:r w:rsidRPr="00756D59">
              <w:rPr>
                <w:bCs/>
                <w:sz w:val="20"/>
                <w:szCs w:val="20"/>
                <w:lang w:eastAsia="en-CA"/>
              </w:rPr>
              <w:t>Sri Lanka</w:t>
            </w:r>
            <w:r w:rsidRPr="00756D59">
              <w:rPr>
                <w:sz w:val="20"/>
                <w:szCs w:val="20"/>
                <w:lang w:eastAsia="en-CA"/>
              </w:rPr>
              <w:t xml:space="preserve"> </w:t>
            </w:r>
          </w:p>
          <w:p w14:paraId="652F7571" w14:textId="77777777" w:rsidR="0028399A" w:rsidRPr="00756D59" w:rsidRDefault="0028399A" w:rsidP="00305D02">
            <w:pPr>
              <w:jc w:val="left"/>
              <w:rPr>
                <w:bCs/>
                <w:sz w:val="20"/>
                <w:szCs w:val="20"/>
                <w:lang w:eastAsia="en-CA"/>
              </w:rPr>
            </w:pPr>
            <w:r w:rsidRPr="00756D59">
              <w:rPr>
                <w:sz w:val="20"/>
                <w:szCs w:val="20"/>
                <w:lang w:eastAsia="en-CA"/>
              </w:rPr>
              <w:t>SRL/SEV/81/TAS/01+</w:t>
            </w:r>
          </w:p>
        </w:tc>
        <w:tc>
          <w:tcPr>
            <w:tcW w:w="3352" w:type="dxa"/>
            <w:tcMar>
              <w:left w:w="58" w:type="dxa"/>
              <w:right w:w="58" w:type="dxa"/>
            </w:tcMar>
          </w:tcPr>
          <w:p w14:paraId="68B96DA1"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CAFBAD1"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C9EAB08" w14:textId="77777777" w:rsidR="0028399A" w:rsidRPr="00756D59" w:rsidRDefault="0028399A" w:rsidP="00305D02">
            <w:pPr>
              <w:jc w:val="center"/>
              <w:rPr>
                <w:bCs/>
                <w:sz w:val="20"/>
                <w:szCs w:val="20"/>
                <w:lang w:eastAsia="en-CA"/>
              </w:rPr>
            </w:pPr>
            <w:r w:rsidRPr="00756D59">
              <w:rPr>
                <w:bCs/>
                <w:sz w:val="20"/>
                <w:szCs w:val="20"/>
                <w:lang w:eastAsia="en-CA"/>
              </w:rPr>
              <w:t>59.8</w:t>
            </w:r>
          </w:p>
        </w:tc>
        <w:tc>
          <w:tcPr>
            <w:tcW w:w="4531" w:type="dxa"/>
            <w:tcMar>
              <w:left w:w="58" w:type="dxa"/>
              <w:right w:w="58" w:type="dxa"/>
            </w:tcMar>
          </w:tcPr>
          <w:p w14:paraId="1E143A35" w14:textId="77777777" w:rsidR="0028399A" w:rsidRPr="00756D59" w:rsidRDefault="0028399A" w:rsidP="00305D02">
            <w:pPr>
              <w:jc w:val="left"/>
              <w:rPr>
                <w:sz w:val="20"/>
                <w:szCs w:val="20"/>
                <w:lang w:eastAsia="en-CA"/>
              </w:rPr>
            </w:pPr>
            <w:r w:rsidRPr="00756D59">
              <w:rPr>
                <w:sz w:val="20"/>
                <w:szCs w:val="20"/>
                <w:lang w:eastAsia="en-CA"/>
              </w:rPr>
              <w:t>Finalization of stakeholder engagement strategy; roundtable workshops and trainings; finalization of safety and energy efficiency standards; finalization study on Recognition of Prior Learning in the Technical and Vocational Education and Training system for RAC; and development of knowledge products and information materials on Kigali Amendment, energy efficiency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0909D71A"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88DA35C" w14:textId="77777777" w:rsidTr="00305D02">
        <w:trPr>
          <w:trHeight w:val="337"/>
        </w:trPr>
        <w:tc>
          <w:tcPr>
            <w:tcW w:w="2261" w:type="dxa"/>
            <w:tcMar>
              <w:left w:w="58" w:type="dxa"/>
              <w:right w:w="58" w:type="dxa"/>
            </w:tcMar>
          </w:tcPr>
          <w:p w14:paraId="2DB4C577" w14:textId="77777777" w:rsidR="0028399A" w:rsidRPr="00756D59" w:rsidRDefault="0028399A" w:rsidP="00305D02">
            <w:pPr>
              <w:jc w:val="left"/>
              <w:rPr>
                <w:sz w:val="20"/>
                <w:szCs w:val="20"/>
                <w:lang w:eastAsia="en-CA"/>
              </w:rPr>
            </w:pPr>
            <w:r w:rsidRPr="00756D59">
              <w:rPr>
                <w:bCs/>
                <w:sz w:val="20"/>
                <w:szCs w:val="20"/>
                <w:lang w:eastAsia="en-CA"/>
              </w:rPr>
              <w:t>Sudan</w:t>
            </w:r>
            <w:r w:rsidRPr="00756D59">
              <w:rPr>
                <w:sz w:val="20"/>
                <w:szCs w:val="20"/>
                <w:lang w:eastAsia="en-CA"/>
              </w:rPr>
              <w:t xml:space="preserve"> (the)</w:t>
            </w:r>
          </w:p>
          <w:p w14:paraId="0B083CDA" w14:textId="77777777" w:rsidR="0028399A" w:rsidRPr="00756D59" w:rsidRDefault="0028399A" w:rsidP="00305D02">
            <w:pPr>
              <w:jc w:val="left"/>
              <w:rPr>
                <w:bCs/>
                <w:sz w:val="20"/>
                <w:szCs w:val="20"/>
                <w:lang w:eastAsia="en-CA"/>
              </w:rPr>
            </w:pPr>
            <w:r w:rsidRPr="00756D59">
              <w:rPr>
                <w:sz w:val="20"/>
                <w:szCs w:val="20"/>
                <w:lang w:eastAsia="en-CA"/>
              </w:rPr>
              <w:t>SUD/SEV/80/TAS/02+</w:t>
            </w:r>
          </w:p>
        </w:tc>
        <w:tc>
          <w:tcPr>
            <w:tcW w:w="3352" w:type="dxa"/>
            <w:tcMar>
              <w:left w:w="58" w:type="dxa"/>
              <w:right w:w="58" w:type="dxa"/>
            </w:tcMar>
          </w:tcPr>
          <w:p w14:paraId="561329C5"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8365BB5"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1869133C" w14:textId="77777777" w:rsidR="0028399A" w:rsidRPr="00756D59" w:rsidRDefault="0028399A" w:rsidP="00305D02">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1213AE88" w14:textId="77777777" w:rsidR="0028399A" w:rsidRPr="00756D59" w:rsidRDefault="0028399A" w:rsidP="00305D02">
            <w:pPr>
              <w:jc w:val="left"/>
              <w:rPr>
                <w:sz w:val="20"/>
                <w:szCs w:val="20"/>
                <w:lang w:eastAsia="en-CA"/>
              </w:rPr>
            </w:pPr>
            <w:r w:rsidRPr="00756D59">
              <w:rPr>
                <w:sz w:val="20"/>
                <w:szCs w:val="20"/>
                <w:lang w:eastAsia="en-CA"/>
              </w:rPr>
              <w:t xml:space="preserve">Implementing public awareness regarding the Kigali Amendment and continuing stakeholder consultations; raising awareness of technicians on available HFC alternatives and their safe handling; and training customs officers on monitoring and controlling HFC trade at all the major ports of entry. </w:t>
            </w:r>
          </w:p>
        </w:tc>
        <w:tc>
          <w:tcPr>
            <w:tcW w:w="1629" w:type="dxa"/>
            <w:shd w:val="clear" w:color="auto" w:fill="auto"/>
            <w:tcMar>
              <w:left w:w="58" w:type="dxa"/>
              <w:right w:w="58" w:type="dxa"/>
            </w:tcMar>
          </w:tcPr>
          <w:p w14:paraId="181B40B2"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4E597460" w14:textId="77777777" w:rsidTr="00305D02">
        <w:trPr>
          <w:trHeight w:val="337"/>
        </w:trPr>
        <w:tc>
          <w:tcPr>
            <w:tcW w:w="2261" w:type="dxa"/>
            <w:tcMar>
              <w:left w:w="58" w:type="dxa"/>
              <w:right w:w="58" w:type="dxa"/>
            </w:tcMar>
          </w:tcPr>
          <w:p w14:paraId="1CC0F131" w14:textId="77777777" w:rsidR="0028399A" w:rsidRPr="00756D59" w:rsidRDefault="0028399A" w:rsidP="00305D02">
            <w:pPr>
              <w:jc w:val="left"/>
              <w:rPr>
                <w:sz w:val="20"/>
                <w:szCs w:val="20"/>
                <w:lang w:eastAsia="en-CA"/>
              </w:rPr>
            </w:pPr>
            <w:r w:rsidRPr="00756D59">
              <w:rPr>
                <w:bCs/>
                <w:sz w:val="20"/>
                <w:szCs w:val="20"/>
                <w:lang w:eastAsia="en-CA"/>
              </w:rPr>
              <w:t>Suriname</w:t>
            </w:r>
            <w:r w:rsidRPr="00756D59">
              <w:rPr>
                <w:sz w:val="20"/>
                <w:szCs w:val="20"/>
                <w:lang w:eastAsia="en-CA"/>
              </w:rPr>
              <w:t xml:space="preserve"> </w:t>
            </w:r>
          </w:p>
          <w:p w14:paraId="30F1A670" w14:textId="77777777" w:rsidR="0028399A" w:rsidRPr="00756D59" w:rsidRDefault="0028399A" w:rsidP="00305D02">
            <w:pPr>
              <w:jc w:val="left"/>
              <w:rPr>
                <w:bCs/>
                <w:sz w:val="20"/>
                <w:szCs w:val="20"/>
                <w:lang w:eastAsia="en-CA"/>
              </w:rPr>
            </w:pPr>
            <w:r w:rsidRPr="00756D59">
              <w:rPr>
                <w:sz w:val="20"/>
                <w:szCs w:val="20"/>
                <w:lang w:eastAsia="en-CA"/>
              </w:rPr>
              <w:t>SUR/SEV/80/TAS/01+</w:t>
            </w:r>
          </w:p>
        </w:tc>
        <w:tc>
          <w:tcPr>
            <w:tcW w:w="3352" w:type="dxa"/>
            <w:tcMar>
              <w:left w:w="58" w:type="dxa"/>
              <w:right w:w="58" w:type="dxa"/>
            </w:tcMar>
          </w:tcPr>
          <w:p w14:paraId="418AF506"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AE6B4F5"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FB8E34F" w14:textId="77777777" w:rsidR="0028399A" w:rsidRPr="00756D59" w:rsidRDefault="0028399A" w:rsidP="00305D02">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02F53268" w14:textId="77777777" w:rsidR="0028399A" w:rsidRPr="00756D59" w:rsidRDefault="0028399A" w:rsidP="00305D02">
            <w:pPr>
              <w:jc w:val="left"/>
              <w:rPr>
                <w:sz w:val="20"/>
                <w:szCs w:val="20"/>
                <w:lang w:eastAsia="en-CA"/>
              </w:rPr>
            </w:pPr>
            <w:r w:rsidRPr="00756D59">
              <w:rPr>
                <w:sz w:val="20"/>
                <w:szCs w:val="20"/>
                <w:lang w:eastAsia="en-CA"/>
              </w:rPr>
              <w:t>Analysis of ozone and climate legislation to support Kigali Amendment; stakeholder consultations meetings and awareness raising on HFC phase</w:t>
            </w:r>
            <w:r w:rsidRPr="00756D59">
              <w:rPr>
                <w:sz w:val="20"/>
                <w:szCs w:val="20"/>
                <w:lang w:eastAsia="en-CA"/>
              </w:rPr>
              <w:noBreakHyphen/>
              <w:t xml:space="preserve">down and energy efficiency; training needs assessment for </w:t>
            </w:r>
            <w:r w:rsidRPr="00756D59">
              <w:rPr>
                <w:sz w:val="20"/>
                <w:szCs w:val="20"/>
                <w:lang w:eastAsia="en-CA"/>
              </w:rPr>
              <w:lastRenderedPageBreak/>
              <w:t>the RAC service sector; mapping HFCs available in the local market; technical assistance for HFC data collection, projection of RAC technology trends; symposium on  impacts of the Kigali Amendment ratification and seminar on the transition to low</w:t>
            </w:r>
            <w:r w:rsidRPr="00756D59">
              <w:rPr>
                <w:sz w:val="20"/>
                <w:szCs w:val="20"/>
                <w:lang w:eastAsia="en-CA"/>
              </w:rPr>
              <w:noBreakHyphen/>
              <w:t>GWP technologies; training seminar for technicians on management of alternatives; developing country</w:t>
            </w:r>
            <w:r w:rsidRPr="00756D59">
              <w:rPr>
                <w:sz w:val="20"/>
                <w:szCs w:val="20"/>
                <w:lang w:eastAsia="en-CA"/>
              </w:rPr>
              <w:noBreakHyphen/>
              <w:t>specific HS codes for HFCs; knowledge, attitude, and practices study of the RAC service sector; and developing national strategy on a staged approach to introducing low</w:t>
            </w:r>
            <w:r w:rsidRPr="00756D59">
              <w:rPr>
                <w:sz w:val="20"/>
                <w:szCs w:val="20"/>
                <w:lang w:eastAsia="en-CA"/>
              </w:rPr>
              <w:noBreakHyphen/>
              <w:t>GWP energy efficient alternatives and change management support to assist service to manage transition from HFCs to alternative refrigerants.</w:t>
            </w:r>
          </w:p>
        </w:tc>
        <w:tc>
          <w:tcPr>
            <w:tcW w:w="1629" w:type="dxa"/>
            <w:shd w:val="clear" w:color="auto" w:fill="auto"/>
            <w:tcMar>
              <w:left w:w="58" w:type="dxa"/>
              <w:right w:w="58" w:type="dxa"/>
            </w:tcMar>
          </w:tcPr>
          <w:p w14:paraId="139B780E" w14:textId="77777777" w:rsidR="0028399A" w:rsidRPr="00756D59" w:rsidRDefault="0028399A" w:rsidP="00305D02">
            <w:pPr>
              <w:jc w:val="center"/>
              <w:rPr>
                <w:bCs/>
                <w:sz w:val="20"/>
                <w:szCs w:val="20"/>
                <w:lang w:eastAsia="en-CA"/>
              </w:rPr>
            </w:pPr>
            <w:r w:rsidRPr="00756D59">
              <w:rPr>
                <w:bCs/>
                <w:sz w:val="20"/>
                <w:szCs w:val="20"/>
                <w:lang w:eastAsia="en-CA"/>
              </w:rPr>
              <w:lastRenderedPageBreak/>
              <w:t>Jun-22</w:t>
            </w:r>
          </w:p>
        </w:tc>
      </w:tr>
      <w:tr w:rsidR="0028399A" w:rsidRPr="00756D59" w14:paraId="1F8A49B9" w14:textId="77777777" w:rsidTr="00305D02">
        <w:trPr>
          <w:trHeight w:val="337"/>
        </w:trPr>
        <w:tc>
          <w:tcPr>
            <w:tcW w:w="2261" w:type="dxa"/>
            <w:tcMar>
              <w:left w:w="58" w:type="dxa"/>
              <w:right w:w="58" w:type="dxa"/>
            </w:tcMar>
          </w:tcPr>
          <w:p w14:paraId="58D255B3" w14:textId="77777777" w:rsidR="0028399A" w:rsidRPr="00756D59" w:rsidRDefault="0028399A" w:rsidP="00305D02">
            <w:pPr>
              <w:jc w:val="left"/>
              <w:rPr>
                <w:sz w:val="20"/>
                <w:szCs w:val="20"/>
                <w:lang w:eastAsia="en-CA"/>
              </w:rPr>
            </w:pPr>
            <w:r w:rsidRPr="00756D59">
              <w:rPr>
                <w:bCs/>
                <w:sz w:val="20"/>
                <w:szCs w:val="20"/>
                <w:lang w:eastAsia="en-CA"/>
              </w:rPr>
              <w:lastRenderedPageBreak/>
              <w:t>Timor-Leste</w:t>
            </w:r>
            <w:r w:rsidRPr="00756D59">
              <w:rPr>
                <w:sz w:val="20"/>
                <w:szCs w:val="20"/>
                <w:lang w:eastAsia="en-CA"/>
              </w:rPr>
              <w:t xml:space="preserve"> </w:t>
            </w:r>
          </w:p>
          <w:p w14:paraId="182E912A" w14:textId="77777777" w:rsidR="0028399A" w:rsidRPr="00756D59" w:rsidRDefault="0028399A" w:rsidP="00305D02">
            <w:pPr>
              <w:jc w:val="left"/>
              <w:rPr>
                <w:bCs/>
                <w:sz w:val="20"/>
                <w:szCs w:val="20"/>
                <w:lang w:eastAsia="en-CA"/>
              </w:rPr>
            </w:pPr>
            <w:r w:rsidRPr="00756D59">
              <w:rPr>
                <w:sz w:val="20"/>
                <w:szCs w:val="20"/>
                <w:lang w:eastAsia="en-CA"/>
              </w:rPr>
              <w:t>TLS/SEV/82/TAS/19</w:t>
            </w:r>
          </w:p>
        </w:tc>
        <w:tc>
          <w:tcPr>
            <w:tcW w:w="3352" w:type="dxa"/>
            <w:tcMar>
              <w:left w:w="58" w:type="dxa"/>
              <w:right w:w="58" w:type="dxa"/>
            </w:tcMar>
          </w:tcPr>
          <w:p w14:paraId="4D83C9A1"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3DB095E"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150339DC" w14:textId="77777777" w:rsidR="0028399A" w:rsidRPr="00756D59" w:rsidRDefault="0028399A" w:rsidP="00305D02">
            <w:pPr>
              <w:jc w:val="center"/>
              <w:rPr>
                <w:bCs/>
                <w:sz w:val="20"/>
                <w:szCs w:val="20"/>
                <w:lang w:eastAsia="en-CA"/>
              </w:rPr>
            </w:pPr>
            <w:r w:rsidRPr="00756D59">
              <w:rPr>
                <w:bCs/>
                <w:sz w:val="20"/>
                <w:szCs w:val="20"/>
                <w:lang w:eastAsia="en-CA"/>
              </w:rPr>
              <w:t>47.7</w:t>
            </w:r>
          </w:p>
        </w:tc>
        <w:tc>
          <w:tcPr>
            <w:tcW w:w="4531" w:type="dxa"/>
            <w:tcMar>
              <w:left w:w="58" w:type="dxa"/>
              <w:right w:w="58" w:type="dxa"/>
            </w:tcMar>
          </w:tcPr>
          <w:p w14:paraId="37CF772D" w14:textId="77777777" w:rsidR="0028399A" w:rsidRPr="00756D59" w:rsidRDefault="0028399A" w:rsidP="00305D02">
            <w:pPr>
              <w:jc w:val="left"/>
              <w:rPr>
                <w:sz w:val="20"/>
                <w:szCs w:val="20"/>
                <w:lang w:eastAsia="en-CA"/>
              </w:rPr>
            </w:pPr>
            <w:r w:rsidRPr="00756D59">
              <w:rPr>
                <w:sz w:val="20"/>
                <w:szCs w:val="20"/>
                <w:lang w:eastAsia="en-CA"/>
              </w:rPr>
              <w:t>Conducting roundtable workshops and trainings; finalization of the amendment to the draft regulation; and development of knowledge products and information materials.</w:t>
            </w:r>
          </w:p>
        </w:tc>
        <w:tc>
          <w:tcPr>
            <w:tcW w:w="1629" w:type="dxa"/>
            <w:shd w:val="clear" w:color="auto" w:fill="auto"/>
            <w:tcMar>
              <w:left w:w="58" w:type="dxa"/>
              <w:right w:w="58" w:type="dxa"/>
            </w:tcMar>
          </w:tcPr>
          <w:p w14:paraId="2D1BD36A"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4CBC588A" w14:textId="77777777" w:rsidTr="00305D02">
        <w:trPr>
          <w:trHeight w:val="337"/>
        </w:trPr>
        <w:tc>
          <w:tcPr>
            <w:tcW w:w="2261" w:type="dxa"/>
            <w:tcMar>
              <w:left w:w="58" w:type="dxa"/>
              <w:right w:w="58" w:type="dxa"/>
            </w:tcMar>
          </w:tcPr>
          <w:p w14:paraId="173B0B3C" w14:textId="77777777" w:rsidR="0028399A" w:rsidRPr="00756D59" w:rsidRDefault="0028399A" w:rsidP="00305D02">
            <w:pPr>
              <w:jc w:val="left"/>
              <w:rPr>
                <w:sz w:val="20"/>
                <w:szCs w:val="20"/>
                <w:lang w:eastAsia="en-CA"/>
              </w:rPr>
            </w:pPr>
            <w:r w:rsidRPr="00756D59">
              <w:rPr>
                <w:bCs/>
                <w:sz w:val="20"/>
                <w:szCs w:val="20"/>
                <w:lang w:eastAsia="en-CA"/>
              </w:rPr>
              <w:t>Togo</w:t>
            </w:r>
            <w:r w:rsidRPr="00756D59">
              <w:rPr>
                <w:sz w:val="20"/>
                <w:szCs w:val="20"/>
                <w:lang w:eastAsia="en-CA"/>
              </w:rPr>
              <w:t xml:space="preserve"> </w:t>
            </w:r>
          </w:p>
          <w:p w14:paraId="4F2ACC25" w14:textId="77777777" w:rsidR="0028399A" w:rsidRPr="00756D59" w:rsidRDefault="0028399A" w:rsidP="00305D02">
            <w:pPr>
              <w:jc w:val="left"/>
              <w:rPr>
                <w:bCs/>
                <w:sz w:val="20"/>
                <w:szCs w:val="20"/>
                <w:lang w:eastAsia="en-CA"/>
              </w:rPr>
            </w:pPr>
            <w:r w:rsidRPr="00756D59">
              <w:rPr>
                <w:sz w:val="20"/>
                <w:szCs w:val="20"/>
                <w:lang w:eastAsia="en-CA"/>
              </w:rPr>
              <w:t>TOG/SEV/80/TAS/01+</w:t>
            </w:r>
          </w:p>
        </w:tc>
        <w:tc>
          <w:tcPr>
            <w:tcW w:w="3352" w:type="dxa"/>
            <w:tcMar>
              <w:left w:w="58" w:type="dxa"/>
              <w:right w:w="58" w:type="dxa"/>
            </w:tcMar>
          </w:tcPr>
          <w:p w14:paraId="37E68EF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308812A"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184FE866" w14:textId="77777777" w:rsidR="0028399A" w:rsidRPr="00756D59" w:rsidRDefault="0028399A" w:rsidP="00305D02">
            <w:pPr>
              <w:jc w:val="center"/>
              <w:rPr>
                <w:bCs/>
                <w:sz w:val="20"/>
                <w:szCs w:val="20"/>
                <w:lang w:eastAsia="en-CA"/>
              </w:rPr>
            </w:pPr>
            <w:r w:rsidRPr="00756D59">
              <w:rPr>
                <w:bCs/>
                <w:sz w:val="20"/>
                <w:szCs w:val="20"/>
                <w:lang w:eastAsia="en-CA"/>
              </w:rPr>
              <w:t>83.3</w:t>
            </w:r>
          </w:p>
        </w:tc>
        <w:tc>
          <w:tcPr>
            <w:tcW w:w="4531" w:type="dxa"/>
            <w:tcMar>
              <w:left w:w="58" w:type="dxa"/>
              <w:right w:w="58" w:type="dxa"/>
            </w:tcMar>
          </w:tcPr>
          <w:p w14:paraId="4C93571D" w14:textId="77777777" w:rsidR="0028399A" w:rsidRPr="00756D59" w:rsidRDefault="0028399A" w:rsidP="00305D02">
            <w:pPr>
              <w:jc w:val="left"/>
              <w:rPr>
                <w:sz w:val="20"/>
                <w:szCs w:val="20"/>
                <w:lang w:eastAsia="en-CA"/>
              </w:rPr>
            </w:pPr>
            <w:r w:rsidRPr="00756D59">
              <w:rPr>
                <w:sz w:val="20"/>
                <w:szCs w:val="20"/>
                <w:lang w:eastAsia="en-CA"/>
              </w:rPr>
              <w:t>Development of country-specific national HS codes for HFCs; assisting customs office in developing national custom codes for different HFCs and including them into the Customs Tariff; and undertaking training needs assessment for the service sector.</w:t>
            </w:r>
          </w:p>
        </w:tc>
        <w:tc>
          <w:tcPr>
            <w:tcW w:w="1629" w:type="dxa"/>
            <w:shd w:val="clear" w:color="auto" w:fill="auto"/>
            <w:tcMar>
              <w:left w:w="58" w:type="dxa"/>
              <w:right w:w="58" w:type="dxa"/>
            </w:tcMar>
          </w:tcPr>
          <w:p w14:paraId="4B81C701"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39FBFB0C" w14:textId="77777777" w:rsidTr="00305D02">
        <w:trPr>
          <w:trHeight w:val="337"/>
        </w:trPr>
        <w:tc>
          <w:tcPr>
            <w:tcW w:w="2261" w:type="dxa"/>
            <w:tcMar>
              <w:left w:w="58" w:type="dxa"/>
              <w:right w:w="58" w:type="dxa"/>
            </w:tcMar>
          </w:tcPr>
          <w:p w14:paraId="709D848A" w14:textId="77777777" w:rsidR="0028399A" w:rsidRPr="00756D59" w:rsidRDefault="0028399A" w:rsidP="00305D02">
            <w:pPr>
              <w:jc w:val="left"/>
              <w:rPr>
                <w:sz w:val="20"/>
                <w:szCs w:val="20"/>
                <w:lang w:eastAsia="en-CA"/>
              </w:rPr>
            </w:pPr>
            <w:r w:rsidRPr="00756D59">
              <w:rPr>
                <w:bCs/>
                <w:sz w:val="20"/>
                <w:szCs w:val="20"/>
                <w:lang w:eastAsia="en-CA"/>
              </w:rPr>
              <w:t>Uganda</w:t>
            </w:r>
            <w:r w:rsidRPr="00756D59">
              <w:rPr>
                <w:sz w:val="20"/>
                <w:szCs w:val="20"/>
                <w:lang w:eastAsia="en-CA"/>
              </w:rPr>
              <w:t xml:space="preserve"> </w:t>
            </w:r>
          </w:p>
          <w:p w14:paraId="65F29D3D" w14:textId="77777777" w:rsidR="0028399A" w:rsidRPr="00756D59" w:rsidRDefault="0028399A" w:rsidP="00305D02">
            <w:pPr>
              <w:jc w:val="left"/>
              <w:rPr>
                <w:bCs/>
                <w:sz w:val="20"/>
                <w:szCs w:val="20"/>
                <w:lang w:eastAsia="en-CA"/>
              </w:rPr>
            </w:pPr>
            <w:r w:rsidRPr="00756D59">
              <w:rPr>
                <w:sz w:val="20"/>
                <w:szCs w:val="20"/>
                <w:lang w:eastAsia="en-CA"/>
              </w:rPr>
              <w:t>UGA/SEV/81/TAS/01+</w:t>
            </w:r>
          </w:p>
        </w:tc>
        <w:tc>
          <w:tcPr>
            <w:tcW w:w="3352" w:type="dxa"/>
            <w:tcMar>
              <w:left w:w="58" w:type="dxa"/>
              <w:right w:w="58" w:type="dxa"/>
            </w:tcMar>
          </w:tcPr>
          <w:p w14:paraId="278717C9"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4A83FB5"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5A0B362" w14:textId="77777777" w:rsidR="0028399A" w:rsidRPr="00756D59" w:rsidRDefault="0028399A" w:rsidP="00305D02">
            <w:pPr>
              <w:jc w:val="center"/>
              <w:rPr>
                <w:bCs/>
                <w:sz w:val="20"/>
                <w:szCs w:val="20"/>
                <w:lang w:eastAsia="en-CA"/>
              </w:rPr>
            </w:pPr>
            <w:r w:rsidRPr="00756D59">
              <w:rPr>
                <w:bCs/>
                <w:sz w:val="20"/>
                <w:szCs w:val="20"/>
                <w:lang w:eastAsia="en-CA"/>
              </w:rPr>
              <w:t>50</w:t>
            </w:r>
          </w:p>
        </w:tc>
        <w:tc>
          <w:tcPr>
            <w:tcW w:w="4531" w:type="dxa"/>
            <w:tcMar>
              <w:left w:w="58" w:type="dxa"/>
              <w:right w:w="58" w:type="dxa"/>
            </w:tcMar>
          </w:tcPr>
          <w:p w14:paraId="410E8C05" w14:textId="77777777" w:rsidR="0028399A" w:rsidRPr="00756D59" w:rsidRDefault="0028399A" w:rsidP="00305D02">
            <w:pPr>
              <w:jc w:val="left"/>
              <w:rPr>
                <w:sz w:val="20"/>
                <w:szCs w:val="20"/>
                <w:lang w:eastAsia="en-CA"/>
              </w:rPr>
            </w:pPr>
            <w:r w:rsidRPr="00756D59">
              <w:rPr>
                <w:sz w:val="20"/>
                <w:szCs w:val="20"/>
                <w:lang w:eastAsia="en-CA"/>
              </w:rPr>
              <w:t>Undertaking the training needs assessment for the servicing sector and preparing an assessment report; and developing country-specific national HS codes for HFCs to facilitate proper monitoring and recording of imports/exports of individual HFCs/alternatives by customs office.</w:t>
            </w:r>
          </w:p>
        </w:tc>
        <w:tc>
          <w:tcPr>
            <w:tcW w:w="1629" w:type="dxa"/>
            <w:shd w:val="clear" w:color="auto" w:fill="auto"/>
            <w:tcMar>
              <w:left w:w="58" w:type="dxa"/>
              <w:right w:w="58" w:type="dxa"/>
            </w:tcMar>
          </w:tcPr>
          <w:p w14:paraId="661E785A"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69E77064" w14:textId="77777777" w:rsidTr="00305D02">
        <w:trPr>
          <w:trHeight w:val="337"/>
        </w:trPr>
        <w:tc>
          <w:tcPr>
            <w:tcW w:w="2261" w:type="dxa"/>
            <w:tcMar>
              <w:left w:w="58" w:type="dxa"/>
              <w:right w:w="58" w:type="dxa"/>
            </w:tcMar>
          </w:tcPr>
          <w:p w14:paraId="12DAD9D9" w14:textId="77777777" w:rsidR="0028399A" w:rsidRPr="00756D59" w:rsidRDefault="0028399A" w:rsidP="00305D02">
            <w:pPr>
              <w:jc w:val="left"/>
              <w:rPr>
                <w:sz w:val="20"/>
                <w:szCs w:val="20"/>
                <w:lang w:eastAsia="en-CA"/>
              </w:rPr>
            </w:pPr>
            <w:r w:rsidRPr="00756D59">
              <w:rPr>
                <w:bCs/>
                <w:sz w:val="20"/>
                <w:szCs w:val="20"/>
                <w:lang w:eastAsia="en-CA"/>
              </w:rPr>
              <w:t>United Republic of Tanzania (the)</w:t>
            </w:r>
          </w:p>
          <w:p w14:paraId="70E40F2E" w14:textId="77777777" w:rsidR="0028399A" w:rsidRPr="00756D59" w:rsidRDefault="0028399A" w:rsidP="00305D02">
            <w:pPr>
              <w:jc w:val="left"/>
              <w:rPr>
                <w:bCs/>
                <w:sz w:val="20"/>
                <w:szCs w:val="20"/>
                <w:lang w:eastAsia="en-CA"/>
              </w:rPr>
            </w:pPr>
            <w:r w:rsidRPr="00756D59">
              <w:rPr>
                <w:sz w:val="20"/>
                <w:szCs w:val="20"/>
                <w:lang w:eastAsia="en-CA"/>
              </w:rPr>
              <w:t>URT/SEV/81/TAS/01+</w:t>
            </w:r>
          </w:p>
        </w:tc>
        <w:tc>
          <w:tcPr>
            <w:tcW w:w="3352" w:type="dxa"/>
            <w:tcMar>
              <w:left w:w="58" w:type="dxa"/>
              <w:right w:w="58" w:type="dxa"/>
            </w:tcMar>
          </w:tcPr>
          <w:p w14:paraId="78273E2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487AA3F"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39AEB29" w14:textId="77777777" w:rsidR="0028399A" w:rsidRPr="00756D59" w:rsidRDefault="0028399A" w:rsidP="00305D02">
            <w:pPr>
              <w:jc w:val="center"/>
              <w:rPr>
                <w:bCs/>
                <w:sz w:val="20"/>
                <w:szCs w:val="20"/>
                <w:lang w:eastAsia="en-CA"/>
              </w:rPr>
            </w:pPr>
            <w:r w:rsidRPr="00756D59">
              <w:rPr>
                <w:bCs/>
                <w:sz w:val="20"/>
                <w:szCs w:val="20"/>
                <w:lang w:eastAsia="en-CA"/>
              </w:rPr>
              <w:t>84.2</w:t>
            </w:r>
          </w:p>
        </w:tc>
        <w:tc>
          <w:tcPr>
            <w:tcW w:w="4531" w:type="dxa"/>
            <w:tcMar>
              <w:left w:w="58" w:type="dxa"/>
              <w:right w:w="58" w:type="dxa"/>
            </w:tcMar>
          </w:tcPr>
          <w:p w14:paraId="593C472E" w14:textId="77777777" w:rsidR="0028399A" w:rsidRPr="00756D59" w:rsidRDefault="0028399A" w:rsidP="00305D02">
            <w:pPr>
              <w:jc w:val="left"/>
              <w:rPr>
                <w:sz w:val="20"/>
                <w:szCs w:val="20"/>
                <w:lang w:eastAsia="en-CA"/>
              </w:rPr>
            </w:pPr>
            <w:r w:rsidRPr="00756D59">
              <w:rPr>
                <w:sz w:val="20"/>
                <w:szCs w:val="20"/>
                <w:lang w:eastAsia="en-CA"/>
              </w:rPr>
              <w:t>Conducting stakeholder consultative meetings on the ratification of the Kigali Amendment; undertaking the training needs assessment for the servicing sector and preparing an assessment report; and revising and updating the existing National Ozone</w:t>
            </w:r>
            <w:r w:rsidRPr="00756D59">
              <w:rPr>
                <w:sz w:val="20"/>
                <w:szCs w:val="20"/>
                <w:lang w:eastAsia="en-CA"/>
              </w:rPr>
              <w:noBreakHyphen/>
              <w:t xml:space="preserve">Depleting Substances legislation and drafting the ODS alternative regulation. </w:t>
            </w:r>
          </w:p>
        </w:tc>
        <w:tc>
          <w:tcPr>
            <w:tcW w:w="1629" w:type="dxa"/>
            <w:shd w:val="clear" w:color="auto" w:fill="auto"/>
            <w:tcMar>
              <w:left w:w="58" w:type="dxa"/>
              <w:right w:w="58" w:type="dxa"/>
            </w:tcMar>
          </w:tcPr>
          <w:p w14:paraId="78838DE5" w14:textId="77777777" w:rsidR="0028399A" w:rsidRPr="00756D59" w:rsidRDefault="0028399A" w:rsidP="00305D02">
            <w:pPr>
              <w:jc w:val="center"/>
              <w:rPr>
                <w:bCs/>
                <w:sz w:val="20"/>
                <w:szCs w:val="20"/>
                <w:lang w:eastAsia="en-CA"/>
              </w:rPr>
            </w:pPr>
            <w:r w:rsidRPr="00756D59">
              <w:rPr>
                <w:bCs/>
                <w:sz w:val="20"/>
                <w:szCs w:val="20"/>
                <w:lang w:eastAsia="en-CA"/>
              </w:rPr>
              <w:t>Jun-22</w:t>
            </w:r>
          </w:p>
        </w:tc>
      </w:tr>
      <w:tr w:rsidR="0028399A" w:rsidRPr="00756D59" w14:paraId="486C0FE9" w14:textId="77777777" w:rsidTr="00305D02">
        <w:trPr>
          <w:trHeight w:val="337"/>
        </w:trPr>
        <w:tc>
          <w:tcPr>
            <w:tcW w:w="2261" w:type="dxa"/>
            <w:tcMar>
              <w:left w:w="58" w:type="dxa"/>
              <w:right w:w="58" w:type="dxa"/>
            </w:tcMar>
          </w:tcPr>
          <w:p w14:paraId="6ECFA33D" w14:textId="77777777" w:rsidR="0028399A" w:rsidRPr="00756D59" w:rsidRDefault="0028399A" w:rsidP="00305D02">
            <w:pPr>
              <w:jc w:val="left"/>
              <w:rPr>
                <w:sz w:val="20"/>
                <w:szCs w:val="20"/>
                <w:lang w:eastAsia="en-CA"/>
              </w:rPr>
            </w:pPr>
            <w:r w:rsidRPr="00756D59">
              <w:rPr>
                <w:bCs/>
                <w:sz w:val="20"/>
                <w:szCs w:val="20"/>
                <w:lang w:eastAsia="en-CA"/>
              </w:rPr>
              <w:lastRenderedPageBreak/>
              <w:t>Zambia</w:t>
            </w:r>
            <w:r w:rsidRPr="00756D59">
              <w:rPr>
                <w:sz w:val="20"/>
                <w:szCs w:val="20"/>
                <w:lang w:eastAsia="en-CA"/>
              </w:rPr>
              <w:t xml:space="preserve"> </w:t>
            </w:r>
          </w:p>
          <w:p w14:paraId="2EB63F1E" w14:textId="77777777" w:rsidR="0028399A" w:rsidRPr="00756D59" w:rsidRDefault="0028399A" w:rsidP="00305D02">
            <w:pPr>
              <w:jc w:val="left"/>
              <w:rPr>
                <w:bCs/>
                <w:sz w:val="20"/>
                <w:szCs w:val="20"/>
                <w:lang w:eastAsia="en-CA"/>
              </w:rPr>
            </w:pPr>
            <w:r w:rsidRPr="00756D59">
              <w:rPr>
                <w:sz w:val="20"/>
                <w:szCs w:val="20"/>
                <w:lang w:eastAsia="en-CA"/>
              </w:rPr>
              <w:t>ZAM/SEV/80/TAS/01+</w:t>
            </w:r>
          </w:p>
        </w:tc>
        <w:tc>
          <w:tcPr>
            <w:tcW w:w="3352" w:type="dxa"/>
            <w:tcMar>
              <w:left w:w="58" w:type="dxa"/>
              <w:right w:w="58" w:type="dxa"/>
            </w:tcMar>
          </w:tcPr>
          <w:p w14:paraId="20A0215D"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A2CC0DB"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1EF63C1" w14:textId="77777777" w:rsidR="0028399A" w:rsidRPr="00756D59" w:rsidRDefault="0028399A" w:rsidP="00305D02">
            <w:pPr>
              <w:jc w:val="center"/>
              <w:rPr>
                <w:bCs/>
                <w:sz w:val="20"/>
                <w:szCs w:val="20"/>
                <w:lang w:eastAsia="en-CA"/>
              </w:rPr>
            </w:pPr>
            <w:r w:rsidRPr="00756D59">
              <w:rPr>
                <w:bCs/>
                <w:sz w:val="20"/>
                <w:szCs w:val="20"/>
                <w:lang w:eastAsia="en-CA"/>
              </w:rPr>
              <w:t>89.5</w:t>
            </w:r>
          </w:p>
        </w:tc>
        <w:tc>
          <w:tcPr>
            <w:tcW w:w="4531" w:type="dxa"/>
            <w:tcMar>
              <w:left w:w="58" w:type="dxa"/>
              <w:right w:w="58" w:type="dxa"/>
            </w:tcMar>
          </w:tcPr>
          <w:p w14:paraId="37D2C6EB" w14:textId="77777777" w:rsidR="0028399A" w:rsidRPr="00756D59" w:rsidRDefault="0028399A" w:rsidP="00305D02">
            <w:pPr>
              <w:jc w:val="left"/>
              <w:rPr>
                <w:sz w:val="20"/>
                <w:szCs w:val="20"/>
                <w:lang w:eastAsia="en-CA"/>
              </w:rPr>
            </w:pPr>
            <w:r w:rsidRPr="00756D59">
              <w:rPr>
                <w:sz w:val="20"/>
                <w:szCs w:val="20"/>
                <w:lang w:eastAsia="en-CA"/>
              </w:rPr>
              <w:t>Consumer awareness activities on the adoption of energy efficiency technologies; and information sharing workshops for customs and environmental officers.</w:t>
            </w:r>
          </w:p>
        </w:tc>
        <w:tc>
          <w:tcPr>
            <w:tcW w:w="1629" w:type="dxa"/>
            <w:shd w:val="clear" w:color="auto" w:fill="auto"/>
            <w:tcMar>
              <w:left w:w="58" w:type="dxa"/>
              <w:right w:w="58" w:type="dxa"/>
            </w:tcMar>
          </w:tcPr>
          <w:p w14:paraId="2C25FD1D" w14:textId="77777777" w:rsidR="0028399A" w:rsidRPr="00756D59" w:rsidRDefault="0028399A" w:rsidP="00305D02">
            <w:pPr>
              <w:jc w:val="center"/>
              <w:rPr>
                <w:bCs/>
                <w:sz w:val="20"/>
                <w:szCs w:val="20"/>
                <w:lang w:eastAsia="en-CA"/>
              </w:rPr>
            </w:pPr>
            <w:r w:rsidRPr="00756D59">
              <w:rPr>
                <w:bCs/>
                <w:sz w:val="20"/>
                <w:szCs w:val="20"/>
                <w:lang w:eastAsia="en-CA"/>
              </w:rPr>
              <w:t>Dec-21</w:t>
            </w:r>
          </w:p>
        </w:tc>
      </w:tr>
      <w:tr w:rsidR="0028399A" w:rsidRPr="00756D59" w14:paraId="5AE2B30B" w14:textId="77777777" w:rsidTr="00305D02">
        <w:trPr>
          <w:trHeight w:val="337"/>
        </w:trPr>
        <w:tc>
          <w:tcPr>
            <w:tcW w:w="2261" w:type="dxa"/>
            <w:tcMar>
              <w:left w:w="58" w:type="dxa"/>
              <w:right w:w="58" w:type="dxa"/>
            </w:tcMar>
          </w:tcPr>
          <w:p w14:paraId="74AB3755" w14:textId="77777777" w:rsidR="0028399A" w:rsidRPr="00756D59" w:rsidRDefault="0028399A" w:rsidP="00305D02">
            <w:pPr>
              <w:jc w:val="left"/>
              <w:rPr>
                <w:b/>
              </w:rPr>
            </w:pPr>
            <w:r w:rsidRPr="00756D59">
              <w:rPr>
                <w:b/>
              </w:rPr>
              <w:t>UNIDO</w:t>
            </w:r>
          </w:p>
        </w:tc>
        <w:tc>
          <w:tcPr>
            <w:tcW w:w="3352" w:type="dxa"/>
            <w:tcMar>
              <w:left w:w="58" w:type="dxa"/>
              <w:right w:w="58" w:type="dxa"/>
            </w:tcMar>
          </w:tcPr>
          <w:p w14:paraId="6776A1FA" w14:textId="77777777" w:rsidR="0028399A" w:rsidRPr="00756D59" w:rsidRDefault="0028399A" w:rsidP="00305D02">
            <w:pPr>
              <w:jc w:val="left"/>
              <w:rPr>
                <w:sz w:val="20"/>
                <w:szCs w:val="20"/>
                <w:lang w:eastAsia="en-CA"/>
              </w:rPr>
            </w:pPr>
          </w:p>
        </w:tc>
        <w:tc>
          <w:tcPr>
            <w:tcW w:w="1236" w:type="dxa"/>
            <w:tcMar>
              <w:left w:w="58" w:type="dxa"/>
              <w:right w:w="58" w:type="dxa"/>
            </w:tcMar>
          </w:tcPr>
          <w:p w14:paraId="4D30D574" w14:textId="77777777" w:rsidR="0028399A" w:rsidRPr="00756D59" w:rsidRDefault="0028399A" w:rsidP="00305D02">
            <w:pPr>
              <w:jc w:val="center"/>
              <w:rPr>
                <w:sz w:val="20"/>
                <w:szCs w:val="20"/>
                <w:lang w:eastAsia="en-CA"/>
              </w:rPr>
            </w:pPr>
          </w:p>
        </w:tc>
        <w:tc>
          <w:tcPr>
            <w:tcW w:w="1305" w:type="dxa"/>
            <w:shd w:val="clear" w:color="auto" w:fill="auto"/>
            <w:tcMar>
              <w:left w:w="58" w:type="dxa"/>
              <w:right w:w="58" w:type="dxa"/>
            </w:tcMar>
          </w:tcPr>
          <w:p w14:paraId="6579909D" w14:textId="77777777" w:rsidR="0028399A" w:rsidRPr="00756D59" w:rsidRDefault="0028399A" w:rsidP="00305D02">
            <w:pPr>
              <w:jc w:val="center"/>
              <w:rPr>
                <w:bCs/>
                <w:sz w:val="20"/>
                <w:szCs w:val="20"/>
                <w:lang w:eastAsia="en-CA"/>
              </w:rPr>
            </w:pPr>
          </w:p>
        </w:tc>
        <w:tc>
          <w:tcPr>
            <w:tcW w:w="4531" w:type="dxa"/>
            <w:tcMar>
              <w:left w:w="58" w:type="dxa"/>
              <w:right w:w="58" w:type="dxa"/>
            </w:tcMar>
          </w:tcPr>
          <w:p w14:paraId="03ADD033" w14:textId="77777777" w:rsidR="0028399A" w:rsidRPr="00756D59" w:rsidRDefault="0028399A" w:rsidP="00305D02">
            <w:pPr>
              <w:jc w:val="left"/>
              <w:rPr>
                <w:sz w:val="20"/>
                <w:szCs w:val="20"/>
                <w:lang w:eastAsia="en-CA"/>
              </w:rPr>
            </w:pPr>
          </w:p>
        </w:tc>
        <w:tc>
          <w:tcPr>
            <w:tcW w:w="1629" w:type="dxa"/>
            <w:shd w:val="clear" w:color="auto" w:fill="auto"/>
            <w:tcMar>
              <w:left w:w="58" w:type="dxa"/>
              <w:right w:w="58" w:type="dxa"/>
            </w:tcMar>
          </w:tcPr>
          <w:p w14:paraId="3E18DCFD" w14:textId="77777777" w:rsidR="0028399A" w:rsidRPr="00756D59" w:rsidRDefault="0028399A" w:rsidP="00305D02">
            <w:pPr>
              <w:jc w:val="center"/>
              <w:rPr>
                <w:bCs/>
                <w:sz w:val="20"/>
                <w:szCs w:val="20"/>
                <w:lang w:eastAsia="en-CA"/>
              </w:rPr>
            </w:pPr>
          </w:p>
        </w:tc>
      </w:tr>
      <w:tr w:rsidR="0028399A" w:rsidRPr="00756D59" w14:paraId="649CCB47" w14:textId="77777777" w:rsidTr="00305D02">
        <w:trPr>
          <w:trHeight w:val="337"/>
        </w:trPr>
        <w:tc>
          <w:tcPr>
            <w:tcW w:w="2261" w:type="dxa"/>
            <w:tcMar>
              <w:left w:w="58" w:type="dxa"/>
              <w:right w:w="58" w:type="dxa"/>
            </w:tcMar>
          </w:tcPr>
          <w:p w14:paraId="45FBA4BB" w14:textId="77777777" w:rsidR="0028399A" w:rsidRPr="00756D59" w:rsidRDefault="0028399A" w:rsidP="00305D02">
            <w:pPr>
              <w:jc w:val="left"/>
              <w:rPr>
                <w:sz w:val="20"/>
                <w:szCs w:val="20"/>
                <w:lang w:eastAsia="en-CA"/>
              </w:rPr>
            </w:pPr>
            <w:r w:rsidRPr="00756D59">
              <w:rPr>
                <w:sz w:val="20"/>
                <w:szCs w:val="20"/>
                <w:lang w:eastAsia="en-CA"/>
              </w:rPr>
              <w:t>Argentina</w:t>
            </w:r>
          </w:p>
          <w:p w14:paraId="61EB7DD0" w14:textId="77777777" w:rsidR="0028399A" w:rsidRPr="00756D59" w:rsidRDefault="0028399A" w:rsidP="00305D02">
            <w:pPr>
              <w:jc w:val="left"/>
              <w:rPr>
                <w:bCs/>
                <w:sz w:val="20"/>
                <w:szCs w:val="20"/>
                <w:lang w:eastAsia="en-CA"/>
              </w:rPr>
            </w:pPr>
            <w:r w:rsidRPr="00756D59">
              <w:rPr>
                <w:sz w:val="20"/>
                <w:szCs w:val="20"/>
                <w:lang w:eastAsia="en-CA"/>
              </w:rPr>
              <w:t>ARG/SEV/81/TAS/02+</w:t>
            </w:r>
          </w:p>
        </w:tc>
        <w:tc>
          <w:tcPr>
            <w:tcW w:w="3352" w:type="dxa"/>
            <w:tcMar>
              <w:left w:w="58" w:type="dxa"/>
              <w:right w:w="58" w:type="dxa"/>
            </w:tcMar>
          </w:tcPr>
          <w:p w14:paraId="22467346"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3C10EB0"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05D29A4" w14:textId="77777777" w:rsidR="0028399A" w:rsidRPr="00756D59" w:rsidRDefault="0028399A" w:rsidP="00305D02">
            <w:pPr>
              <w:jc w:val="center"/>
              <w:rPr>
                <w:bCs/>
                <w:sz w:val="20"/>
                <w:szCs w:val="20"/>
                <w:lang w:eastAsia="en-CA"/>
              </w:rPr>
            </w:pPr>
            <w:r w:rsidRPr="00756D59">
              <w:rPr>
                <w:sz w:val="20"/>
                <w:szCs w:val="20"/>
                <w:lang w:eastAsia="en-CA"/>
              </w:rPr>
              <w:t>43.2</w:t>
            </w:r>
          </w:p>
        </w:tc>
        <w:tc>
          <w:tcPr>
            <w:tcW w:w="4531" w:type="dxa"/>
            <w:tcMar>
              <w:left w:w="58" w:type="dxa"/>
              <w:right w:w="58" w:type="dxa"/>
            </w:tcMar>
          </w:tcPr>
          <w:p w14:paraId="311338CB" w14:textId="77777777" w:rsidR="0028399A" w:rsidRPr="00756D59" w:rsidRDefault="0028399A" w:rsidP="00305D02">
            <w:pPr>
              <w:jc w:val="left"/>
              <w:rPr>
                <w:sz w:val="20"/>
                <w:szCs w:val="20"/>
                <w:lang w:eastAsia="en-CA"/>
              </w:rPr>
            </w:pPr>
            <w:r w:rsidRPr="00756D59">
              <w:rPr>
                <w:sz w:val="20"/>
                <w:szCs w:val="20"/>
                <w:lang w:eastAsia="en-CA"/>
              </w:rPr>
              <w:t>Finalization of key strategy documents, including the ‘</w:t>
            </w:r>
            <w:r w:rsidRPr="00756D59">
              <w:rPr>
                <w:i/>
                <w:iCs/>
                <w:sz w:val="20"/>
                <w:szCs w:val="20"/>
                <w:lang w:eastAsia="en-CA"/>
              </w:rPr>
              <w:t>Assessment on national existing capacities on HFC control and linkages identified with climate change programmes</w:t>
            </w:r>
            <w:r w:rsidRPr="00756D59">
              <w:rPr>
                <w:sz w:val="20"/>
                <w:szCs w:val="20"/>
                <w:lang w:eastAsia="en-CA"/>
              </w:rPr>
              <w:t>', '</w:t>
            </w:r>
            <w:r w:rsidRPr="00756D59">
              <w:rPr>
                <w:i/>
                <w:iCs/>
                <w:sz w:val="20"/>
                <w:szCs w:val="20"/>
                <w:lang w:eastAsia="en-CA"/>
              </w:rPr>
              <w:t>Map of national legal and regulatory instruments on HFC control</w:t>
            </w:r>
            <w:r w:rsidRPr="00756D59">
              <w:rPr>
                <w:sz w:val="20"/>
                <w:szCs w:val="20"/>
                <w:lang w:eastAsia="en-CA"/>
              </w:rPr>
              <w:t>' and the '</w:t>
            </w:r>
            <w:r w:rsidRPr="00756D59">
              <w:rPr>
                <w:i/>
                <w:iCs/>
                <w:sz w:val="20"/>
                <w:szCs w:val="20"/>
                <w:lang w:eastAsia="en-CA"/>
              </w:rPr>
              <w:t>Training programme for customs and environment officers</w:t>
            </w:r>
            <w:r w:rsidRPr="00756D59">
              <w:rPr>
                <w:sz w:val="20"/>
                <w:szCs w:val="20"/>
                <w:lang w:eastAsia="en-CA"/>
              </w:rPr>
              <w:t>’; dissemination of relevant guidelines and reports to key stakeholders; and the completion of remaining awareness raising activities keeping in view COVID</w:t>
            </w:r>
            <w:r w:rsidRPr="00756D59">
              <w:rPr>
                <w:sz w:val="20"/>
                <w:szCs w:val="20"/>
                <w:lang w:eastAsia="en-CA"/>
              </w:rPr>
              <w:noBreakHyphen/>
              <w:t>19 constraints.</w:t>
            </w:r>
          </w:p>
        </w:tc>
        <w:tc>
          <w:tcPr>
            <w:tcW w:w="1629" w:type="dxa"/>
            <w:shd w:val="clear" w:color="auto" w:fill="auto"/>
            <w:tcMar>
              <w:left w:w="58" w:type="dxa"/>
              <w:right w:w="58" w:type="dxa"/>
            </w:tcMar>
          </w:tcPr>
          <w:p w14:paraId="497690C6" w14:textId="77777777" w:rsidR="0028399A" w:rsidRPr="00756D59" w:rsidRDefault="0028399A" w:rsidP="00305D02">
            <w:pPr>
              <w:jc w:val="center"/>
              <w:rPr>
                <w:bCs/>
                <w:sz w:val="20"/>
                <w:szCs w:val="20"/>
                <w:lang w:eastAsia="en-CA"/>
              </w:rPr>
            </w:pPr>
            <w:r w:rsidRPr="00756D59">
              <w:rPr>
                <w:sz w:val="20"/>
                <w:szCs w:val="20"/>
                <w:lang w:eastAsia="en-CA"/>
              </w:rPr>
              <w:t>Jun-22</w:t>
            </w:r>
          </w:p>
        </w:tc>
      </w:tr>
      <w:tr w:rsidR="0028399A" w:rsidRPr="00756D59" w14:paraId="2B210488" w14:textId="77777777" w:rsidTr="00305D02">
        <w:trPr>
          <w:trHeight w:val="337"/>
        </w:trPr>
        <w:tc>
          <w:tcPr>
            <w:tcW w:w="2261" w:type="dxa"/>
            <w:tcMar>
              <w:left w:w="58" w:type="dxa"/>
              <w:right w:w="58" w:type="dxa"/>
            </w:tcMar>
          </w:tcPr>
          <w:p w14:paraId="6E2F4A57" w14:textId="77777777" w:rsidR="0028399A" w:rsidRPr="00756D59" w:rsidRDefault="0028399A" w:rsidP="00305D02">
            <w:pPr>
              <w:jc w:val="left"/>
              <w:rPr>
                <w:sz w:val="20"/>
                <w:szCs w:val="20"/>
                <w:lang w:eastAsia="en-CA"/>
              </w:rPr>
            </w:pPr>
            <w:r w:rsidRPr="00756D59">
              <w:rPr>
                <w:sz w:val="20"/>
                <w:szCs w:val="20"/>
                <w:lang w:eastAsia="en-CA"/>
              </w:rPr>
              <w:t>Argentina</w:t>
            </w:r>
          </w:p>
          <w:p w14:paraId="2743ECDC" w14:textId="77777777" w:rsidR="0028399A" w:rsidRPr="00756D59" w:rsidRDefault="0028399A" w:rsidP="00305D02">
            <w:pPr>
              <w:jc w:val="left"/>
              <w:rPr>
                <w:bCs/>
                <w:sz w:val="20"/>
                <w:szCs w:val="20"/>
                <w:lang w:eastAsia="en-CA"/>
              </w:rPr>
            </w:pPr>
            <w:r w:rsidRPr="00756D59">
              <w:rPr>
                <w:sz w:val="20"/>
                <w:szCs w:val="20"/>
                <w:lang w:eastAsia="en-CA"/>
              </w:rPr>
              <w:t>ARG/REF/81/INV/01+</w:t>
            </w:r>
          </w:p>
        </w:tc>
        <w:tc>
          <w:tcPr>
            <w:tcW w:w="3352" w:type="dxa"/>
            <w:tcMar>
              <w:left w:w="58" w:type="dxa"/>
              <w:right w:w="58" w:type="dxa"/>
            </w:tcMar>
          </w:tcPr>
          <w:p w14:paraId="73E27422" w14:textId="77777777" w:rsidR="0028399A" w:rsidRPr="00756D59" w:rsidRDefault="0028399A" w:rsidP="00305D02">
            <w:pPr>
              <w:jc w:val="left"/>
              <w:rPr>
                <w:sz w:val="20"/>
                <w:szCs w:val="20"/>
                <w:lang w:eastAsia="en-CA"/>
              </w:rPr>
            </w:pPr>
            <w:r w:rsidRPr="00756D59">
              <w:rPr>
                <w:sz w:val="20"/>
                <w:szCs w:val="20"/>
                <w:lang w:eastAsia="en-CA"/>
              </w:rPr>
              <w:t>Conversion project for replacement of HFC-134a with isobutane (R</w:t>
            </w:r>
            <w:r w:rsidRPr="00756D59">
              <w:rPr>
                <w:sz w:val="20"/>
                <w:szCs w:val="20"/>
                <w:lang w:eastAsia="en-CA"/>
              </w:rPr>
              <w:noBreakHyphen/>
              <w:t>600a)/propane (R</w:t>
            </w:r>
            <w:r w:rsidRPr="00756D59">
              <w:rPr>
                <w:sz w:val="20"/>
                <w:szCs w:val="20"/>
                <w:lang w:eastAsia="en-CA"/>
              </w:rPr>
              <w:noBreakHyphen/>
              <w:t xml:space="preserve">290)-based refrigerant in the manufacture of domestic and commercial refrigeration equipment  at </w:t>
            </w:r>
            <w:proofErr w:type="spellStart"/>
            <w:r w:rsidRPr="00756D59">
              <w:rPr>
                <w:sz w:val="20"/>
                <w:szCs w:val="20"/>
                <w:lang w:eastAsia="en-CA"/>
              </w:rPr>
              <w:t>Briket</w:t>
            </w:r>
            <w:proofErr w:type="spellEnd"/>
            <w:r w:rsidRPr="00756D59">
              <w:rPr>
                <w:sz w:val="20"/>
                <w:szCs w:val="20"/>
                <w:lang w:eastAsia="en-CA"/>
              </w:rPr>
              <w:t xml:space="preserve">, Bambi and </w:t>
            </w:r>
            <w:proofErr w:type="spellStart"/>
            <w:r w:rsidRPr="00756D59">
              <w:rPr>
                <w:sz w:val="20"/>
                <w:szCs w:val="20"/>
                <w:lang w:eastAsia="en-CA"/>
              </w:rPr>
              <w:t>Mabe-Kronen</w:t>
            </w:r>
            <w:proofErr w:type="spellEnd"/>
          </w:p>
        </w:tc>
        <w:tc>
          <w:tcPr>
            <w:tcW w:w="1236" w:type="dxa"/>
            <w:tcMar>
              <w:left w:w="58" w:type="dxa"/>
              <w:right w:w="58" w:type="dxa"/>
            </w:tcMar>
          </w:tcPr>
          <w:p w14:paraId="518E2FBE"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6CA5B5F" w14:textId="77777777" w:rsidR="0028399A" w:rsidRPr="00756D59" w:rsidRDefault="0028399A" w:rsidP="00305D02">
            <w:pPr>
              <w:jc w:val="center"/>
              <w:rPr>
                <w:bCs/>
                <w:sz w:val="20"/>
                <w:szCs w:val="20"/>
                <w:lang w:eastAsia="en-CA"/>
              </w:rPr>
            </w:pPr>
            <w:r w:rsidRPr="00756D59">
              <w:rPr>
                <w:sz w:val="20"/>
                <w:szCs w:val="20"/>
                <w:lang w:eastAsia="en-CA"/>
              </w:rPr>
              <w:t>58.2</w:t>
            </w:r>
          </w:p>
        </w:tc>
        <w:tc>
          <w:tcPr>
            <w:tcW w:w="4531" w:type="dxa"/>
            <w:tcMar>
              <w:left w:w="58" w:type="dxa"/>
              <w:right w:w="58" w:type="dxa"/>
            </w:tcMar>
          </w:tcPr>
          <w:p w14:paraId="2C203310" w14:textId="77777777" w:rsidR="0028399A" w:rsidRPr="00756D59" w:rsidRDefault="0028399A" w:rsidP="00305D02">
            <w:pPr>
              <w:jc w:val="left"/>
              <w:rPr>
                <w:sz w:val="20"/>
                <w:szCs w:val="20"/>
                <w:lang w:eastAsia="en-CA"/>
              </w:rPr>
            </w:pPr>
            <w:r w:rsidRPr="00756D59">
              <w:rPr>
                <w:sz w:val="20"/>
                <w:szCs w:val="20"/>
                <w:lang w:eastAsia="en-CA"/>
              </w:rPr>
              <w:t>Installation, commissioning including safety verification; and training at the three enterprises.</w:t>
            </w:r>
          </w:p>
        </w:tc>
        <w:tc>
          <w:tcPr>
            <w:tcW w:w="1629" w:type="dxa"/>
            <w:shd w:val="clear" w:color="auto" w:fill="auto"/>
            <w:tcMar>
              <w:left w:w="58" w:type="dxa"/>
              <w:right w:w="58" w:type="dxa"/>
            </w:tcMar>
          </w:tcPr>
          <w:p w14:paraId="6A53C7B3" w14:textId="77777777" w:rsidR="0028399A" w:rsidRPr="00756D59" w:rsidRDefault="0028399A" w:rsidP="00305D02">
            <w:pPr>
              <w:jc w:val="center"/>
              <w:rPr>
                <w:bCs/>
                <w:sz w:val="20"/>
                <w:szCs w:val="20"/>
                <w:lang w:eastAsia="en-CA"/>
              </w:rPr>
            </w:pPr>
            <w:r w:rsidRPr="00756D59">
              <w:rPr>
                <w:sz w:val="20"/>
                <w:szCs w:val="20"/>
                <w:lang w:eastAsia="en-CA"/>
              </w:rPr>
              <w:t>Jan-22</w:t>
            </w:r>
          </w:p>
        </w:tc>
      </w:tr>
      <w:tr w:rsidR="0028399A" w:rsidRPr="00756D59" w14:paraId="026BAAE1" w14:textId="77777777" w:rsidTr="00305D02">
        <w:trPr>
          <w:trHeight w:val="337"/>
        </w:trPr>
        <w:tc>
          <w:tcPr>
            <w:tcW w:w="2261" w:type="dxa"/>
            <w:tcMar>
              <w:left w:w="58" w:type="dxa"/>
              <w:right w:w="58" w:type="dxa"/>
            </w:tcMar>
          </w:tcPr>
          <w:p w14:paraId="2CB79B77" w14:textId="77777777" w:rsidR="0028399A" w:rsidRPr="00756D59" w:rsidRDefault="0028399A" w:rsidP="00305D02">
            <w:pPr>
              <w:jc w:val="left"/>
              <w:rPr>
                <w:sz w:val="20"/>
                <w:szCs w:val="20"/>
                <w:lang w:eastAsia="en-CA"/>
              </w:rPr>
            </w:pPr>
            <w:r w:rsidRPr="00756D59">
              <w:rPr>
                <w:sz w:val="20"/>
                <w:szCs w:val="20"/>
                <w:lang w:eastAsia="en-CA"/>
              </w:rPr>
              <w:t>Chile</w:t>
            </w:r>
          </w:p>
          <w:p w14:paraId="1AD3F7B4" w14:textId="77777777" w:rsidR="0028399A" w:rsidRPr="00756D59" w:rsidRDefault="0028399A" w:rsidP="00305D02">
            <w:pPr>
              <w:jc w:val="left"/>
              <w:rPr>
                <w:bCs/>
                <w:sz w:val="20"/>
                <w:szCs w:val="20"/>
                <w:lang w:eastAsia="en-CA"/>
              </w:rPr>
            </w:pPr>
            <w:r w:rsidRPr="00756D59">
              <w:rPr>
                <w:sz w:val="20"/>
                <w:szCs w:val="20"/>
                <w:lang w:eastAsia="en-CA"/>
              </w:rPr>
              <w:t>CHI/SEV/80/TAS/02+</w:t>
            </w:r>
          </w:p>
        </w:tc>
        <w:tc>
          <w:tcPr>
            <w:tcW w:w="3352" w:type="dxa"/>
            <w:tcMar>
              <w:left w:w="58" w:type="dxa"/>
              <w:right w:w="58" w:type="dxa"/>
            </w:tcMar>
          </w:tcPr>
          <w:p w14:paraId="50D27534"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4E72A4D"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34EA0B8" w14:textId="77777777" w:rsidR="0028399A" w:rsidRPr="00756D59" w:rsidRDefault="0028399A" w:rsidP="00305D02">
            <w:pPr>
              <w:jc w:val="center"/>
              <w:rPr>
                <w:bCs/>
                <w:sz w:val="20"/>
                <w:szCs w:val="20"/>
                <w:lang w:eastAsia="en-CA"/>
              </w:rPr>
            </w:pPr>
            <w:r w:rsidRPr="00756D59">
              <w:rPr>
                <w:sz w:val="20"/>
                <w:szCs w:val="20"/>
                <w:lang w:eastAsia="en-CA"/>
              </w:rPr>
              <w:t>25</w:t>
            </w:r>
          </w:p>
        </w:tc>
        <w:tc>
          <w:tcPr>
            <w:tcW w:w="4531" w:type="dxa"/>
            <w:tcMar>
              <w:left w:w="58" w:type="dxa"/>
              <w:right w:w="58" w:type="dxa"/>
            </w:tcMar>
          </w:tcPr>
          <w:p w14:paraId="1A787708" w14:textId="77777777" w:rsidR="0028399A" w:rsidRPr="00756D59" w:rsidRDefault="0028399A" w:rsidP="00305D02">
            <w:pPr>
              <w:jc w:val="left"/>
              <w:rPr>
                <w:sz w:val="20"/>
                <w:szCs w:val="20"/>
                <w:lang w:eastAsia="en-CA"/>
              </w:rPr>
            </w:pPr>
            <w:r w:rsidRPr="00756D59">
              <w:rPr>
                <w:sz w:val="20"/>
                <w:szCs w:val="20"/>
                <w:lang w:eastAsia="en-CA"/>
              </w:rPr>
              <w:t>Training for the NOU and relevant sectorial stakeholders on HFC policies, energy efficiency aspects for RAC equipment, safety in the handling of flammable alternatives and personnel certification scheme for handling flammable refrigerants.</w:t>
            </w:r>
          </w:p>
        </w:tc>
        <w:tc>
          <w:tcPr>
            <w:tcW w:w="1629" w:type="dxa"/>
            <w:shd w:val="clear" w:color="auto" w:fill="auto"/>
            <w:tcMar>
              <w:left w:w="58" w:type="dxa"/>
              <w:right w:w="58" w:type="dxa"/>
            </w:tcMar>
          </w:tcPr>
          <w:p w14:paraId="1A7B2CA0" w14:textId="77777777" w:rsidR="0028399A" w:rsidRPr="00756D59" w:rsidRDefault="0028399A" w:rsidP="00305D02">
            <w:pPr>
              <w:jc w:val="center"/>
              <w:rPr>
                <w:bCs/>
                <w:sz w:val="20"/>
                <w:szCs w:val="20"/>
                <w:lang w:eastAsia="en-CA"/>
              </w:rPr>
            </w:pPr>
            <w:r w:rsidRPr="00756D59">
              <w:rPr>
                <w:sz w:val="20"/>
                <w:szCs w:val="20"/>
                <w:lang w:eastAsia="en-CA"/>
              </w:rPr>
              <w:t>Dec-21</w:t>
            </w:r>
          </w:p>
        </w:tc>
      </w:tr>
      <w:tr w:rsidR="0028399A" w:rsidRPr="00756D59" w14:paraId="20982006" w14:textId="77777777" w:rsidTr="00305D02">
        <w:trPr>
          <w:trHeight w:val="337"/>
        </w:trPr>
        <w:tc>
          <w:tcPr>
            <w:tcW w:w="2261" w:type="dxa"/>
            <w:tcMar>
              <w:left w:w="58" w:type="dxa"/>
              <w:right w:w="58" w:type="dxa"/>
            </w:tcMar>
          </w:tcPr>
          <w:p w14:paraId="7787286A" w14:textId="77777777" w:rsidR="0028399A" w:rsidRPr="00756D59" w:rsidRDefault="0028399A" w:rsidP="00305D02">
            <w:pPr>
              <w:jc w:val="left"/>
              <w:rPr>
                <w:color w:val="000000"/>
                <w:sz w:val="20"/>
                <w:szCs w:val="20"/>
                <w:lang w:eastAsia="en-CA"/>
              </w:rPr>
            </w:pPr>
            <w:r w:rsidRPr="00756D59">
              <w:rPr>
                <w:color w:val="000000"/>
                <w:sz w:val="20"/>
                <w:szCs w:val="20"/>
                <w:lang w:eastAsia="en-CA"/>
              </w:rPr>
              <w:t>Congo (the)</w:t>
            </w:r>
          </w:p>
          <w:p w14:paraId="172670EF" w14:textId="77777777" w:rsidR="0028399A" w:rsidRPr="00756D59" w:rsidRDefault="0028399A" w:rsidP="00305D02">
            <w:pPr>
              <w:jc w:val="left"/>
              <w:rPr>
                <w:bCs/>
                <w:sz w:val="20"/>
                <w:szCs w:val="20"/>
                <w:lang w:eastAsia="en-CA"/>
              </w:rPr>
            </w:pPr>
            <w:r w:rsidRPr="00756D59">
              <w:rPr>
                <w:color w:val="000000"/>
                <w:sz w:val="20"/>
                <w:szCs w:val="20"/>
                <w:lang w:eastAsia="en-CA"/>
              </w:rPr>
              <w:t>PRC/SEV/80/TAS/01+</w:t>
            </w:r>
          </w:p>
        </w:tc>
        <w:tc>
          <w:tcPr>
            <w:tcW w:w="3352" w:type="dxa"/>
            <w:tcMar>
              <w:left w:w="58" w:type="dxa"/>
              <w:right w:w="58" w:type="dxa"/>
            </w:tcMar>
          </w:tcPr>
          <w:p w14:paraId="38C74622" w14:textId="77777777" w:rsidR="0028399A" w:rsidRPr="00756D59" w:rsidRDefault="0028399A" w:rsidP="00305D02">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4FDA60DD" w14:textId="77777777" w:rsidR="0028399A" w:rsidRPr="00756D59" w:rsidRDefault="0028399A" w:rsidP="00305D02">
            <w:pPr>
              <w:jc w:val="center"/>
              <w:rPr>
                <w:sz w:val="20"/>
                <w:szCs w:val="20"/>
                <w:lang w:eastAsia="en-CA"/>
              </w:rPr>
            </w:pPr>
            <w:r w:rsidRPr="00756D59">
              <w:rPr>
                <w:color w:val="000000"/>
                <w:sz w:val="20"/>
                <w:szCs w:val="20"/>
                <w:lang w:eastAsia="en-CA"/>
              </w:rPr>
              <w:t>Nov-17</w:t>
            </w:r>
          </w:p>
        </w:tc>
        <w:tc>
          <w:tcPr>
            <w:tcW w:w="1305" w:type="dxa"/>
            <w:shd w:val="clear" w:color="auto" w:fill="auto"/>
            <w:tcMar>
              <w:left w:w="58" w:type="dxa"/>
              <w:right w:w="58" w:type="dxa"/>
            </w:tcMar>
          </w:tcPr>
          <w:p w14:paraId="07C2E850" w14:textId="77777777" w:rsidR="0028399A" w:rsidRPr="00756D59" w:rsidRDefault="0028399A" w:rsidP="00305D02">
            <w:pPr>
              <w:jc w:val="center"/>
              <w:rPr>
                <w:bCs/>
                <w:sz w:val="20"/>
                <w:szCs w:val="20"/>
                <w:lang w:eastAsia="en-CA"/>
              </w:rPr>
            </w:pPr>
            <w:r w:rsidRPr="00756D59">
              <w:rPr>
                <w:color w:val="000000"/>
                <w:sz w:val="20"/>
                <w:szCs w:val="20"/>
                <w:lang w:eastAsia="en-CA"/>
              </w:rPr>
              <w:t>73.3</w:t>
            </w:r>
          </w:p>
        </w:tc>
        <w:tc>
          <w:tcPr>
            <w:tcW w:w="4531" w:type="dxa"/>
            <w:tcMar>
              <w:left w:w="58" w:type="dxa"/>
              <w:right w:w="58" w:type="dxa"/>
            </w:tcMar>
          </w:tcPr>
          <w:p w14:paraId="5B56F95C" w14:textId="77777777" w:rsidR="0028399A" w:rsidRPr="00756D59" w:rsidRDefault="0028399A" w:rsidP="00305D02">
            <w:pPr>
              <w:jc w:val="left"/>
              <w:rPr>
                <w:sz w:val="20"/>
                <w:szCs w:val="20"/>
                <w:lang w:eastAsia="en-CA"/>
              </w:rPr>
            </w:pPr>
            <w:r w:rsidRPr="00756D59">
              <w:rPr>
                <w:color w:val="000000"/>
                <w:sz w:val="20"/>
                <w:szCs w:val="20"/>
                <w:lang w:eastAsia="en-CA"/>
              </w:rPr>
              <w:t>Follow up on final steps relating to ratification; awareness raising relating to Kigali Amendment matters; and technical and administrative support for completing the pending activities.</w:t>
            </w:r>
          </w:p>
        </w:tc>
        <w:tc>
          <w:tcPr>
            <w:tcW w:w="1629" w:type="dxa"/>
            <w:shd w:val="clear" w:color="auto" w:fill="auto"/>
            <w:tcMar>
              <w:left w:w="58" w:type="dxa"/>
              <w:right w:w="58" w:type="dxa"/>
            </w:tcMar>
          </w:tcPr>
          <w:p w14:paraId="32A93662" w14:textId="77777777" w:rsidR="0028399A" w:rsidRPr="00756D59" w:rsidRDefault="0028399A" w:rsidP="00305D02">
            <w:pPr>
              <w:jc w:val="center"/>
              <w:rPr>
                <w:bCs/>
                <w:sz w:val="20"/>
                <w:szCs w:val="20"/>
                <w:lang w:eastAsia="en-CA"/>
              </w:rPr>
            </w:pPr>
            <w:r w:rsidRPr="00756D59">
              <w:rPr>
                <w:color w:val="000000"/>
                <w:sz w:val="20"/>
                <w:szCs w:val="20"/>
                <w:lang w:eastAsia="en-CA"/>
              </w:rPr>
              <w:t>Dec-21</w:t>
            </w:r>
          </w:p>
        </w:tc>
      </w:tr>
      <w:tr w:rsidR="0028399A" w:rsidRPr="00756D59" w14:paraId="485F0C95" w14:textId="77777777" w:rsidTr="00305D02">
        <w:trPr>
          <w:trHeight w:val="337"/>
        </w:trPr>
        <w:tc>
          <w:tcPr>
            <w:tcW w:w="2261" w:type="dxa"/>
            <w:tcMar>
              <w:left w:w="58" w:type="dxa"/>
              <w:right w:w="58" w:type="dxa"/>
            </w:tcMar>
          </w:tcPr>
          <w:p w14:paraId="07115888" w14:textId="77777777" w:rsidR="0028399A" w:rsidRPr="00756D59" w:rsidRDefault="0028399A" w:rsidP="00305D02">
            <w:pPr>
              <w:jc w:val="left"/>
              <w:rPr>
                <w:color w:val="000000"/>
                <w:sz w:val="20"/>
                <w:szCs w:val="20"/>
                <w:lang w:eastAsia="en-CA"/>
              </w:rPr>
            </w:pPr>
            <w:r w:rsidRPr="00756D59">
              <w:rPr>
                <w:color w:val="000000"/>
                <w:sz w:val="20"/>
                <w:szCs w:val="20"/>
                <w:lang w:eastAsia="en-CA"/>
              </w:rPr>
              <w:t>Egypt</w:t>
            </w:r>
          </w:p>
          <w:p w14:paraId="3F7DFE6C" w14:textId="77777777" w:rsidR="0028399A" w:rsidRPr="00756D59" w:rsidRDefault="0028399A" w:rsidP="00305D02">
            <w:pPr>
              <w:jc w:val="left"/>
              <w:rPr>
                <w:bCs/>
                <w:sz w:val="20"/>
                <w:szCs w:val="20"/>
                <w:lang w:eastAsia="en-CA"/>
              </w:rPr>
            </w:pPr>
            <w:r w:rsidRPr="00756D59">
              <w:rPr>
                <w:color w:val="000000"/>
                <w:sz w:val="20"/>
                <w:szCs w:val="20"/>
                <w:lang w:eastAsia="en-CA"/>
              </w:rPr>
              <w:t>EGY/SEV/81/TAS/02+</w:t>
            </w:r>
          </w:p>
        </w:tc>
        <w:tc>
          <w:tcPr>
            <w:tcW w:w="3352" w:type="dxa"/>
            <w:tcMar>
              <w:left w:w="58" w:type="dxa"/>
              <w:right w:w="58" w:type="dxa"/>
            </w:tcMar>
          </w:tcPr>
          <w:p w14:paraId="5F9644BB" w14:textId="77777777" w:rsidR="0028399A" w:rsidRPr="00756D59" w:rsidRDefault="0028399A" w:rsidP="00305D02">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22D7AF6C" w14:textId="77777777" w:rsidR="0028399A" w:rsidRPr="00756D59" w:rsidRDefault="0028399A" w:rsidP="00305D02">
            <w:pPr>
              <w:jc w:val="center"/>
              <w:rPr>
                <w:sz w:val="20"/>
                <w:szCs w:val="20"/>
                <w:lang w:eastAsia="en-CA"/>
              </w:rPr>
            </w:pPr>
            <w:r w:rsidRPr="00756D59">
              <w:rPr>
                <w:color w:val="000000"/>
                <w:sz w:val="20"/>
                <w:szCs w:val="20"/>
                <w:lang w:eastAsia="en-CA"/>
              </w:rPr>
              <w:t>Jun-18</w:t>
            </w:r>
          </w:p>
        </w:tc>
        <w:tc>
          <w:tcPr>
            <w:tcW w:w="1305" w:type="dxa"/>
            <w:shd w:val="clear" w:color="auto" w:fill="auto"/>
            <w:tcMar>
              <w:left w:w="58" w:type="dxa"/>
              <w:right w:w="58" w:type="dxa"/>
            </w:tcMar>
          </w:tcPr>
          <w:p w14:paraId="477194E1" w14:textId="77777777" w:rsidR="0028399A" w:rsidRPr="00756D59" w:rsidRDefault="0028399A" w:rsidP="00305D02">
            <w:pPr>
              <w:jc w:val="center"/>
              <w:rPr>
                <w:bCs/>
                <w:sz w:val="20"/>
                <w:szCs w:val="20"/>
                <w:lang w:eastAsia="en-CA"/>
              </w:rPr>
            </w:pPr>
            <w:r w:rsidRPr="00756D59">
              <w:rPr>
                <w:color w:val="000000"/>
                <w:sz w:val="20"/>
                <w:szCs w:val="20"/>
                <w:lang w:eastAsia="en-CA"/>
              </w:rPr>
              <w:t>24.9</w:t>
            </w:r>
          </w:p>
        </w:tc>
        <w:tc>
          <w:tcPr>
            <w:tcW w:w="4531" w:type="dxa"/>
            <w:tcMar>
              <w:left w:w="58" w:type="dxa"/>
              <w:right w:w="58" w:type="dxa"/>
            </w:tcMar>
          </w:tcPr>
          <w:p w14:paraId="6B6962FD" w14:textId="77777777" w:rsidR="0028399A" w:rsidRPr="00756D59" w:rsidRDefault="0028399A" w:rsidP="00305D02">
            <w:pPr>
              <w:jc w:val="left"/>
              <w:rPr>
                <w:sz w:val="20"/>
                <w:szCs w:val="20"/>
                <w:lang w:eastAsia="en-CA"/>
              </w:rPr>
            </w:pPr>
            <w:r w:rsidRPr="00756D59">
              <w:rPr>
                <w:color w:val="000000"/>
                <w:sz w:val="20"/>
                <w:szCs w:val="20"/>
                <w:lang w:eastAsia="en-CA"/>
              </w:rPr>
              <w:t xml:space="preserve">Analysis of existing ozone and climate policy/legislation; and drafting the amendments to the existing legislation to allow for ratification of the Kigali Amendment; preparing the package on the ratification of Kigali Amendment; and undertaking the </w:t>
            </w:r>
            <w:r w:rsidRPr="00756D59">
              <w:rPr>
                <w:color w:val="000000"/>
                <w:sz w:val="20"/>
                <w:szCs w:val="20"/>
                <w:lang w:eastAsia="en-CA"/>
              </w:rPr>
              <w:lastRenderedPageBreak/>
              <w:t>training needs assessment for the servicing sector and preparing an assessment report.</w:t>
            </w:r>
          </w:p>
        </w:tc>
        <w:tc>
          <w:tcPr>
            <w:tcW w:w="1629" w:type="dxa"/>
            <w:shd w:val="clear" w:color="auto" w:fill="auto"/>
            <w:tcMar>
              <w:left w:w="58" w:type="dxa"/>
              <w:right w:w="58" w:type="dxa"/>
            </w:tcMar>
          </w:tcPr>
          <w:p w14:paraId="4507694A" w14:textId="77777777" w:rsidR="0028399A" w:rsidRPr="00756D59" w:rsidRDefault="0028399A" w:rsidP="00305D02">
            <w:pPr>
              <w:jc w:val="center"/>
              <w:rPr>
                <w:bCs/>
                <w:sz w:val="20"/>
                <w:szCs w:val="20"/>
                <w:lang w:eastAsia="en-CA"/>
              </w:rPr>
            </w:pPr>
            <w:r w:rsidRPr="00756D59">
              <w:rPr>
                <w:color w:val="FF0000"/>
                <w:sz w:val="20"/>
                <w:szCs w:val="20"/>
                <w:lang w:eastAsia="en-CA"/>
              </w:rPr>
              <w:lastRenderedPageBreak/>
              <w:t>Jun-22</w:t>
            </w:r>
          </w:p>
        </w:tc>
      </w:tr>
      <w:tr w:rsidR="0028399A" w:rsidRPr="00756D59" w14:paraId="4684F0A2" w14:textId="77777777" w:rsidTr="00305D02">
        <w:trPr>
          <w:trHeight w:val="337"/>
        </w:trPr>
        <w:tc>
          <w:tcPr>
            <w:tcW w:w="2261" w:type="dxa"/>
            <w:tcMar>
              <w:left w:w="58" w:type="dxa"/>
              <w:right w:w="58" w:type="dxa"/>
            </w:tcMar>
          </w:tcPr>
          <w:p w14:paraId="01727BA9" w14:textId="77777777" w:rsidR="0028399A" w:rsidRPr="00756D59" w:rsidRDefault="0028399A" w:rsidP="00305D02">
            <w:pPr>
              <w:jc w:val="left"/>
              <w:rPr>
                <w:sz w:val="20"/>
                <w:szCs w:val="20"/>
                <w:lang w:eastAsia="en-CA"/>
              </w:rPr>
            </w:pPr>
            <w:r w:rsidRPr="00756D59">
              <w:rPr>
                <w:sz w:val="20"/>
                <w:szCs w:val="20"/>
                <w:lang w:eastAsia="en-CA"/>
              </w:rPr>
              <w:lastRenderedPageBreak/>
              <w:t>Jordan</w:t>
            </w:r>
          </w:p>
          <w:p w14:paraId="1FFEB978" w14:textId="77777777" w:rsidR="0028399A" w:rsidRPr="00756D59" w:rsidRDefault="0028399A" w:rsidP="00305D02">
            <w:pPr>
              <w:jc w:val="left"/>
              <w:rPr>
                <w:bCs/>
                <w:sz w:val="20"/>
                <w:szCs w:val="20"/>
                <w:lang w:eastAsia="en-CA"/>
              </w:rPr>
            </w:pPr>
            <w:r w:rsidRPr="00756D59">
              <w:rPr>
                <w:sz w:val="20"/>
                <w:szCs w:val="20"/>
                <w:lang w:eastAsia="en-CA"/>
              </w:rPr>
              <w:t>JOR/SEV/82/TAS/104</w:t>
            </w:r>
          </w:p>
        </w:tc>
        <w:tc>
          <w:tcPr>
            <w:tcW w:w="3352" w:type="dxa"/>
            <w:tcMar>
              <w:left w:w="58" w:type="dxa"/>
              <w:right w:w="58" w:type="dxa"/>
            </w:tcMar>
          </w:tcPr>
          <w:p w14:paraId="0A1DF77B"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AABE238" w14:textId="77777777" w:rsidR="0028399A" w:rsidRPr="00756D59" w:rsidRDefault="0028399A" w:rsidP="00305D02">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6F1246D6" w14:textId="77777777" w:rsidR="0028399A" w:rsidRPr="00756D59" w:rsidRDefault="0028399A" w:rsidP="00305D02">
            <w:pPr>
              <w:jc w:val="center"/>
              <w:rPr>
                <w:bCs/>
                <w:sz w:val="20"/>
                <w:szCs w:val="20"/>
                <w:lang w:eastAsia="en-CA"/>
              </w:rPr>
            </w:pPr>
            <w:r w:rsidRPr="00756D59">
              <w:rPr>
                <w:sz w:val="20"/>
                <w:szCs w:val="20"/>
                <w:lang w:eastAsia="en-CA"/>
              </w:rPr>
              <w:t>42.7</w:t>
            </w:r>
          </w:p>
        </w:tc>
        <w:tc>
          <w:tcPr>
            <w:tcW w:w="4531" w:type="dxa"/>
            <w:tcMar>
              <w:left w:w="58" w:type="dxa"/>
              <w:right w:w="58" w:type="dxa"/>
            </w:tcMar>
          </w:tcPr>
          <w:p w14:paraId="2B3462A6" w14:textId="77777777" w:rsidR="0028399A" w:rsidRPr="00756D59" w:rsidRDefault="0028399A" w:rsidP="00305D02">
            <w:pPr>
              <w:jc w:val="left"/>
              <w:rPr>
                <w:sz w:val="20"/>
                <w:szCs w:val="20"/>
                <w:lang w:eastAsia="en-CA"/>
              </w:rPr>
            </w:pPr>
            <w:r w:rsidRPr="00756D59">
              <w:rPr>
                <w:sz w:val="20"/>
                <w:szCs w:val="20"/>
                <w:lang w:eastAsia="en-CA"/>
              </w:rPr>
              <w:t>Conducting stakeholder workshop and finalization of the report.</w:t>
            </w:r>
          </w:p>
        </w:tc>
        <w:tc>
          <w:tcPr>
            <w:tcW w:w="1629" w:type="dxa"/>
            <w:shd w:val="clear" w:color="auto" w:fill="auto"/>
            <w:tcMar>
              <w:left w:w="58" w:type="dxa"/>
              <w:right w:w="58" w:type="dxa"/>
            </w:tcMar>
          </w:tcPr>
          <w:p w14:paraId="13B94B28" w14:textId="77777777" w:rsidR="0028399A" w:rsidRPr="00756D59" w:rsidRDefault="0028399A" w:rsidP="00305D02">
            <w:pPr>
              <w:jc w:val="center"/>
              <w:rPr>
                <w:bCs/>
                <w:sz w:val="20"/>
                <w:szCs w:val="20"/>
                <w:lang w:eastAsia="en-CA"/>
              </w:rPr>
            </w:pPr>
            <w:r w:rsidRPr="00756D59">
              <w:rPr>
                <w:sz w:val="20"/>
                <w:szCs w:val="20"/>
                <w:lang w:eastAsia="en-CA"/>
              </w:rPr>
              <w:t>Dec-21</w:t>
            </w:r>
          </w:p>
        </w:tc>
      </w:tr>
      <w:tr w:rsidR="0028399A" w:rsidRPr="00756D59" w14:paraId="00E189C6" w14:textId="77777777" w:rsidTr="00305D02">
        <w:trPr>
          <w:trHeight w:val="337"/>
        </w:trPr>
        <w:tc>
          <w:tcPr>
            <w:tcW w:w="2261" w:type="dxa"/>
            <w:tcMar>
              <w:left w:w="58" w:type="dxa"/>
              <w:right w:w="58" w:type="dxa"/>
            </w:tcMar>
          </w:tcPr>
          <w:p w14:paraId="75104C0B" w14:textId="77777777" w:rsidR="0028399A" w:rsidRPr="00756D59" w:rsidRDefault="0028399A" w:rsidP="00305D02">
            <w:pPr>
              <w:jc w:val="left"/>
              <w:rPr>
                <w:sz w:val="20"/>
                <w:szCs w:val="20"/>
                <w:lang w:eastAsia="en-CA"/>
              </w:rPr>
            </w:pPr>
            <w:r w:rsidRPr="00756D59">
              <w:rPr>
                <w:sz w:val="20"/>
                <w:szCs w:val="20"/>
                <w:lang w:eastAsia="en-CA"/>
              </w:rPr>
              <w:t>Libya</w:t>
            </w:r>
          </w:p>
          <w:p w14:paraId="0D422FFF" w14:textId="77777777" w:rsidR="0028399A" w:rsidRPr="00756D59" w:rsidRDefault="0028399A" w:rsidP="00305D02">
            <w:pPr>
              <w:jc w:val="left"/>
              <w:rPr>
                <w:sz w:val="20"/>
                <w:szCs w:val="20"/>
                <w:lang w:eastAsia="en-CA"/>
              </w:rPr>
            </w:pPr>
            <w:r w:rsidRPr="00756D59">
              <w:rPr>
                <w:sz w:val="20"/>
                <w:szCs w:val="20"/>
                <w:lang w:eastAsia="en-CA"/>
              </w:rPr>
              <w:t>LIB/SEV/81/TAS/01+</w:t>
            </w:r>
          </w:p>
        </w:tc>
        <w:tc>
          <w:tcPr>
            <w:tcW w:w="3352" w:type="dxa"/>
            <w:tcMar>
              <w:left w:w="58" w:type="dxa"/>
              <w:right w:w="58" w:type="dxa"/>
            </w:tcMar>
          </w:tcPr>
          <w:p w14:paraId="3F37EFA0"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FF0AA7C"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EC93D53" w14:textId="77777777" w:rsidR="0028399A" w:rsidRPr="00756D59" w:rsidRDefault="0028399A" w:rsidP="00305D02">
            <w:pPr>
              <w:jc w:val="center"/>
              <w:rPr>
                <w:sz w:val="20"/>
                <w:szCs w:val="20"/>
                <w:lang w:eastAsia="en-CA"/>
              </w:rPr>
            </w:pPr>
            <w:r w:rsidRPr="00756D59">
              <w:rPr>
                <w:sz w:val="20"/>
                <w:szCs w:val="20"/>
                <w:lang w:eastAsia="en-CA"/>
              </w:rPr>
              <w:t>12.2</w:t>
            </w:r>
          </w:p>
        </w:tc>
        <w:tc>
          <w:tcPr>
            <w:tcW w:w="4531" w:type="dxa"/>
            <w:tcMar>
              <w:left w:w="58" w:type="dxa"/>
              <w:right w:w="58" w:type="dxa"/>
            </w:tcMar>
          </w:tcPr>
          <w:p w14:paraId="794270AA" w14:textId="77777777" w:rsidR="0028399A" w:rsidRPr="00756D59" w:rsidRDefault="0028399A" w:rsidP="00305D02">
            <w:pPr>
              <w:jc w:val="left"/>
              <w:rPr>
                <w:sz w:val="20"/>
                <w:szCs w:val="20"/>
                <w:lang w:eastAsia="en-CA"/>
              </w:rPr>
            </w:pPr>
            <w:r w:rsidRPr="00756D59">
              <w:rPr>
                <w:sz w:val="20"/>
                <w:szCs w:val="20"/>
                <w:lang w:eastAsia="en-CA"/>
              </w:rPr>
              <w:t>Preparation of legal documents for ratification of the Kigali Amendment and follow-up activities for ratification.</w:t>
            </w:r>
          </w:p>
        </w:tc>
        <w:tc>
          <w:tcPr>
            <w:tcW w:w="1629" w:type="dxa"/>
            <w:shd w:val="clear" w:color="auto" w:fill="auto"/>
            <w:tcMar>
              <w:left w:w="58" w:type="dxa"/>
              <w:right w:w="58" w:type="dxa"/>
            </w:tcMar>
          </w:tcPr>
          <w:p w14:paraId="04E92FF5" w14:textId="77777777" w:rsidR="0028399A" w:rsidRPr="00756D59" w:rsidRDefault="0028399A" w:rsidP="00305D02">
            <w:pPr>
              <w:jc w:val="center"/>
              <w:rPr>
                <w:sz w:val="20"/>
                <w:szCs w:val="20"/>
                <w:lang w:eastAsia="en-CA"/>
              </w:rPr>
            </w:pPr>
            <w:r w:rsidRPr="00756D59">
              <w:rPr>
                <w:sz w:val="20"/>
                <w:szCs w:val="20"/>
                <w:lang w:eastAsia="en-CA"/>
              </w:rPr>
              <w:t>Jun-22</w:t>
            </w:r>
          </w:p>
        </w:tc>
      </w:tr>
      <w:tr w:rsidR="0028399A" w:rsidRPr="00756D59" w14:paraId="231EAA63" w14:textId="77777777" w:rsidTr="00305D02">
        <w:trPr>
          <w:trHeight w:val="337"/>
        </w:trPr>
        <w:tc>
          <w:tcPr>
            <w:tcW w:w="2261" w:type="dxa"/>
            <w:tcMar>
              <w:left w:w="58" w:type="dxa"/>
              <w:right w:w="58" w:type="dxa"/>
            </w:tcMar>
          </w:tcPr>
          <w:p w14:paraId="676F1425" w14:textId="77777777" w:rsidR="0028399A" w:rsidRPr="00756D59" w:rsidRDefault="0028399A" w:rsidP="00305D02">
            <w:pPr>
              <w:jc w:val="left"/>
              <w:rPr>
                <w:sz w:val="20"/>
                <w:szCs w:val="20"/>
                <w:lang w:eastAsia="en-CA"/>
              </w:rPr>
            </w:pPr>
            <w:r w:rsidRPr="00756D59">
              <w:rPr>
                <w:sz w:val="20"/>
                <w:szCs w:val="20"/>
                <w:lang w:eastAsia="en-CA"/>
              </w:rPr>
              <w:t>Mexico</w:t>
            </w:r>
          </w:p>
          <w:p w14:paraId="2B64B785" w14:textId="77777777" w:rsidR="0028399A" w:rsidRPr="00756D59" w:rsidRDefault="0028399A" w:rsidP="00305D02">
            <w:pPr>
              <w:jc w:val="left"/>
              <w:rPr>
                <w:sz w:val="20"/>
                <w:szCs w:val="20"/>
                <w:lang w:eastAsia="en-CA"/>
              </w:rPr>
            </w:pPr>
            <w:r w:rsidRPr="00756D59">
              <w:rPr>
                <w:sz w:val="20"/>
                <w:szCs w:val="20"/>
                <w:lang w:eastAsia="en-CA"/>
              </w:rPr>
              <w:t>MEX/REF/81/INV/04+</w:t>
            </w:r>
          </w:p>
        </w:tc>
        <w:tc>
          <w:tcPr>
            <w:tcW w:w="3352" w:type="dxa"/>
            <w:tcMar>
              <w:left w:w="58" w:type="dxa"/>
              <w:right w:w="58" w:type="dxa"/>
            </w:tcMar>
          </w:tcPr>
          <w:p w14:paraId="51E133B8" w14:textId="77777777" w:rsidR="0028399A" w:rsidRPr="00756D59" w:rsidRDefault="0028399A" w:rsidP="00305D02">
            <w:pPr>
              <w:jc w:val="left"/>
              <w:rPr>
                <w:sz w:val="20"/>
                <w:szCs w:val="20"/>
                <w:lang w:eastAsia="en-CA"/>
              </w:rPr>
            </w:pPr>
            <w:r w:rsidRPr="00756D59">
              <w:rPr>
                <w:sz w:val="20"/>
                <w:szCs w:val="20"/>
                <w:lang w:eastAsia="en-CA"/>
              </w:rPr>
              <w:t xml:space="preserve">Conversion of commercial refrigeration manufacturing in two facilities from the use of HFC-134a and R-404A as the refrigerants to propane (R-290) and </w:t>
            </w:r>
            <w:proofErr w:type="spellStart"/>
            <w:r w:rsidRPr="00756D59">
              <w:rPr>
                <w:sz w:val="20"/>
                <w:szCs w:val="20"/>
                <w:lang w:eastAsia="en-CA"/>
              </w:rPr>
              <w:t>isobutane</w:t>
            </w:r>
            <w:proofErr w:type="spellEnd"/>
            <w:r w:rsidRPr="00756D59">
              <w:rPr>
                <w:sz w:val="20"/>
                <w:szCs w:val="20"/>
                <w:lang w:eastAsia="en-CA"/>
              </w:rPr>
              <w:t xml:space="preserve"> (R-600a) at </w:t>
            </w:r>
            <w:proofErr w:type="spellStart"/>
            <w:r w:rsidRPr="00756D59">
              <w:rPr>
                <w:sz w:val="20"/>
                <w:szCs w:val="20"/>
                <w:lang w:eastAsia="en-CA"/>
              </w:rPr>
              <w:t>Imbera</w:t>
            </w:r>
            <w:proofErr w:type="spellEnd"/>
          </w:p>
        </w:tc>
        <w:tc>
          <w:tcPr>
            <w:tcW w:w="1236" w:type="dxa"/>
            <w:tcMar>
              <w:left w:w="58" w:type="dxa"/>
              <w:right w:w="58" w:type="dxa"/>
            </w:tcMar>
          </w:tcPr>
          <w:p w14:paraId="478A01D8"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47599CE" w14:textId="77777777" w:rsidR="0028399A" w:rsidRPr="00756D59" w:rsidRDefault="0028399A" w:rsidP="00305D02">
            <w:pPr>
              <w:jc w:val="center"/>
              <w:rPr>
                <w:sz w:val="20"/>
                <w:szCs w:val="20"/>
                <w:lang w:eastAsia="en-CA"/>
              </w:rPr>
            </w:pPr>
            <w:r w:rsidRPr="00756D59">
              <w:rPr>
                <w:sz w:val="20"/>
                <w:szCs w:val="20"/>
                <w:lang w:eastAsia="en-CA"/>
              </w:rPr>
              <w:t>0.8</w:t>
            </w:r>
          </w:p>
        </w:tc>
        <w:tc>
          <w:tcPr>
            <w:tcW w:w="4531" w:type="dxa"/>
            <w:tcMar>
              <w:left w:w="58" w:type="dxa"/>
              <w:right w:w="58" w:type="dxa"/>
            </w:tcMar>
          </w:tcPr>
          <w:p w14:paraId="7E9A419C" w14:textId="77777777" w:rsidR="0028399A" w:rsidRPr="00756D59" w:rsidRDefault="0028399A" w:rsidP="00305D02">
            <w:pPr>
              <w:jc w:val="left"/>
              <w:rPr>
                <w:sz w:val="20"/>
                <w:szCs w:val="20"/>
                <w:lang w:eastAsia="en-CA"/>
              </w:rPr>
            </w:pPr>
            <w:r w:rsidRPr="00756D59">
              <w:rPr>
                <w:sz w:val="20"/>
                <w:szCs w:val="20"/>
                <w:lang w:eastAsia="en-CA"/>
              </w:rPr>
              <w:t xml:space="preserve">Finalization of installation of equipment and safety audit at </w:t>
            </w:r>
            <w:proofErr w:type="spellStart"/>
            <w:r w:rsidRPr="00756D59">
              <w:rPr>
                <w:sz w:val="20"/>
                <w:szCs w:val="20"/>
                <w:lang w:eastAsia="en-CA"/>
              </w:rPr>
              <w:t>Fersa</w:t>
            </w:r>
            <w:proofErr w:type="spellEnd"/>
            <w:r w:rsidRPr="00756D59">
              <w:rPr>
                <w:sz w:val="20"/>
                <w:szCs w:val="20"/>
                <w:lang w:eastAsia="en-CA"/>
              </w:rPr>
              <w:t xml:space="preserve"> and </w:t>
            </w:r>
            <w:proofErr w:type="spellStart"/>
            <w:r w:rsidRPr="00756D59">
              <w:rPr>
                <w:sz w:val="20"/>
                <w:szCs w:val="20"/>
                <w:lang w:eastAsia="en-CA"/>
              </w:rPr>
              <w:t>Imbera</w:t>
            </w:r>
            <w:proofErr w:type="spellEnd"/>
            <w:r w:rsidRPr="00756D59">
              <w:rPr>
                <w:sz w:val="20"/>
                <w:szCs w:val="20"/>
                <w:lang w:eastAsia="en-CA"/>
              </w:rPr>
              <w:t xml:space="preserve"> plant; and training of service technicians on using low</w:t>
            </w:r>
            <w:r w:rsidRPr="00756D59">
              <w:rPr>
                <w:sz w:val="20"/>
                <w:szCs w:val="20"/>
                <w:lang w:eastAsia="en-CA"/>
              </w:rPr>
              <w:noBreakHyphen/>
              <w:t>GWP alternatives.</w:t>
            </w:r>
          </w:p>
        </w:tc>
        <w:tc>
          <w:tcPr>
            <w:tcW w:w="1629" w:type="dxa"/>
            <w:shd w:val="clear" w:color="auto" w:fill="auto"/>
            <w:tcMar>
              <w:left w:w="58" w:type="dxa"/>
              <w:right w:w="58" w:type="dxa"/>
            </w:tcMar>
          </w:tcPr>
          <w:p w14:paraId="7ED3EC56"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478204E9" w14:textId="77777777" w:rsidTr="00305D02">
        <w:trPr>
          <w:trHeight w:val="337"/>
        </w:trPr>
        <w:tc>
          <w:tcPr>
            <w:tcW w:w="2261" w:type="dxa"/>
            <w:tcMar>
              <w:left w:w="58" w:type="dxa"/>
              <w:right w:w="58" w:type="dxa"/>
            </w:tcMar>
          </w:tcPr>
          <w:p w14:paraId="6A7B5747" w14:textId="77777777" w:rsidR="0028399A" w:rsidRPr="00756D59" w:rsidRDefault="0028399A" w:rsidP="00305D02">
            <w:pPr>
              <w:jc w:val="left"/>
              <w:rPr>
                <w:sz w:val="20"/>
                <w:szCs w:val="20"/>
                <w:lang w:eastAsia="en-CA"/>
              </w:rPr>
            </w:pPr>
            <w:r w:rsidRPr="00756D59">
              <w:rPr>
                <w:sz w:val="20"/>
                <w:szCs w:val="20"/>
                <w:lang w:eastAsia="en-CA"/>
              </w:rPr>
              <w:t>Morocco</w:t>
            </w:r>
          </w:p>
          <w:p w14:paraId="18D02B4B" w14:textId="77777777" w:rsidR="0028399A" w:rsidRPr="00756D59" w:rsidRDefault="0028399A" w:rsidP="00305D02">
            <w:pPr>
              <w:jc w:val="left"/>
              <w:rPr>
                <w:sz w:val="20"/>
                <w:szCs w:val="20"/>
                <w:lang w:eastAsia="en-CA"/>
              </w:rPr>
            </w:pPr>
            <w:r w:rsidRPr="00756D59">
              <w:rPr>
                <w:sz w:val="20"/>
                <w:szCs w:val="20"/>
                <w:lang w:eastAsia="en-CA"/>
              </w:rPr>
              <w:t>MOR/SEV/81/TAS/01+</w:t>
            </w:r>
          </w:p>
        </w:tc>
        <w:tc>
          <w:tcPr>
            <w:tcW w:w="3352" w:type="dxa"/>
            <w:tcMar>
              <w:left w:w="58" w:type="dxa"/>
              <w:right w:w="58" w:type="dxa"/>
            </w:tcMar>
          </w:tcPr>
          <w:p w14:paraId="05199053"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0C27CD8"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03C4942" w14:textId="77777777" w:rsidR="0028399A" w:rsidRPr="00756D59" w:rsidRDefault="0028399A" w:rsidP="00305D02">
            <w:pPr>
              <w:jc w:val="center"/>
              <w:rPr>
                <w:sz w:val="20"/>
                <w:szCs w:val="20"/>
                <w:lang w:eastAsia="en-CA"/>
              </w:rPr>
            </w:pPr>
            <w:r w:rsidRPr="00756D59">
              <w:rPr>
                <w:sz w:val="20"/>
                <w:szCs w:val="20"/>
                <w:lang w:eastAsia="en-CA"/>
              </w:rPr>
              <w:t>9.2</w:t>
            </w:r>
          </w:p>
        </w:tc>
        <w:tc>
          <w:tcPr>
            <w:tcW w:w="4531" w:type="dxa"/>
            <w:tcMar>
              <w:left w:w="58" w:type="dxa"/>
              <w:right w:w="58" w:type="dxa"/>
            </w:tcMar>
          </w:tcPr>
          <w:p w14:paraId="23D313D6" w14:textId="77777777" w:rsidR="0028399A" w:rsidRPr="00756D59" w:rsidRDefault="0028399A" w:rsidP="00305D02">
            <w:pPr>
              <w:jc w:val="left"/>
              <w:rPr>
                <w:sz w:val="20"/>
                <w:szCs w:val="20"/>
                <w:lang w:eastAsia="en-CA"/>
              </w:rPr>
            </w:pPr>
            <w:r w:rsidRPr="00756D59">
              <w:rPr>
                <w:sz w:val="20"/>
                <w:szCs w:val="20"/>
                <w:lang w:eastAsia="en-CA"/>
              </w:rPr>
              <w:t>Update of tariff codes and licensing system; finalizing the report on HFC consumption and the report on the situation of the RAC servicing sector and legal, institutional and policy measures for the implementation of the Kigali Amendment and follow</w:t>
            </w:r>
            <w:r w:rsidRPr="00756D59">
              <w:rPr>
                <w:sz w:val="20"/>
                <w:szCs w:val="20"/>
                <w:lang w:eastAsia="en-CA"/>
              </w:rPr>
              <w:noBreakHyphen/>
              <w:t>up support for ratification of the Kigali Amendment.</w:t>
            </w:r>
          </w:p>
        </w:tc>
        <w:tc>
          <w:tcPr>
            <w:tcW w:w="1629" w:type="dxa"/>
            <w:shd w:val="clear" w:color="auto" w:fill="auto"/>
            <w:tcMar>
              <w:left w:w="58" w:type="dxa"/>
              <w:right w:w="58" w:type="dxa"/>
            </w:tcMar>
          </w:tcPr>
          <w:p w14:paraId="73ACCEAF" w14:textId="77777777" w:rsidR="0028399A" w:rsidRPr="00756D59" w:rsidRDefault="0028399A" w:rsidP="00305D02">
            <w:pPr>
              <w:jc w:val="center"/>
              <w:rPr>
                <w:sz w:val="20"/>
                <w:szCs w:val="20"/>
                <w:lang w:eastAsia="en-CA"/>
              </w:rPr>
            </w:pPr>
            <w:r w:rsidRPr="00756D59">
              <w:rPr>
                <w:sz w:val="20"/>
                <w:szCs w:val="20"/>
                <w:lang w:eastAsia="en-CA"/>
              </w:rPr>
              <w:t>Jan-22</w:t>
            </w:r>
          </w:p>
        </w:tc>
      </w:tr>
      <w:tr w:rsidR="0028399A" w:rsidRPr="00756D59" w14:paraId="02D6C9D1" w14:textId="77777777" w:rsidTr="00305D02">
        <w:trPr>
          <w:trHeight w:val="337"/>
        </w:trPr>
        <w:tc>
          <w:tcPr>
            <w:tcW w:w="2261" w:type="dxa"/>
            <w:tcMar>
              <w:left w:w="58" w:type="dxa"/>
              <w:right w:w="58" w:type="dxa"/>
            </w:tcMar>
          </w:tcPr>
          <w:p w14:paraId="620349DD" w14:textId="77777777" w:rsidR="0028399A" w:rsidRPr="00756D59" w:rsidRDefault="0028399A" w:rsidP="00305D02">
            <w:pPr>
              <w:jc w:val="left"/>
              <w:rPr>
                <w:sz w:val="20"/>
                <w:szCs w:val="20"/>
                <w:lang w:eastAsia="en-CA"/>
              </w:rPr>
            </w:pPr>
            <w:r w:rsidRPr="00756D59">
              <w:rPr>
                <w:sz w:val="20"/>
                <w:szCs w:val="20"/>
                <w:lang w:eastAsia="en-CA"/>
              </w:rPr>
              <w:t>Niger (the)</w:t>
            </w:r>
          </w:p>
          <w:p w14:paraId="3335A0B7" w14:textId="77777777" w:rsidR="0028399A" w:rsidRPr="00756D59" w:rsidRDefault="0028399A" w:rsidP="00305D02">
            <w:pPr>
              <w:jc w:val="left"/>
              <w:rPr>
                <w:sz w:val="20"/>
                <w:szCs w:val="20"/>
                <w:lang w:eastAsia="en-CA"/>
              </w:rPr>
            </w:pPr>
            <w:r w:rsidRPr="00756D59">
              <w:rPr>
                <w:sz w:val="20"/>
                <w:szCs w:val="20"/>
                <w:lang w:eastAsia="en-CA"/>
              </w:rPr>
              <w:t>NER/SEV/81/TAS/01+</w:t>
            </w:r>
          </w:p>
        </w:tc>
        <w:tc>
          <w:tcPr>
            <w:tcW w:w="3352" w:type="dxa"/>
            <w:tcMar>
              <w:left w:w="58" w:type="dxa"/>
              <w:right w:w="58" w:type="dxa"/>
            </w:tcMar>
          </w:tcPr>
          <w:p w14:paraId="2B6368DE"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BAE511" w14:textId="77777777" w:rsidR="0028399A" w:rsidRPr="00756D59" w:rsidRDefault="0028399A" w:rsidP="00305D02">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FF27D8A" w14:textId="77777777" w:rsidR="0028399A" w:rsidRPr="00756D59" w:rsidRDefault="0028399A" w:rsidP="00305D02">
            <w:pPr>
              <w:jc w:val="center"/>
              <w:rPr>
                <w:sz w:val="20"/>
                <w:szCs w:val="20"/>
                <w:lang w:eastAsia="en-CA"/>
              </w:rPr>
            </w:pPr>
            <w:r w:rsidRPr="00756D59">
              <w:rPr>
                <w:sz w:val="20"/>
                <w:szCs w:val="20"/>
                <w:lang w:eastAsia="en-CA"/>
              </w:rPr>
              <w:t>76.2</w:t>
            </w:r>
          </w:p>
        </w:tc>
        <w:tc>
          <w:tcPr>
            <w:tcW w:w="4531" w:type="dxa"/>
            <w:tcMar>
              <w:left w:w="58" w:type="dxa"/>
              <w:right w:w="58" w:type="dxa"/>
            </w:tcMar>
          </w:tcPr>
          <w:p w14:paraId="74C6F218" w14:textId="77777777" w:rsidR="0028399A" w:rsidRPr="00756D59" w:rsidRDefault="0028399A" w:rsidP="00305D02">
            <w:pPr>
              <w:jc w:val="left"/>
              <w:rPr>
                <w:sz w:val="20"/>
                <w:szCs w:val="20"/>
                <w:lang w:eastAsia="en-CA"/>
              </w:rPr>
            </w:pPr>
            <w:r w:rsidRPr="00756D59">
              <w:rPr>
                <w:sz w:val="20"/>
                <w:szCs w:val="20"/>
                <w:lang w:eastAsia="en-CA"/>
              </w:rPr>
              <w:t xml:space="preserve">Finalization and adoption of national and regional HS codes; training activities for Government/customs office; and awareness activities for the RAC service sector.  </w:t>
            </w:r>
          </w:p>
        </w:tc>
        <w:tc>
          <w:tcPr>
            <w:tcW w:w="1629" w:type="dxa"/>
            <w:shd w:val="clear" w:color="auto" w:fill="auto"/>
            <w:tcMar>
              <w:left w:w="58" w:type="dxa"/>
              <w:right w:w="58" w:type="dxa"/>
            </w:tcMar>
          </w:tcPr>
          <w:p w14:paraId="0F427031"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1748BC02" w14:textId="77777777" w:rsidTr="00305D02">
        <w:trPr>
          <w:trHeight w:val="337"/>
        </w:trPr>
        <w:tc>
          <w:tcPr>
            <w:tcW w:w="2261" w:type="dxa"/>
            <w:tcMar>
              <w:left w:w="58" w:type="dxa"/>
              <w:right w:w="58" w:type="dxa"/>
            </w:tcMar>
          </w:tcPr>
          <w:p w14:paraId="05090B61" w14:textId="77777777" w:rsidR="0028399A" w:rsidRPr="00756D59" w:rsidRDefault="0028399A" w:rsidP="00305D02">
            <w:pPr>
              <w:jc w:val="left"/>
              <w:rPr>
                <w:sz w:val="20"/>
                <w:szCs w:val="20"/>
                <w:lang w:eastAsia="en-CA"/>
              </w:rPr>
            </w:pPr>
            <w:r w:rsidRPr="00756D59">
              <w:rPr>
                <w:sz w:val="20"/>
                <w:szCs w:val="20"/>
                <w:lang w:eastAsia="en-CA"/>
              </w:rPr>
              <w:t>Philippines (the)</w:t>
            </w:r>
          </w:p>
          <w:p w14:paraId="47064169" w14:textId="77777777" w:rsidR="0028399A" w:rsidRPr="00756D59" w:rsidRDefault="0028399A" w:rsidP="00305D02">
            <w:pPr>
              <w:jc w:val="left"/>
              <w:rPr>
                <w:sz w:val="20"/>
                <w:szCs w:val="20"/>
                <w:lang w:eastAsia="en-CA"/>
              </w:rPr>
            </w:pPr>
            <w:r w:rsidRPr="00756D59">
              <w:rPr>
                <w:sz w:val="20"/>
                <w:szCs w:val="20"/>
                <w:lang w:eastAsia="en-CA"/>
              </w:rPr>
              <w:t>PHI/SEV/83/TAS/02+</w:t>
            </w:r>
          </w:p>
        </w:tc>
        <w:tc>
          <w:tcPr>
            <w:tcW w:w="3352" w:type="dxa"/>
            <w:tcMar>
              <w:left w:w="58" w:type="dxa"/>
              <w:right w:w="58" w:type="dxa"/>
            </w:tcMar>
          </w:tcPr>
          <w:p w14:paraId="56083A51" w14:textId="77777777" w:rsidR="0028399A" w:rsidRPr="00756D59" w:rsidRDefault="0028399A" w:rsidP="00305D02">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4B21689" w14:textId="77777777" w:rsidR="0028399A" w:rsidRPr="00756D59" w:rsidRDefault="0028399A" w:rsidP="00305D02">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0F1748D5" w14:textId="77777777" w:rsidR="0028399A" w:rsidRPr="00756D59" w:rsidRDefault="0028399A" w:rsidP="00305D02">
            <w:pPr>
              <w:jc w:val="center"/>
              <w:rPr>
                <w:sz w:val="20"/>
                <w:szCs w:val="20"/>
                <w:lang w:eastAsia="en-CA"/>
              </w:rPr>
            </w:pPr>
            <w:r w:rsidRPr="00756D59">
              <w:rPr>
                <w:sz w:val="20"/>
                <w:szCs w:val="20"/>
                <w:lang w:eastAsia="en-CA"/>
              </w:rPr>
              <w:t>48.6</w:t>
            </w:r>
          </w:p>
        </w:tc>
        <w:tc>
          <w:tcPr>
            <w:tcW w:w="4531" w:type="dxa"/>
            <w:tcMar>
              <w:left w:w="58" w:type="dxa"/>
              <w:right w:w="58" w:type="dxa"/>
            </w:tcMar>
          </w:tcPr>
          <w:p w14:paraId="0B51DCAA" w14:textId="77777777" w:rsidR="0028399A" w:rsidRPr="00756D59" w:rsidRDefault="0028399A" w:rsidP="00305D02">
            <w:pPr>
              <w:jc w:val="left"/>
              <w:rPr>
                <w:sz w:val="20"/>
                <w:szCs w:val="20"/>
                <w:lang w:eastAsia="en-CA"/>
              </w:rPr>
            </w:pPr>
            <w:r w:rsidRPr="00756D59">
              <w:rPr>
                <w:sz w:val="20"/>
                <w:szCs w:val="20"/>
                <w:lang w:eastAsia="en-CA"/>
              </w:rPr>
              <w:t>Final stakeholder meetings and validation workshop that could not be conducted due to restriction in the country.</w:t>
            </w:r>
          </w:p>
        </w:tc>
        <w:tc>
          <w:tcPr>
            <w:tcW w:w="1629" w:type="dxa"/>
            <w:shd w:val="clear" w:color="auto" w:fill="auto"/>
            <w:tcMar>
              <w:left w:w="58" w:type="dxa"/>
              <w:right w:w="58" w:type="dxa"/>
            </w:tcMar>
          </w:tcPr>
          <w:p w14:paraId="5E8B0B98" w14:textId="77777777" w:rsidR="0028399A" w:rsidRPr="00756D59" w:rsidRDefault="0028399A" w:rsidP="00305D02">
            <w:pPr>
              <w:jc w:val="center"/>
              <w:rPr>
                <w:sz w:val="20"/>
                <w:szCs w:val="20"/>
                <w:lang w:eastAsia="en-CA"/>
              </w:rPr>
            </w:pPr>
            <w:r w:rsidRPr="00756D59">
              <w:rPr>
                <w:sz w:val="20"/>
                <w:szCs w:val="20"/>
                <w:lang w:eastAsia="en-CA"/>
              </w:rPr>
              <w:t>Dec-21</w:t>
            </w:r>
          </w:p>
        </w:tc>
      </w:tr>
      <w:tr w:rsidR="0028399A" w:rsidRPr="00756D59" w14:paraId="3D9C5257" w14:textId="77777777" w:rsidTr="00305D02">
        <w:trPr>
          <w:trHeight w:val="337"/>
        </w:trPr>
        <w:tc>
          <w:tcPr>
            <w:tcW w:w="2261" w:type="dxa"/>
            <w:tcMar>
              <w:left w:w="58" w:type="dxa"/>
              <w:right w:w="58" w:type="dxa"/>
            </w:tcMar>
          </w:tcPr>
          <w:p w14:paraId="5C6160E2" w14:textId="77777777" w:rsidR="0028399A" w:rsidRPr="00756D59" w:rsidRDefault="0028399A" w:rsidP="00305D02">
            <w:pPr>
              <w:jc w:val="left"/>
              <w:rPr>
                <w:color w:val="000000"/>
                <w:sz w:val="20"/>
                <w:szCs w:val="20"/>
                <w:lang w:eastAsia="en-CA"/>
              </w:rPr>
            </w:pPr>
            <w:r w:rsidRPr="00756D59">
              <w:rPr>
                <w:color w:val="000000"/>
                <w:sz w:val="20"/>
                <w:szCs w:val="20"/>
                <w:lang w:eastAsia="en-CA"/>
              </w:rPr>
              <w:t>Qatar</w:t>
            </w:r>
          </w:p>
          <w:p w14:paraId="1ECE94DF" w14:textId="77777777" w:rsidR="0028399A" w:rsidRPr="00756D59" w:rsidRDefault="0028399A" w:rsidP="00305D02">
            <w:pPr>
              <w:jc w:val="left"/>
              <w:rPr>
                <w:sz w:val="20"/>
                <w:szCs w:val="20"/>
                <w:lang w:eastAsia="en-CA"/>
              </w:rPr>
            </w:pPr>
            <w:r w:rsidRPr="00756D59">
              <w:rPr>
                <w:color w:val="000000"/>
                <w:sz w:val="20"/>
                <w:szCs w:val="20"/>
                <w:lang w:eastAsia="en-CA"/>
              </w:rPr>
              <w:t>QAT/SEV/82/TAS/24</w:t>
            </w:r>
          </w:p>
        </w:tc>
        <w:tc>
          <w:tcPr>
            <w:tcW w:w="3352" w:type="dxa"/>
            <w:tcMar>
              <w:left w:w="58" w:type="dxa"/>
              <w:right w:w="58" w:type="dxa"/>
            </w:tcMar>
          </w:tcPr>
          <w:p w14:paraId="7631EF86" w14:textId="77777777" w:rsidR="0028399A" w:rsidRPr="00756D59" w:rsidRDefault="0028399A" w:rsidP="00305D02">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74BED094" w14:textId="77777777" w:rsidR="0028399A" w:rsidRPr="00756D59" w:rsidRDefault="0028399A" w:rsidP="00305D02">
            <w:pPr>
              <w:jc w:val="center"/>
              <w:rPr>
                <w:sz w:val="20"/>
                <w:szCs w:val="20"/>
                <w:lang w:eastAsia="en-CA"/>
              </w:rPr>
            </w:pPr>
            <w:r w:rsidRPr="00756D59">
              <w:rPr>
                <w:color w:val="000000"/>
                <w:sz w:val="20"/>
                <w:szCs w:val="20"/>
                <w:lang w:eastAsia="en-CA"/>
              </w:rPr>
              <w:t>Dec-18</w:t>
            </w:r>
          </w:p>
        </w:tc>
        <w:tc>
          <w:tcPr>
            <w:tcW w:w="1305" w:type="dxa"/>
            <w:shd w:val="clear" w:color="auto" w:fill="auto"/>
            <w:tcMar>
              <w:left w:w="58" w:type="dxa"/>
              <w:right w:w="58" w:type="dxa"/>
            </w:tcMar>
          </w:tcPr>
          <w:p w14:paraId="5754A2FE" w14:textId="77777777" w:rsidR="0028399A" w:rsidRPr="00756D59" w:rsidRDefault="0028399A" w:rsidP="00305D02">
            <w:pPr>
              <w:jc w:val="center"/>
              <w:rPr>
                <w:sz w:val="20"/>
                <w:szCs w:val="20"/>
                <w:lang w:eastAsia="en-CA"/>
              </w:rPr>
            </w:pPr>
            <w:r w:rsidRPr="00756D59">
              <w:rPr>
                <w:color w:val="000000"/>
                <w:sz w:val="20"/>
                <w:szCs w:val="20"/>
                <w:lang w:eastAsia="en-CA"/>
              </w:rPr>
              <w:t>10</w:t>
            </w:r>
          </w:p>
        </w:tc>
        <w:tc>
          <w:tcPr>
            <w:tcW w:w="4531" w:type="dxa"/>
            <w:tcMar>
              <w:left w:w="58" w:type="dxa"/>
              <w:right w:w="58" w:type="dxa"/>
            </w:tcMar>
          </w:tcPr>
          <w:p w14:paraId="64FDD365" w14:textId="77777777" w:rsidR="0028399A" w:rsidRPr="00756D59" w:rsidRDefault="0028399A" w:rsidP="00305D02">
            <w:pPr>
              <w:jc w:val="left"/>
              <w:rPr>
                <w:sz w:val="20"/>
                <w:szCs w:val="20"/>
                <w:lang w:eastAsia="en-CA"/>
              </w:rPr>
            </w:pPr>
            <w:r w:rsidRPr="00756D59">
              <w:rPr>
                <w:color w:val="000000"/>
                <w:sz w:val="20"/>
                <w:szCs w:val="20"/>
                <w:lang w:eastAsia="en-CA"/>
              </w:rPr>
              <w:t>Activities with regard to HFC survey and analysis including identifying opportunities, challenges and barriers for applying low-GWP alternatives for various applications as well as estimating potential impact of transition to low-GWP alternatives, projected CO</w:t>
            </w:r>
            <w:r w:rsidRPr="00756D59">
              <w:rPr>
                <w:color w:val="000000"/>
                <w:sz w:val="20"/>
                <w:szCs w:val="20"/>
                <w:vertAlign w:val="subscript"/>
                <w:lang w:eastAsia="en-CA"/>
              </w:rPr>
              <w:t>2</w:t>
            </w:r>
            <w:r w:rsidRPr="00756D59">
              <w:rPr>
                <w:color w:val="000000"/>
                <w:sz w:val="20"/>
                <w:szCs w:val="20"/>
                <w:lang w:eastAsia="en-CA"/>
              </w:rPr>
              <w:t xml:space="preserve"> emissions avoided, feasibility and potential methodology for estimating HFC bank and emissions; reviewing the licensing system including organizing workshop or webinar on licensing systems to highlight the regulatory and administrative measures for the control of HFCs and HFC blends; and organising </w:t>
            </w:r>
            <w:r w:rsidRPr="00756D59">
              <w:rPr>
                <w:color w:val="000000"/>
                <w:sz w:val="20"/>
                <w:szCs w:val="20"/>
                <w:lang w:eastAsia="en-CA"/>
              </w:rPr>
              <w:lastRenderedPageBreak/>
              <w:t>workshop or webinar to identify training needs for customs officers and metrological and standards organization on monitoring and controlling HFCs trade.</w:t>
            </w:r>
          </w:p>
        </w:tc>
        <w:tc>
          <w:tcPr>
            <w:tcW w:w="1629" w:type="dxa"/>
            <w:shd w:val="clear" w:color="auto" w:fill="auto"/>
            <w:tcMar>
              <w:left w:w="58" w:type="dxa"/>
              <w:right w:w="58" w:type="dxa"/>
            </w:tcMar>
          </w:tcPr>
          <w:p w14:paraId="78A3C3D2" w14:textId="77777777" w:rsidR="0028399A" w:rsidRPr="00756D59" w:rsidRDefault="0028399A" w:rsidP="00305D02">
            <w:pPr>
              <w:jc w:val="center"/>
              <w:rPr>
                <w:sz w:val="20"/>
                <w:szCs w:val="20"/>
                <w:lang w:eastAsia="en-CA"/>
              </w:rPr>
            </w:pPr>
            <w:r w:rsidRPr="00756D59">
              <w:rPr>
                <w:color w:val="000000"/>
                <w:sz w:val="20"/>
                <w:szCs w:val="20"/>
                <w:lang w:eastAsia="en-CA"/>
              </w:rPr>
              <w:lastRenderedPageBreak/>
              <w:t>Dec-21</w:t>
            </w:r>
          </w:p>
        </w:tc>
      </w:tr>
      <w:tr w:rsidR="0028399A" w:rsidRPr="00756D59" w14:paraId="462B0520" w14:textId="77777777" w:rsidTr="00305D02">
        <w:trPr>
          <w:trHeight w:val="337"/>
        </w:trPr>
        <w:tc>
          <w:tcPr>
            <w:tcW w:w="2261" w:type="dxa"/>
            <w:tcMar>
              <w:left w:w="58" w:type="dxa"/>
              <w:right w:w="58" w:type="dxa"/>
            </w:tcMar>
          </w:tcPr>
          <w:p w14:paraId="310FA19B" w14:textId="77777777" w:rsidR="0028399A" w:rsidRPr="00756D59" w:rsidRDefault="0028399A" w:rsidP="00305D02">
            <w:pPr>
              <w:jc w:val="left"/>
              <w:rPr>
                <w:sz w:val="20"/>
                <w:szCs w:val="20"/>
                <w:lang w:eastAsia="en-CA"/>
              </w:rPr>
            </w:pPr>
            <w:r w:rsidRPr="00756D59">
              <w:rPr>
                <w:sz w:val="20"/>
                <w:szCs w:val="20"/>
                <w:lang w:eastAsia="en-CA"/>
              </w:rPr>
              <w:lastRenderedPageBreak/>
              <w:t>Somalia</w:t>
            </w:r>
          </w:p>
          <w:p w14:paraId="3FB79485" w14:textId="77777777" w:rsidR="0028399A" w:rsidRPr="00756D59" w:rsidRDefault="0028399A" w:rsidP="00305D02">
            <w:pPr>
              <w:jc w:val="left"/>
              <w:rPr>
                <w:color w:val="000000"/>
                <w:sz w:val="20"/>
                <w:szCs w:val="20"/>
                <w:lang w:eastAsia="en-CA"/>
              </w:rPr>
            </w:pPr>
            <w:r w:rsidRPr="00756D59">
              <w:rPr>
                <w:sz w:val="20"/>
                <w:szCs w:val="20"/>
                <w:lang w:eastAsia="en-CA"/>
              </w:rPr>
              <w:t>SOM/SEV/80/TAS/01+</w:t>
            </w:r>
          </w:p>
        </w:tc>
        <w:tc>
          <w:tcPr>
            <w:tcW w:w="3352" w:type="dxa"/>
            <w:tcMar>
              <w:left w:w="58" w:type="dxa"/>
              <w:right w:w="58" w:type="dxa"/>
            </w:tcMar>
          </w:tcPr>
          <w:p w14:paraId="00C98AA9" w14:textId="77777777" w:rsidR="0028399A" w:rsidRPr="00756D59" w:rsidRDefault="0028399A" w:rsidP="00305D02">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ED92ECA" w14:textId="77777777" w:rsidR="0028399A" w:rsidRPr="00756D59" w:rsidRDefault="0028399A" w:rsidP="00305D02">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CE4DA77" w14:textId="77777777" w:rsidR="0028399A" w:rsidRPr="00756D59" w:rsidRDefault="0028399A" w:rsidP="00305D02">
            <w:pPr>
              <w:jc w:val="center"/>
              <w:rPr>
                <w:color w:val="000000"/>
                <w:sz w:val="20"/>
                <w:szCs w:val="20"/>
                <w:lang w:eastAsia="en-CA"/>
              </w:rPr>
            </w:pPr>
            <w:r w:rsidRPr="00756D59">
              <w:rPr>
                <w:sz w:val="20"/>
                <w:szCs w:val="20"/>
                <w:lang w:eastAsia="en-CA"/>
              </w:rPr>
              <w:t>69.5</w:t>
            </w:r>
          </w:p>
        </w:tc>
        <w:tc>
          <w:tcPr>
            <w:tcW w:w="4531" w:type="dxa"/>
            <w:tcMar>
              <w:left w:w="58" w:type="dxa"/>
              <w:right w:w="58" w:type="dxa"/>
            </w:tcMar>
          </w:tcPr>
          <w:p w14:paraId="729DFFCA" w14:textId="77777777" w:rsidR="0028399A" w:rsidRPr="00756D59" w:rsidRDefault="0028399A" w:rsidP="00305D02">
            <w:pPr>
              <w:jc w:val="left"/>
              <w:rPr>
                <w:color w:val="000000"/>
                <w:sz w:val="20"/>
                <w:szCs w:val="20"/>
                <w:lang w:eastAsia="en-CA"/>
              </w:rPr>
            </w:pPr>
            <w:r w:rsidRPr="00756D59">
              <w:rPr>
                <w:sz w:val="20"/>
                <w:szCs w:val="20"/>
                <w:lang w:eastAsia="en-CA"/>
              </w:rPr>
              <w:t>Completion of the remaining activities including review of the licensing systems, review of the data reporting systems and preparation of national strategy for Kigali Amendment implementation.</w:t>
            </w:r>
          </w:p>
        </w:tc>
        <w:tc>
          <w:tcPr>
            <w:tcW w:w="1629" w:type="dxa"/>
            <w:shd w:val="clear" w:color="auto" w:fill="auto"/>
            <w:tcMar>
              <w:left w:w="58" w:type="dxa"/>
              <w:right w:w="58" w:type="dxa"/>
            </w:tcMar>
          </w:tcPr>
          <w:p w14:paraId="326ACC43" w14:textId="77777777" w:rsidR="0028399A" w:rsidRPr="00756D59" w:rsidRDefault="0028399A" w:rsidP="00305D02">
            <w:pPr>
              <w:jc w:val="center"/>
              <w:rPr>
                <w:color w:val="000000"/>
                <w:sz w:val="20"/>
                <w:szCs w:val="20"/>
                <w:lang w:eastAsia="en-CA"/>
              </w:rPr>
            </w:pPr>
            <w:r w:rsidRPr="00756D59">
              <w:rPr>
                <w:sz w:val="20"/>
                <w:szCs w:val="20"/>
                <w:lang w:eastAsia="en-CA"/>
              </w:rPr>
              <w:t>Dec-21</w:t>
            </w:r>
          </w:p>
        </w:tc>
      </w:tr>
      <w:tr w:rsidR="0028399A" w:rsidRPr="00756D59" w14:paraId="102CD367" w14:textId="77777777" w:rsidTr="00305D02">
        <w:trPr>
          <w:trHeight w:val="337"/>
        </w:trPr>
        <w:tc>
          <w:tcPr>
            <w:tcW w:w="2261" w:type="dxa"/>
            <w:tcMar>
              <w:left w:w="58" w:type="dxa"/>
              <w:right w:w="58" w:type="dxa"/>
            </w:tcMar>
          </w:tcPr>
          <w:p w14:paraId="7B706DD8" w14:textId="77777777" w:rsidR="0028399A" w:rsidRPr="00756D59" w:rsidRDefault="0028399A" w:rsidP="00305D02">
            <w:pPr>
              <w:jc w:val="left"/>
              <w:rPr>
                <w:color w:val="000000"/>
                <w:sz w:val="20"/>
                <w:szCs w:val="20"/>
                <w:lang w:eastAsia="en-CA"/>
              </w:rPr>
            </w:pPr>
            <w:r w:rsidRPr="00756D59">
              <w:rPr>
                <w:color w:val="000000"/>
                <w:sz w:val="20"/>
                <w:szCs w:val="20"/>
                <w:lang w:eastAsia="en-CA"/>
              </w:rPr>
              <w:t>Turkey</w:t>
            </w:r>
          </w:p>
          <w:p w14:paraId="2332F3C7" w14:textId="77777777" w:rsidR="0028399A" w:rsidRPr="00756D59" w:rsidRDefault="0028399A" w:rsidP="00305D02">
            <w:pPr>
              <w:jc w:val="left"/>
              <w:rPr>
                <w:color w:val="000000"/>
                <w:sz w:val="20"/>
                <w:szCs w:val="20"/>
                <w:lang w:eastAsia="en-CA"/>
              </w:rPr>
            </w:pPr>
            <w:r w:rsidRPr="00756D59">
              <w:rPr>
                <w:color w:val="000000"/>
                <w:sz w:val="20"/>
                <w:szCs w:val="20"/>
                <w:lang w:eastAsia="en-CA"/>
              </w:rPr>
              <w:t>TUR/SEV/80/TAS/01+</w:t>
            </w:r>
          </w:p>
        </w:tc>
        <w:tc>
          <w:tcPr>
            <w:tcW w:w="3352" w:type="dxa"/>
            <w:tcMar>
              <w:left w:w="58" w:type="dxa"/>
              <w:right w:w="58" w:type="dxa"/>
            </w:tcMar>
          </w:tcPr>
          <w:p w14:paraId="74BED9F4" w14:textId="77777777" w:rsidR="0028399A" w:rsidRPr="00756D59" w:rsidRDefault="0028399A" w:rsidP="00305D02">
            <w:pPr>
              <w:jc w:val="left"/>
              <w:rPr>
                <w:color w:val="000000"/>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58BC5C7A" w14:textId="77777777" w:rsidR="0028399A" w:rsidRPr="00756D59" w:rsidRDefault="0028399A" w:rsidP="00305D02">
            <w:pPr>
              <w:jc w:val="center"/>
              <w:rPr>
                <w:color w:val="000000"/>
                <w:sz w:val="20"/>
                <w:szCs w:val="20"/>
                <w:lang w:eastAsia="en-CA"/>
              </w:rPr>
            </w:pPr>
            <w:r w:rsidRPr="00756D59">
              <w:rPr>
                <w:color w:val="000000"/>
                <w:sz w:val="20"/>
                <w:szCs w:val="20"/>
                <w:lang w:eastAsia="en-CA"/>
              </w:rPr>
              <w:t>Nov-17</w:t>
            </w:r>
          </w:p>
        </w:tc>
        <w:tc>
          <w:tcPr>
            <w:tcW w:w="1305" w:type="dxa"/>
            <w:shd w:val="clear" w:color="auto" w:fill="auto"/>
            <w:tcMar>
              <w:left w:w="58" w:type="dxa"/>
              <w:right w:w="58" w:type="dxa"/>
            </w:tcMar>
          </w:tcPr>
          <w:p w14:paraId="4D349175" w14:textId="77777777" w:rsidR="0028399A" w:rsidRPr="00756D59" w:rsidRDefault="0028399A" w:rsidP="00305D02">
            <w:pPr>
              <w:jc w:val="center"/>
              <w:rPr>
                <w:color w:val="000000"/>
                <w:sz w:val="20"/>
                <w:szCs w:val="20"/>
                <w:lang w:eastAsia="en-CA"/>
              </w:rPr>
            </w:pPr>
            <w:r w:rsidRPr="00756D59">
              <w:rPr>
                <w:color w:val="000000"/>
                <w:sz w:val="20"/>
                <w:szCs w:val="20"/>
                <w:lang w:eastAsia="en-CA"/>
              </w:rPr>
              <w:t>75.1</w:t>
            </w:r>
          </w:p>
        </w:tc>
        <w:tc>
          <w:tcPr>
            <w:tcW w:w="4531" w:type="dxa"/>
            <w:tcMar>
              <w:left w:w="58" w:type="dxa"/>
              <w:right w:w="58" w:type="dxa"/>
            </w:tcMar>
          </w:tcPr>
          <w:p w14:paraId="74BD06E0" w14:textId="77777777" w:rsidR="0028399A" w:rsidRPr="00756D59" w:rsidRDefault="0028399A" w:rsidP="00305D02">
            <w:pPr>
              <w:jc w:val="left"/>
              <w:rPr>
                <w:color w:val="000000"/>
                <w:sz w:val="20"/>
                <w:szCs w:val="20"/>
                <w:lang w:eastAsia="en-CA"/>
              </w:rPr>
            </w:pPr>
            <w:r w:rsidRPr="00756D59">
              <w:rPr>
                <w:color w:val="000000"/>
                <w:sz w:val="20"/>
                <w:szCs w:val="20"/>
                <w:lang w:eastAsia="en-CA"/>
              </w:rPr>
              <w:t>Completion of study tour for experience exchange relating to Kigali Amendment implementation.</w:t>
            </w:r>
          </w:p>
        </w:tc>
        <w:tc>
          <w:tcPr>
            <w:tcW w:w="1629" w:type="dxa"/>
            <w:shd w:val="clear" w:color="auto" w:fill="auto"/>
            <w:tcMar>
              <w:left w:w="58" w:type="dxa"/>
              <w:right w:w="58" w:type="dxa"/>
            </w:tcMar>
          </w:tcPr>
          <w:p w14:paraId="12BDA342" w14:textId="77777777" w:rsidR="0028399A" w:rsidRPr="00756D59" w:rsidRDefault="0028399A" w:rsidP="00305D02">
            <w:pPr>
              <w:jc w:val="center"/>
              <w:rPr>
                <w:color w:val="000000"/>
                <w:sz w:val="20"/>
                <w:szCs w:val="20"/>
                <w:lang w:eastAsia="en-CA"/>
              </w:rPr>
            </w:pPr>
            <w:r w:rsidRPr="00756D59">
              <w:rPr>
                <w:color w:val="000000"/>
                <w:sz w:val="20"/>
                <w:szCs w:val="20"/>
                <w:lang w:eastAsia="en-CA"/>
              </w:rPr>
              <w:t>Dec-21</w:t>
            </w:r>
          </w:p>
        </w:tc>
      </w:tr>
      <w:tr w:rsidR="0028399A" w:rsidRPr="00756D59" w14:paraId="02B1BA0A" w14:textId="77777777" w:rsidTr="00305D02">
        <w:trPr>
          <w:trHeight w:val="337"/>
        </w:trPr>
        <w:tc>
          <w:tcPr>
            <w:tcW w:w="2261" w:type="dxa"/>
            <w:tcMar>
              <w:left w:w="58" w:type="dxa"/>
              <w:right w:w="58" w:type="dxa"/>
            </w:tcMar>
          </w:tcPr>
          <w:p w14:paraId="22B6C147" w14:textId="77777777" w:rsidR="0028399A" w:rsidRPr="00756D59" w:rsidRDefault="0028399A" w:rsidP="00305D02">
            <w:pPr>
              <w:jc w:val="left"/>
              <w:rPr>
                <w:sz w:val="20"/>
                <w:szCs w:val="20"/>
                <w:lang w:eastAsia="en-CA"/>
              </w:rPr>
            </w:pPr>
            <w:r w:rsidRPr="00756D59">
              <w:rPr>
                <w:sz w:val="20"/>
                <w:szCs w:val="20"/>
                <w:lang w:eastAsia="en-CA"/>
              </w:rPr>
              <w:t>Uruguay</w:t>
            </w:r>
          </w:p>
          <w:p w14:paraId="582196BC" w14:textId="77777777" w:rsidR="0028399A" w:rsidRPr="00756D59" w:rsidRDefault="0028399A" w:rsidP="00305D02">
            <w:pPr>
              <w:jc w:val="left"/>
              <w:rPr>
                <w:color w:val="000000"/>
                <w:sz w:val="20"/>
                <w:szCs w:val="20"/>
                <w:lang w:eastAsia="en-CA"/>
              </w:rPr>
            </w:pPr>
            <w:r w:rsidRPr="00756D59">
              <w:rPr>
                <w:sz w:val="20"/>
                <w:szCs w:val="20"/>
                <w:lang w:eastAsia="en-CA"/>
              </w:rPr>
              <w:t>URU/SEV/80/TAS/01+</w:t>
            </w:r>
          </w:p>
        </w:tc>
        <w:tc>
          <w:tcPr>
            <w:tcW w:w="3352" w:type="dxa"/>
            <w:tcMar>
              <w:left w:w="58" w:type="dxa"/>
              <w:right w:w="58" w:type="dxa"/>
            </w:tcMar>
          </w:tcPr>
          <w:p w14:paraId="1BA09140" w14:textId="77777777" w:rsidR="0028399A" w:rsidRPr="00756D59" w:rsidRDefault="0028399A" w:rsidP="00305D02">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9F10DC0" w14:textId="77777777" w:rsidR="0028399A" w:rsidRPr="00756D59" w:rsidRDefault="0028399A" w:rsidP="00305D02">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FA98639" w14:textId="77777777" w:rsidR="0028399A" w:rsidRPr="00756D59" w:rsidRDefault="0028399A" w:rsidP="00305D02">
            <w:pPr>
              <w:jc w:val="center"/>
              <w:rPr>
                <w:color w:val="000000"/>
                <w:sz w:val="20"/>
                <w:szCs w:val="20"/>
                <w:lang w:eastAsia="en-CA"/>
              </w:rPr>
            </w:pPr>
            <w:r w:rsidRPr="00756D59">
              <w:rPr>
                <w:sz w:val="20"/>
                <w:szCs w:val="20"/>
                <w:lang w:eastAsia="en-CA"/>
              </w:rPr>
              <w:t>86.6</w:t>
            </w:r>
          </w:p>
        </w:tc>
        <w:tc>
          <w:tcPr>
            <w:tcW w:w="4531" w:type="dxa"/>
            <w:tcMar>
              <w:left w:w="58" w:type="dxa"/>
              <w:right w:w="58" w:type="dxa"/>
            </w:tcMar>
          </w:tcPr>
          <w:p w14:paraId="158EFBC5" w14:textId="77777777" w:rsidR="0028399A" w:rsidRPr="00756D59" w:rsidRDefault="0028399A" w:rsidP="00305D02">
            <w:pPr>
              <w:jc w:val="left"/>
              <w:rPr>
                <w:color w:val="000000"/>
                <w:sz w:val="20"/>
                <w:szCs w:val="20"/>
                <w:lang w:eastAsia="en-CA"/>
              </w:rPr>
            </w:pPr>
            <w:r w:rsidRPr="00756D59">
              <w:rPr>
                <w:sz w:val="20"/>
                <w:szCs w:val="20"/>
                <w:lang w:eastAsia="en-CA"/>
              </w:rPr>
              <w:t>Completion of review of on-line training programmes.</w:t>
            </w:r>
          </w:p>
        </w:tc>
        <w:tc>
          <w:tcPr>
            <w:tcW w:w="1629" w:type="dxa"/>
            <w:shd w:val="clear" w:color="auto" w:fill="auto"/>
            <w:tcMar>
              <w:left w:w="58" w:type="dxa"/>
              <w:right w:w="58" w:type="dxa"/>
            </w:tcMar>
          </w:tcPr>
          <w:p w14:paraId="295D7DD9" w14:textId="77777777" w:rsidR="0028399A" w:rsidRPr="00756D59" w:rsidRDefault="0028399A" w:rsidP="00305D02">
            <w:pPr>
              <w:jc w:val="center"/>
              <w:rPr>
                <w:color w:val="000000"/>
                <w:sz w:val="20"/>
                <w:szCs w:val="20"/>
                <w:lang w:eastAsia="en-CA"/>
              </w:rPr>
            </w:pPr>
            <w:r w:rsidRPr="00756D59">
              <w:rPr>
                <w:sz w:val="20"/>
                <w:szCs w:val="20"/>
                <w:lang w:eastAsia="en-CA"/>
              </w:rPr>
              <w:t>Dec-21</w:t>
            </w:r>
          </w:p>
        </w:tc>
      </w:tr>
      <w:tr w:rsidR="0028399A" w:rsidRPr="00756D59" w14:paraId="5FB554AB" w14:textId="77777777" w:rsidTr="00305D02">
        <w:trPr>
          <w:trHeight w:val="337"/>
        </w:trPr>
        <w:tc>
          <w:tcPr>
            <w:tcW w:w="2261" w:type="dxa"/>
            <w:tcMar>
              <w:left w:w="58" w:type="dxa"/>
              <w:right w:w="58" w:type="dxa"/>
            </w:tcMar>
          </w:tcPr>
          <w:p w14:paraId="773ABAB1" w14:textId="77777777" w:rsidR="0028399A" w:rsidRPr="00756D59" w:rsidRDefault="0028399A" w:rsidP="00305D02">
            <w:pPr>
              <w:jc w:val="left"/>
              <w:rPr>
                <w:sz w:val="20"/>
                <w:szCs w:val="20"/>
                <w:lang w:eastAsia="en-CA"/>
              </w:rPr>
            </w:pPr>
            <w:r w:rsidRPr="00756D59">
              <w:rPr>
                <w:sz w:val="20"/>
                <w:szCs w:val="20"/>
                <w:lang w:eastAsia="en-CA"/>
              </w:rPr>
              <w:t>Venezuela (Bolivarian Republic of)</w:t>
            </w:r>
          </w:p>
          <w:p w14:paraId="231906D3" w14:textId="77777777" w:rsidR="0028399A" w:rsidRPr="00756D59" w:rsidRDefault="0028399A" w:rsidP="00305D02">
            <w:pPr>
              <w:jc w:val="left"/>
              <w:rPr>
                <w:color w:val="000000"/>
                <w:sz w:val="20"/>
                <w:szCs w:val="20"/>
                <w:lang w:eastAsia="en-CA"/>
              </w:rPr>
            </w:pPr>
            <w:r w:rsidRPr="00756D59">
              <w:rPr>
                <w:sz w:val="20"/>
                <w:szCs w:val="20"/>
                <w:lang w:eastAsia="en-CA"/>
              </w:rPr>
              <w:t>VEN/SEV/81/TAS/01+</w:t>
            </w:r>
          </w:p>
        </w:tc>
        <w:tc>
          <w:tcPr>
            <w:tcW w:w="3352" w:type="dxa"/>
            <w:tcMar>
              <w:left w:w="58" w:type="dxa"/>
              <w:right w:w="58" w:type="dxa"/>
            </w:tcMar>
          </w:tcPr>
          <w:p w14:paraId="12279410" w14:textId="77777777" w:rsidR="0028399A" w:rsidRPr="00756D59" w:rsidRDefault="0028399A" w:rsidP="00305D02">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367E143" w14:textId="77777777" w:rsidR="0028399A" w:rsidRPr="00756D59" w:rsidRDefault="0028399A" w:rsidP="00305D02">
            <w:pPr>
              <w:jc w:val="center"/>
              <w:rPr>
                <w:color w:val="000000"/>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3398AB4" w14:textId="77777777" w:rsidR="0028399A" w:rsidRPr="00756D59" w:rsidRDefault="0028399A" w:rsidP="00305D02">
            <w:pPr>
              <w:jc w:val="center"/>
              <w:rPr>
                <w:color w:val="000000"/>
                <w:sz w:val="20"/>
                <w:szCs w:val="20"/>
                <w:lang w:eastAsia="en-CA"/>
              </w:rPr>
            </w:pPr>
            <w:r w:rsidRPr="00756D59">
              <w:rPr>
                <w:sz w:val="20"/>
                <w:szCs w:val="20"/>
                <w:lang w:eastAsia="en-CA"/>
              </w:rPr>
              <w:t>56.2</w:t>
            </w:r>
          </w:p>
        </w:tc>
        <w:tc>
          <w:tcPr>
            <w:tcW w:w="4531" w:type="dxa"/>
            <w:tcMar>
              <w:left w:w="58" w:type="dxa"/>
              <w:right w:w="58" w:type="dxa"/>
            </w:tcMar>
          </w:tcPr>
          <w:p w14:paraId="218ADA2F" w14:textId="77777777" w:rsidR="0028399A" w:rsidRPr="00756D59" w:rsidRDefault="0028399A" w:rsidP="00305D02">
            <w:pPr>
              <w:jc w:val="left"/>
              <w:rPr>
                <w:color w:val="000000"/>
                <w:sz w:val="20"/>
                <w:szCs w:val="20"/>
                <w:lang w:eastAsia="en-CA"/>
              </w:rPr>
            </w:pPr>
            <w:r w:rsidRPr="00756D59">
              <w:rPr>
                <w:sz w:val="20"/>
                <w:szCs w:val="20"/>
                <w:lang w:eastAsia="en-CA"/>
              </w:rPr>
              <w:t>Review of standards for adoption of HFC-free technologies; customs trainings related to HFC control; and technical and administrative support for ratification.</w:t>
            </w:r>
          </w:p>
        </w:tc>
        <w:tc>
          <w:tcPr>
            <w:tcW w:w="1629" w:type="dxa"/>
            <w:shd w:val="clear" w:color="auto" w:fill="auto"/>
            <w:tcMar>
              <w:left w:w="58" w:type="dxa"/>
              <w:right w:w="58" w:type="dxa"/>
            </w:tcMar>
          </w:tcPr>
          <w:p w14:paraId="66E0F8CA" w14:textId="77777777" w:rsidR="0028399A" w:rsidRPr="00756D59" w:rsidRDefault="0028399A" w:rsidP="00305D02">
            <w:pPr>
              <w:jc w:val="center"/>
              <w:rPr>
                <w:color w:val="000000"/>
                <w:sz w:val="20"/>
                <w:szCs w:val="20"/>
                <w:lang w:eastAsia="en-CA"/>
              </w:rPr>
            </w:pPr>
            <w:r w:rsidRPr="00756D59">
              <w:rPr>
                <w:sz w:val="20"/>
                <w:szCs w:val="20"/>
                <w:lang w:eastAsia="en-CA"/>
              </w:rPr>
              <w:t>Jun-22</w:t>
            </w:r>
          </w:p>
        </w:tc>
      </w:tr>
      <w:tr w:rsidR="0028399A" w:rsidRPr="00756D59" w14:paraId="1868C2DD" w14:textId="77777777" w:rsidTr="00305D02">
        <w:trPr>
          <w:trHeight w:val="337"/>
        </w:trPr>
        <w:tc>
          <w:tcPr>
            <w:tcW w:w="2261" w:type="dxa"/>
            <w:tcMar>
              <w:left w:w="58" w:type="dxa"/>
              <w:right w:w="58" w:type="dxa"/>
            </w:tcMar>
          </w:tcPr>
          <w:p w14:paraId="4A7E048E" w14:textId="77777777" w:rsidR="0028399A" w:rsidRPr="00756D59" w:rsidRDefault="0028399A" w:rsidP="00305D02">
            <w:pPr>
              <w:keepNext/>
              <w:jc w:val="left"/>
              <w:rPr>
                <w:b/>
              </w:rPr>
            </w:pPr>
            <w:r w:rsidRPr="00756D59">
              <w:rPr>
                <w:b/>
              </w:rPr>
              <w:t>WORLD BANK</w:t>
            </w:r>
          </w:p>
        </w:tc>
        <w:tc>
          <w:tcPr>
            <w:tcW w:w="3352" w:type="dxa"/>
            <w:tcMar>
              <w:left w:w="58" w:type="dxa"/>
              <w:right w:w="58" w:type="dxa"/>
            </w:tcMar>
          </w:tcPr>
          <w:p w14:paraId="5F818CA8" w14:textId="77777777" w:rsidR="0028399A" w:rsidRPr="00756D59" w:rsidRDefault="0028399A" w:rsidP="00305D02">
            <w:pPr>
              <w:jc w:val="left"/>
              <w:rPr>
                <w:color w:val="000000"/>
                <w:sz w:val="20"/>
                <w:szCs w:val="20"/>
                <w:lang w:eastAsia="en-CA"/>
              </w:rPr>
            </w:pPr>
          </w:p>
        </w:tc>
        <w:tc>
          <w:tcPr>
            <w:tcW w:w="1236" w:type="dxa"/>
            <w:tcMar>
              <w:left w:w="58" w:type="dxa"/>
              <w:right w:w="58" w:type="dxa"/>
            </w:tcMar>
          </w:tcPr>
          <w:p w14:paraId="07FDF768" w14:textId="77777777" w:rsidR="0028399A" w:rsidRPr="00756D59" w:rsidRDefault="0028399A" w:rsidP="00305D02">
            <w:pPr>
              <w:jc w:val="center"/>
              <w:rPr>
                <w:color w:val="000000"/>
                <w:sz w:val="20"/>
                <w:szCs w:val="20"/>
                <w:lang w:eastAsia="en-CA"/>
              </w:rPr>
            </w:pPr>
          </w:p>
        </w:tc>
        <w:tc>
          <w:tcPr>
            <w:tcW w:w="1305" w:type="dxa"/>
            <w:shd w:val="clear" w:color="auto" w:fill="auto"/>
            <w:tcMar>
              <w:left w:w="58" w:type="dxa"/>
              <w:right w:w="58" w:type="dxa"/>
            </w:tcMar>
          </w:tcPr>
          <w:p w14:paraId="3508F340" w14:textId="77777777" w:rsidR="0028399A" w:rsidRPr="00756D59" w:rsidRDefault="0028399A" w:rsidP="00305D02">
            <w:pPr>
              <w:jc w:val="center"/>
              <w:rPr>
                <w:color w:val="000000"/>
                <w:sz w:val="20"/>
                <w:szCs w:val="20"/>
                <w:lang w:eastAsia="en-CA"/>
              </w:rPr>
            </w:pPr>
          </w:p>
        </w:tc>
        <w:tc>
          <w:tcPr>
            <w:tcW w:w="4531" w:type="dxa"/>
            <w:tcMar>
              <w:left w:w="58" w:type="dxa"/>
              <w:right w:w="58" w:type="dxa"/>
            </w:tcMar>
          </w:tcPr>
          <w:p w14:paraId="3368A702" w14:textId="77777777" w:rsidR="0028399A" w:rsidRPr="00756D59" w:rsidRDefault="0028399A" w:rsidP="00305D02">
            <w:pPr>
              <w:jc w:val="left"/>
              <w:rPr>
                <w:color w:val="000000"/>
                <w:sz w:val="20"/>
                <w:szCs w:val="20"/>
                <w:lang w:eastAsia="en-CA"/>
              </w:rPr>
            </w:pPr>
          </w:p>
        </w:tc>
        <w:tc>
          <w:tcPr>
            <w:tcW w:w="1629" w:type="dxa"/>
            <w:shd w:val="clear" w:color="auto" w:fill="auto"/>
            <w:tcMar>
              <w:left w:w="58" w:type="dxa"/>
              <w:right w:w="58" w:type="dxa"/>
            </w:tcMar>
          </w:tcPr>
          <w:p w14:paraId="50DBB983" w14:textId="77777777" w:rsidR="0028399A" w:rsidRPr="00756D59" w:rsidRDefault="0028399A" w:rsidP="00305D02">
            <w:pPr>
              <w:jc w:val="center"/>
              <w:rPr>
                <w:color w:val="000000"/>
                <w:sz w:val="20"/>
                <w:szCs w:val="20"/>
                <w:lang w:eastAsia="en-CA"/>
              </w:rPr>
            </w:pPr>
          </w:p>
        </w:tc>
      </w:tr>
      <w:tr w:rsidR="0028399A" w:rsidRPr="00A94487" w14:paraId="2E415BDF" w14:textId="77777777" w:rsidTr="00305D02">
        <w:trPr>
          <w:trHeight w:val="337"/>
        </w:trPr>
        <w:tc>
          <w:tcPr>
            <w:tcW w:w="2261" w:type="dxa"/>
            <w:tcMar>
              <w:left w:w="58" w:type="dxa"/>
              <w:right w:w="58" w:type="dxa"/>
            </w:tcMar>
          </w:tcPr>
          <w:p w14:paraId="06085DD3" w14:textId="77777777" w:rsidR="0028399A" w:rsidRPr="00756D59" w:rsidRDefault="0028399A" w:rsidP="00305D02">
            <w:pPr>
              <w:jc w:val="left"/>
              <w:rPr>
                <w:sz w:val="20"/>
                <w:szCs w:val="20"/>
                <w:lang w:eastAsia="en-CA"/>
              </w:rPr>
            </w:pPr>
            <w:r w:rsidRPr="00756D59">
              <w:rPr>
                <w:sz w:val="20"/>
                <w:szCs w:val="20"/>
                <w:lang w:eastAsia="en-CA"/>
              </w:rPr>
              <w:t>Thailand</w:t>
            </w:r>
          </w:p>
          <w:p w14:paraId="0A040A59" w14:textId="77777777" w:rsidR="0028399A" w:rsidRPr="00756D59" w:rsidRDefault="0028399A" w:rsidP="00305D02">
            <w:pPr>
              <w:jc w:val="left"/>
              <w:rPr>
                <w:color w:val="000000"/>
                <w:sz w:val="20"/>
                <w:szCs w:val="20"/>
                <w:lang w:eastAsia="en-CA"/>
              </w:rPr>
            </w:pPr>
            <w:r w:rsidRPr="00756D59">
              <w:rPr>
                <w:sz w:val="20"/>
                <w:szCs w:val="20"/>
                <w:lang w:eastAsia="en-CA"/>
              </w:rPr>
              <w:t>THA/SEV/80/TAS/01+</w:t>
            </w:r>
          </w:p>
        </w:tc>
        <w:tc>
          <w:tcPr>
            <w:tcW w:w="3352" w:type="dxa"/>
            <w:tcMar>
              <w:left w:w="58" w:type="dxa"/>
              <w:right w:w="58" w:type="dxa"/>
            </w:tcMar>
          </w:tcPr>
          <w:p w14:paraId="580DAFA1" w14:textId="77777777" w:rsidR="0028399A" w:rsidRPr="00756D59" w:rsidRDefault="0028399A" w:rsidP="00305D02">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0178F47" w14:textId="77777777" w:rsidR="0028399A" w:rsidRPr="00756D59" w:rsidRDefault="0028399A" w:rsidP="00305D02">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2E05DD3" w14:textId="77777777" w:rsidR="0028399A" w:rsidRPr="00756D59" w:rsidRDefault="0028399A" w:rsidP="00305D02">
            <w:pPr>
              <w:jc w:val="center"/>
              <w:rPr>
                <w:color w:val="000000"/>
                <w:sz w:val="20"/>
                <w:szCs w:val="20"/>
                <w:lang w:eastAsia="en-CA"/>
              </w:rPr>
            </w:pPr>
            <w:r w:rsidRPr="00756D59">
              <w:rPr>
                <w:sz w:val="20"/>
                <w:szCs w:val="20"/>
                <w:lang w:eastAsia="en-CA"/>
              </w:rPr>
              <w:t>42.7</w:t>
            </w:r>
          </w:p>
        </w:tc>
        <w:tc>
          <w:tcPr>
            <w:tcW w:w="4531" w:type="dxa"/>
            <w:tcMar>
              <w:left w:w="58" w:type="dxa"/>
              <w:right w:w="58" w:type="dxa"/>
            </w:tcMar>
          </w:tcPr>
          <w:p w14:paraId="347C48FC" w14:textId="77777777" w:rsidR="0028399A" w:rsidRPr="00756D59" w:rsidRDefault="0028399A" w:rsidP="00305D02">
            <w:pPr>
              <w:jc w:val="left"/>
              <w:rPr>
                <w:color w:val="000000"/>
                <w:sz w:val="20"/>
                <w:szCs w:val="20"/>
                <w:lang w:eastAsia="en-CA"/>
              </w:rPr>
            </w:pPr>
            <w:r w:rsidRPr="00756D59">
              <w:rPr>
                <w:sz w:val="20"/>
                <w:szCs w:val="20"/>
                <w:lang w:eastAsia="en-CA"/>
              </w:rPr>
              <w:t>Finalization of cost analysis and strategy development; stakeholder consultation on the strategy; and finalization of report.</w:t>
            </w:r>
          </w:p>
        </w:tc>
        <w:tc>
          <w:tcPr>
            <w:tcW w:w="1629" w:type="dxa"/>
            <w:shd w:val="clear" w:color="auto" w:fill="auto"/>
            <w:tcMar>
              <w:left w:w="58" w:type="dxa"/>
              <w:right w:w="58" w:type="dxa"/>
            </w:tcMar>
          </w:tcPr>
          <w:p w14:paraId="1F08C384" w14:textId="77777777" w:rsidR="0028399A" w:rsidRPr="00A94487" w:rsidRDefault="0028399A" w:rsidP="00305D02">
            <w:pPr>
              <w:jc w:val="center"/>
              <w:rPr>
                <w:color w:val="000000"/>
                <w:sz w:val="20"/>
                <w:szCs w:val="20"/>
                <w:lang w:eastAsia="en-CA"/>
              </w:rPr>
            </w:pPr>
            <w:r w:rsidRPr="00756D59">
              <w:rPr>
                <w:sz w:val="20"/>
                <w:szCs w:val="20"/>
                <w:lang w:eastAsia="en-CA"/>
              </w:rPr>
              <w:t>Sep-21</w:t>
            </w:r>
          </w:p>
        </w:tc>
      </w:tr>
    </w:tbl>
    <w:p w14:paraId="1C6E4757" w14:textId="77777777" w:rsidR="0028399A" w:rsidRDefault="0028399A" w:rsidP="0028399A"/>
    <w:p w14:paraId="4DB39977" w14:textId="77777777" w:rsidR="0028399A" w:rsidRPr="00A94487" w:rsidRDefault="0028399A" w:rsidP="0028399A"/>
    <w:p w14:paraId="2D252262" w14:textId="31F59372" w:rsidR="0087455A" w:rsidRPr="0028399A" w:rsidRDefault="0087455A">
      <w:pPr>
        <w:jc w:val="center"/>
        <w:rPr>
          <w:b/>
          <w:bCs/>
          <w:lang w:val="en-US"/>
        </w:rPr>
      </w:pPr>
    </w:p>
    <w:p w14:paraId="04A4D8E1" w14:textId="77777777" w:rsidR="0087455A" w:rsidRPr="0028399A" w:rsidRDefault="0087455A">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7455A" w14:paraId="04003882" w14:textId="77777777">
        <w:tc>
          <w:tcPr>
            <w:tcW w:w="1915" w:type="dxa"/>
          </w:tcPr>
          <w:p w14:paraId="4320E9F5" w14:textId="77777777" w:rsidR="0087455A" w:rsidRDefault="0087455A">
            <w:pPr>
              <w:rPr>
                <w:lang w:val="en-CA"/>
              </w:rPr>
            </w:pPr>
          </w:p>
        </w:tc>
        <w:tc>
          <w:tcPr>
            <w:tcW w:w="1915" w:type="dxa"/>
          </w:tcPr>
          <w:p w14:paraId="60BC3B03" w14:textId="77777777" w:rsidR="0087455A" w:rsidRDefault="0087455A">
            <w:pPr>
              <w:rPr>
                <w:lang w:val="en-CA"/>
              </w:rPr>
            </w:pPr>
          </w:p>
        </w:tc>
        <w:tc>
          <w:tcPr>
            <w:tcW w:w="1915" w:type="dxa"/>
            <w:tcBorders>
              <w:bottom w:val="single" w:sz="4" w:space="0" w:color="auto"/>
            </w:tcBorders>
          </w:tcPr>
          <w:p w14:paraId="3030C838" w14:textId="77777777" w:rsidR="0087455A" w:rsidRDefault="0087455A">
            <w:pPr>
              <w:rPr>
                <w:b/>
                <w:bCs/>
                <w:lang w:val="en-CA"/>
              </w:rPr>
            </w:pPr>
          </w:p>
        </w:tc>
        <w:tc>
          <w:tcPr>
            <w:tcW w:w="1915" w:type="dxa"/>
          </w:tcPr>
          <w:p w14:paraId="5A7DD5EC" w14:textId="77777777" w:rsidR="0087455A" w:rsidRDefault="0087455A">
            <w:pPr>
              <w:rPr>
                <w:lang w:val="en-CA"/>
              </w:rPr>
            </w:pPr>
          </w:p>
        </w:tc>
        <w:tc>
          <w:tcPr>
            <w:tcW w:w="1916" w:type="dxa"/>
          </w:tcPr>
          <w:p w14:paraId="2884A6D0" w14:textId="77777777" w:rsidR="0087455A" w:rsidRDefault="0087455A">
            <w:pPr>
              <w:rPr>
                <w:lang w:val="en-CA"/>
              </w:rPr>
            </w:pPr>
          </w:p>
        </w:tc>
      </w:tr>
    </w:tbl>
    <w:p w14:paraId="17847685" w14:textId="77777777" w:rsidR="0087455A" w:rsidRPr="0028399A" w:rsidRDefault="0087455A">
      <w:pPr>
        <w:rPr>
          <w:lang w:val="en-US"/>
        </w:rPr>
      </w:pPr>
    </w:p>
    <w:p w14:paraId="4FC394FF" w14:textId="77777777" w:rsidR="0087455A" w:rsidRPr="0028399A" w:rsidRDefault="0087455A">
      <w:pPr>
        <w:jc w:val="center"/>
        <w:rPr>
          <w:b/>
          <w:bCs/>
          <w:lang w:val="en-US"/>
        </w:rPr>
      </w:pPr>
    </w:p>
    <w:sectPr w:rsidR="0087455A" w:rsidRPr="0028399A" w:rsidSect="0028399A">
      <w:headerReference w:type="even" r:id="rId37"/>
      <w:headerReference w:type="default" r:id="rId38"/>
      <w:footerReference w:type="default" r:id="rId39"/>
      <w:headerReference w:type="first" r:id="rId40"/>
      <w:footerReference w:type="first" r:id="rId41"/>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0B14" w14:textId="77777777" w:rsidR="00305D02" w:rsidRDefault="00305D02">
      <w:r>
        <w:separator/>
      </w:r>
    </w:p>
  </w:endnote>
  <w:endnote w:type="continuationSeparator" w:id="0">
    <w:p w14:paraId="4E396932" w14:textId="77777777" w:rsidR="00305D02" w:rsidRDefault="0030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PlusBook-Roman-Identity-H">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6E81" w14:textId="44DE731A" w:rsidR="00305D02" w:rsidRDefault="00305D02">
    <w:pPr>
      <w:jc w:val="center"/>
    </w:pPr>
    <w:r>
      <w:fldChar w:fldCharType="begin"/>
    </w:r>
    <w:r>
      <w:instrText xml:space="preserve"> PAGE </w:instrText>
    </w:r>
    <w:r>
      <w:fldChar w:fldCharType="separate"/>
    </w:r>
    <w:r w:rsidR="008A3863">
      <w:rPr>
        <w:noProof/>
      </w:rPr>
      <w:t>58</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256B" w14:textId="64DA52EF" w:rsidR="00305D02" w:rsidRDefault="00305D02">
    <w:pPr>
      <w:jc w:val="center"/>
    </w:pPr>
    <w:r>
      <w:fldChar w:fldCharType="begin"/>
    </w:r>
    <w:r>
      <w:instrText xml:space="preserve"> PAGE </w:instrText>
    </w:r>
    <w:r>
      <w:fldChar w:fldCharType="separate"/>
    </w:r>
    <w:r w:rsidR="008A3863">
      <w:rPr>
        <w:noProof/>
      </w:rPr>
      <w:t>10</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934"/>
      <w:docPartObj>
        <w:docPartGallery w:val="Page Numbers (Bottom of Page)"/>
        <w:docPartUnique/>
      </w:docPartObj>
    </w:sdtPr>
    <w:sdtEndPr>
      <w:rPr>
        <w:noProof/>
      </w:rPr>
    </w:sdtEndPr>
    <w:sdtContent>
      <w:p w14:paraId="622F750C" w14:textId="144B7C42" w:rsidR="00305D02" w:rsidRDefault="00305D02" w:rsidP="0028399A">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FBCC" w14:textId="32F13D3C" w:rsidR="00305D02" w:rsidRDefault="00305D02">
    <w:pPr>
      <w:jc w:val="center"/>
    </w:pPr>
    <w:r>
      <w:fldChar w:fldCharType="begin"/>
    </w:r>
    <w:r>
      <w:instrText xml:space="preserve"> PAGE </w:instrText>
    </w:r>
    <w:r>
      <w:fldChar w:fldCharType="separate"/>
    </w:r>
    <w:r w:rsidR="008A3863">
      <w:rPr>
        <w:noProof/>
      </w:rPr>
      <w:t>11</w:t>
    </w:r>
    <w:r>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331941"/>
      <w:docPartObj>
        <w:docPartGallery w:val="Page Numbers (Bottom of Page)"/>
        <w:docPartUnique/>
      </w:docPartObj>
    </w:sdtPr>
    <w:sdtEndPr>
      <w:rPr>
        <w:noProof/>
      </w:rPr>
    </w:sdtEndPr>
    <w:sdtContent>
      <w:p w14:paraId="371A3850" w14:textId="59E98388" w:rsidR="00305D02" w:rsidRDefault="00305D02" w:rsidP="0028399A">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274B" w14:textId="4617B4F9" w:rsidR="00305D02" w:rsidRDefault="00305D02">
    <w:pPr>
      <w:jc w:val="center"/>
    </w:pPr>
    <w:r>
      <w:fldChar w:fldCharType="begin"/>
    </w:r>
    <w:r>
      <w:instrText xml:space="preserve"> PAGE </w:instrText>
    </w:r>
    <w:r>
      <w:fldChar w:fldCharType="separate"/>
    </w:r>
    <w:r w:rsidR="008A3863">
      <w:rPr>
        <w:noProof/>
      </w:rPr>
      <w:t>11</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05766"/>
      <w:docPartObj>
        <w:docPartGallery w:val="Page Numbers (Bottom of Page)"/>
        <w:docPartUnique/>
      </w:docPartObj>
    </w:sdtPr>
    <w:sdtEndPr>
      <w:rPr>
        <w:noProof/>
      </w:rPr>
    </w:sdtEndPr>
    <w:sdtContent>
      <w:p w14:paraId="2EB4DFB5" w14:textId="2981863D" w:rsidR="00305D02" w:rsidRDefault="00305D02" w:rsidP="0028399A">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1E2C" w14:textId="68BF52B7" w:rsidR="00305D02" w:rsidRDefault="00305D02">
    <w:pPr>
      <w:jc w:val="center"/>
    </w:pPr>
    <w:r>
      <w:fldChar w:fldCharType="begin"/>
    </w:r>
    <w:r>
      <w:instrText xml:space="preserve"> PAGE </w:instrText>
    </w:r>
    <w:r>
      <w:fldChar w:fldCharType="separate"/>
    </w:r>
    <w:r w:rsidR="008A3863">
      <w:rPr>
        <w:noProof/>
      </w:rPr>
      <w:t>57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954E" w14:textId="77777777" w:rsidR="00305D02" w:rsidRDefault="00305D02">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1A6F" w14:textId="55F47377" w:rsidR="00305D02" w:rsidRDefault="00305D02">
    <w:pPr>
      <w:jc w:val="center"/>
    </w:pPr>
    <w:r>
      <w:fldChar w:fldCharType="begin"/>
    </w:r>
    <w:r>
      <w:instrText xml:space="preserve"> PAGE </w:instrText>
    </w:r>
    <w:r>
      <w:fldChar w:fldCharType="separate"/>
    </w:r>
    <w:r w:rsidR="008A3863">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28C4ACB1" w14:textId="4710C5D4" w:rsidR="00305D02" w:rsidRDefault="00305D02" w:rsidP="0028399A">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25264"/>
      <w:docPartObj>
        <w:docPartGallery w:val="Page Numbers (Bottom of Page)"/>
        <w:docPartUnique/>
      </w:docPartObj>
    </w:sdtPr>
    <w:sdtEndPr>
      <w:rPr>
        <w:noProof/>
      </w:rPr>
    </w:sdtEndPr>
    <w:sdtContent>
      <w:p w14:paraId="39E08AE6" w14:textId="663B5936" w:rsidR="00305D02" w:rsidRDefault="00305D02">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p w14:paraId="763D62FB" w14:textId="77777777" w:rsidR="00305D02" w:rsidRPr="00CE74DC" w:rsidRDefault="00305D02" w:rsidP="00305D0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4227" w14:textId="71E0BE6E" w:rsidR="00305D02" w:rsidRDefault="00305D02">
    <w:pPr>
      <w:jc w:val="center"/>
    </w:pPr>
    <w:r>
      <w:fldChar w:fldCharType="begin"/>
    </w:r>
    <w:r>
      <w:instrText xml:space="preserve"> PAGE </w:instrText>
    </w:r>
    <w:r>
      <w:fldChar w:fldCharType="separate"/>
    </w:r>
    <w:r w:rsidR="008A3863">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25696"/>
      <w:docPartObj>
        <w:docPartGallery w:val="Page Numbers (Bottom of Page)"/>
        <w:docPartUnique/>
      </w:docPartObj>
    </w:sdtPr>
    <w:sdtEndPr>
      <w:rPr>
        <w:noProof/>
      </w:rPr>
    </w:sdtEndPr>
    <w:sdtContent>
      <w:p w14:paraId="744ED363" w14:textId="433134F1" w:rsidR="00305D02" w:rsidRDefault="00305D02" w:rsidP="0028399A">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22886"/>
      <w:docPartObj>
        <w:docPartGallery w:val="Page Numbers (Bottom of Page)"/>
        <w:docPartUnique/>
      </w:docPartObj>
    </w:sdtPr>
    <w:sdtEndPr>
      <w:rPr>
        <w:noProof/>
      </w:rPr>
    </w:sdtEndPr>
    <w:sdtContent>
      <w:p w14:paraId="78841B1A" w14:textId="0FE1751C" w:rsidR="00305D02" w:rsidRDefault="00305D02" w:rsidP="0028399A">
        <w:pPr>
          <w:pStyle w:val="Footer"/>
          <w:jc w:val="center"/>
        </w:pPr>
        <w:r>
          <w:fldChar w:fldCharType="begin"/>
        </w:r>
        <w:r>
          <w:instrText xml:space="preserve"> PAGE   \* MERGEFORMAT </w:instrText>
        </w:r>
        <w:r>
          <w:fldChar w:fldCharType="separate"/>
        </w:r>
        <w:r w:rsidR="008A386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8FF8" w14:textId="77777777" w:rsidR="00305D02" w:rsidRDefault="00305D02">
      <w:r>
        <w:separator/>
      </w:r>
    </w:p>
  </w:footnote>
  <w:footnote w:type="continuationSeparator" w:id="0">
    <w:p w14:paraId="71DEBC0A" w14:textId="77777777" w:rsidR="00305D02" w:rsidRDefault="00305D02">
      <w:r>
        <w:continuationSeparator/>
      </w:r>
    </w:p>
  </w:footnote>
  <w:footnote w:id="1">
    <w:p w14:paraId="3392855F" w14:textId="42D7A062" w:rsidR="00305D02" w:rsidRPr="00014351" w:rsidRDefault="00305D02">
      <w:pPr>
        <w:pStyle w:val="FootnoteText"/>
        <w:rPr>
          <w:lang w:val="es-MX"/>
        </w:rPr>
      </w:pPr>
      <w:r>
        <w:rPr>
          <w:rStyle w:val="FootnoteReference"/>
        </w:rPr>
        <w:footnoteRef/>
      </w:r>
      <w:r w:rsidRPr="00064429">
        <w:rPr>
          <w:lang w:val="es-AR"/>
        </w:rPr>
        <w:t xml:space="preserve"> </w:t>
      </w:r>
      <w:r w:rsidRPr="008D6A1A">
        <w:rPr>
          <w:lang w:val="es-MX"/>
        </w:rPr>
        <w:t>En junio y julio de 2021 se celebrarán reunion</w:t>
      </w:r>
      <w:r>
        <w:rPr>
          <w:lang w:val="es-MX"/>
        </w:rPr>
        <w:t>e</w:t>
      </w:r>
      <w:r w:rsidRPr="008D6A1A">
        <w:rPr>
          <w:lang w:val="es-MX"/>
        </w:rPr>
        <w:t xml:space="preserve">s en </w:t>
      </w:r>
      <w:r>
        <w:rPr>
          <w:lang w:val="es-MX"/>
        </w:rPr>
        <w:t>línea y se llevará a cabo el proceso de aprobación entre períodos de sesiones, debido al coronavirus (COVID-19).</w:t>
      </w:r>
    </w:p>
  </w:footnote>
  <w:footnote w:id="2">
    <w:p w14:paraId="7968AECE" w14:textId="333D68D9" w:rsidR="00305D02" w:rsidRDefault="00305D02" w:rsidP="00EE6440">
      <w:pPr>
        <w:pStyle w:val="FootnoteText"/>
        <w:rPr>
          <w:lang w:val="es-AR"/>
        </w:rPr>
      </w:pPr>
      <w:r>
        <w:rPr>
          <w:rStyle w:val="FootnoteReference"/>
        </w:rPr>
        <w:footnoteRef/>
      </w:r>
      <w:r w:rsidRPr="00EE6440">
        <w:rPr>
          <w:lang w:val="es-AR"/>
        </w:rPr>
        <w:t xml:space="preserve"> UNEP/</w:t>
      </w:r>
      <w:proofErr w:type="spellStart"/>
      <w:r w:rsidRPr="00EE6440">
        <w:rPr>
          <w:lang w:val="es-AR"/>
        </w:rPr>
        <w:t>OzL.Pro</w:t>
      </w:r>
      <w:proofErr w:type="spellEnd"/>
      <w:r w:rsidRPr="00EE6440">
        <w:rPr>
          <w:lang w:val="es-AR"/>
        </w:rPr>
        <w:t>/</w:t>
      </w:r>
      <w:proofErr w:type="spellStart"/>
      <w:r w:rsidRPr="00EE6440">
        <w:rPr>
          <w:lang w:val="es-AR"/>
        </w:rPr>
        <w:t>ExCom</w:t>
      </w:r>
      <w:proofErr w:type="spellEnd"/>
      <w:r w:rsidRPr="00EE6440">
        <w:rPr>
          <w:lang w:val="es-AR"/>
        </w:rPr>
        <w:t>/86/15-20</w:t>
      </w:r>
    </w:p>
    <w:p w14:paraId="55EC2D30" w14:textId="37B51CA8" w:rsidR="00305D02" w:rsidRDefault="00305D02" w:rsidP="00EE6440">
      <w:pPr>
        <w:pStyle w:val="FootnoteText"/>
        <w:rPr>
          <w:lang w:val="es-AR"/>
        </w:rPr>
      </w:pPr>
    </w:p>
    <w:p w14:paraId="3A193A83" w14:textId="77777777" w:rsidR="00305D02" w:rsidRPr="00EE6440" w:rsidRDefault="00305D02" w:rsidP="00EE6440">
      <w:pPr>
        <w:pStyle w:val="FootnoteText"/>
        <w:rPr>
          <w:lang w:val="es-AR"/>
        </w:rPr>
      </w:pPr>
    </w:p>
  </w:footnote>
  <w:footnote w:id="3">
    <w:p w14:paraId="40072094" w14:textId="77777777" w:rsidR="00305D02" w:rsidRPr="00EE6440" w:rsidRDefault="00305D02" w:rsidP="00EE6440">
      <w:pPr>
        <w:pStyle w:val="FootnoteText"/>
        <w:rPr>
          <w:lang w:val="es-AR"/>
        </w:rPr>
      </w:pPr>
      <w:r>
        <w:rPr>
          <w:rStyle w:val="FootnoteReference"/>
        </w:rPr>
        <w:footnoteRef/>
      </w:r>
      <w:r w:rsidRPr="00EE6440">
        <w:rPr>
          <w:lang w:val="es-AR"/>
        </w:rPr>
        <w:t xml:space="preserve"> UNEP/OzL.Pro/ExCom/87/9/Add.1</w:t>
      </w:r>
    </w:p>
  </w:footnote>
  <w:footnote w:id="4">
    <w:p w14:paraId="6C799E76" w14:textId="6C2B771C" w:rsidR="00305D02" w:rsidRPr="004A4DFC" w:rsidRDefault="00305D02" w:rsidP="00EE6440">
      <w:pPr>
        <w:pStyle w:val="FootnoteText"/>
        <w:rPr>
          <w:lang w:val="es-MX"/>
        </w:rPr>
      </w:pPr>
      <w:r w:rsidRPr="00FD1CAA">
        <w:rPr>
          <w:rStyle w:val="FootnoteReference"/>
        </w:rPr>
        <w:footnoteRef/>
      </w:r>
      <w:r w:rsidRPr="004A4DFC">
        <w:rPr>
          <w:lang w:val="es-MX"/>
        </w:rPr>
        <w:t xml:space="preserve"> </w:t>
      </w:r>
      <w:r>
        <w:rPr>
          <w:lang w:val="es-MX"/>
        </w:rPr>
        <w:t>El f</w:t>
      </w:r>
      <w:r w:rsidRPr="00D31C30">
        <w:rPr>
          <w:lang w:val="es-MX"/>
        </w:rPr>
        <w:t xml:space="preserve">ortalecimiento institucional, </w:t>
      </w:r>
      <w:r>
        <w:rPr>
          <w:lang w:val="es-MX"/>
        </w:rPr>
        <w:t xml:space="preserve">los </w:t>
      </w:r>
      <w:r w:rsidRPr="00D31C30">
        <w:rPr>
          <w:lang w:val="es-MX"/>
        </w:rPr>
        <w:t xml:space="preserve">bancos de </w:t>
      </w:r>
      <w:proofErr w:type="spellStart"/>
      <w:r w:rsidRPr="00D31C30">
        <w:rPr>
          <w:lang w:val="es-MX"/>
        </w:rPr>
        <w:t>halones</w:t>
      </w:r>
      <w:proofErr w:type="spellEnd"/>
      <w:r w:rsidRPr="00D31C30">
        <w:rPr>
          <w:lang w:val="es-MX"/>
        </w:rPr>
        <w:t xml:space="preserve">, </w:t>
      </w:r>
      <w:r>
        <w:rPr>
          <w:lang w:val="es-MX"/>
        </w:rPr>
        <w:t xml:space="preserve">la </w:t>
      </w:r>
      <w:r w:rsidRPr="00D31C30">
        <w:rPr>
          <w:lang w:val="es-MX"/>
        </w:rPr>
        <w:t xml:space="preserve">capacitación de oficiales de aduana, </w:t>
      </w:r>
      <w:r>
        <w:rPr>
          <w:lang w:val="es-MX"/>
        </w:rPr>
        <w:t xml:space="preserve">la </w:t>
      </w:r>
      <w:r w:rsidRPr="00D31C30">
        <w:rPr>
          <w:lang w:val="es-MX"/>
        </w:rPr>
        <w:t xml:space="preserve">recuperación y </w:t>
      </w:r>
      <w:r>
        <w:rPr>
          <w:lang w:val="es-MX"/>
        </w:rPr>
        <w:t xml:space="preserve">el </w:t>
      </w:r>
      <w:r w:rsidRPr="00D31C30">
        <w:rPr>
          <w:lang w:val="es-MX"/>
        </w:rPr>
        <w:t>reciclado y los proyectos de demostración no están sujetos a los procedimientos de cancelación del proyecto. No obstante, el Comité Ejecutivo decidió seguir supervisándolos</w:t>
      </w:r>
      <w:r>
        <w:rPr>
          <w:lang w:val="es-MX"/>
        </w:rPr>
        <w:t>,</w:t>
      </w:r>
      <w:r w:rsidRPr="00D31C30">
        <w:rPr>
          <w:lang w:val="es-MX"/>
        </w:rPr>
        <w:t xml:space="preserve"> cuando proceda (decisión 36/14</w:t>
      </w:r>
      <w:r>
        <w:rPr>
          <w:lang w:val="es-MX"/>
        </w:rPr>
        <w:t xml:space="preserve"> </w:t>
      </w:r>
      <w:r w:rsidRPr="00D31C30">
        <w:rPr>
          <w:lang w:val="es-MX"/>
        </w:rPr>
        <w:t>b)).</w:t>
      </w:r>
      <w:r w:rsidRPr="004A4DFC">
        <w:rPr>
          <w:lang w:val="es-MX"/>
        </w:rPr>
        <w:t xml:space="preserve"> </w:t>
      </w:r>
    </w:p>
  </w:footnote>
  <w:footnote w:id="5">
    <w:p w14:paraId="10C106C3" w14:textId="77777777" w:rsidR="00305D02" w:rsidRPr="006B3538" w:rsidRDefault="00305D02" w:rsidP="00EE6440">
      <w:pPr>
        <w:pStyle w:val="FootnoteText"/>
        <w:rPr>
          <w:lang w:val="es-MX"/>
        </w:rPr>
      </w:pPr>
      <w:r>
        <w:rPr>
          <w:rStyle w:val="FootnoteReference"/>
        </w:rPr>
        <w:footnoteRef/>
      </w:r>
      <w:r w:rsidRPr="006B3538">
        <w:rPr>
          <w:lang w:val="es-MX"/>
        </w:rPr>
        <w:t xml:space="preserve"> El informe relacionado con el plan de gesti</w:t>
      </w:r>
      <w:r>
        <w:rPr>
          <w:lang w:val="es-MX"/>
        </w:rPr>
        <w:t>ó</w:t>
      </w:r>
      <w:r w:rsidRPr="006B3538">
        <w:rPr>
          <w:lang w:val="es-MX"/>
        </w:rPr>
        <w:t xml:space="preserve">n de eliminación de </w:t>
      </w:r>
      <w:r>
        <w:rPr>
          <w:lang w:val="es-MX"/>
        </w:rPr>
        <w:t xml:space="preserve">los HCFC para </w:t>
      </w:r>
      <w:r w:rsidRPr="006B3538">
        <w:rPr>
          <w:lang w:val="es-MX"/>
        </w:rPr>
        <w:t xml:space="preserve">Uruguay </w:t>
      </w:r>
      <w:r>
        <w:rPr>
          <w:lang w:val="es-MX"/>
        </w:rPr>
        <w:t xml:space="preserve">se incluyó en el documento de la propuesta de proyecto </w:t>
      </w:r>
      <w:r w:rsidRPr="006B3538">
        <w:rPr>
          <w:lang w:val="es-MX"/>
        </w:rPr>
        <w:t>(UNEP/OzL.Pro/ExCom/85/52).</w:t>
      </w:r>
    </w:p>
  </w:footnote>
  <w:footnote w:id="6">
    <w:p w14:paraId="582D1DE9" w14:textId="77777777" w:rsidR="00305D02" w:rsidRPr="00EE6440" w:rsidRDefault="00305D02" w:rsidP="00EE6440">
      <w:pPr>
        <w:pStyle w:val="FootnoteText"/>
        <w:rPr>
          <w:lang w:val="es-MX"/>
        </w:rPr>
      </w:pPr>
      <w:r>
        <w:rPr>
          <w:rStyle w:val="FootnoteReference"/>
        </w:rPr>
        <w:footnoteRef/>
      </w:r>
      <w:r w:rsidRPr="00EE6440">
        <w:rPr>
          <w:lang w:val="es-MX"/>
        </w:rPr>
        <w:t xml:space="preserve"> UNEP/OzL.Pro/ExCom/63/22</w:t>
      </w:r>
    </w:p>
  </w:footnote>
  <w:footnote w:id="7">
    <w:p w14:paraId="55E160E4" w14:textId="77777777" w:rsidR="00305D02" w:rsidRPr="00EE6440" w:rsidRDefault="00305D02" w:rsidP="00EE6440">
      <w:pPr>
        <w:pStyle w:val="FootnoteText"/>
        <w:rPr>
          <w:lang w:val="es-MX"/>
        </w:rPr>
      </w:pPr>
      <w:r w:rsidRPr="00B47F72">
        <w:rPr>
          <w:rStyle w:val="FootnoteReference"/>
        </w:rPr>
        <w:footnoteRef/>
      </w:r>
      <w:r w:rsidRPr="00EE6440">
        <w:rPr>
          <w:lang w:val="es-MX"/>
        </w:rPr>
        <w:t xml:space="preserve"> Sistema Aduanero Automatizado </w:t>
      </w:r>
    </w:p>
  </w:footnote>
  <w:footnote w:id="8">
    <w:p w14:paraId="424EDE39" w14:textId="77777777" w:rsidR="00305D02" w:rsidRPr="00E86DE5" w:rsidRDefault="00305D02" w:rsidP="00EE6440">
      <w:pPr>
        <w:pStyle w:val="FootnoteText"/>
        <w:rPr>
          <w:lang w:val="es-MX"/>
        </w:rPr>
      </w:pPr>
      <w:r w:rsidRPr="00794CDF">
        <w:rPr>
          <w:rStyle w:val="FootnoteReference"/>
        </w:rPr>
        <w:footnoteRef/>
      </w:r>
      <w:r w:rsidRPr="00E86DE5">
        <w:rPr>
          <w:lang w:val="es-MX"/>
        </w:rPr>
        <w:t xml:space="preserve"> UNEP/OzL.Pro/ExCom/84/39</w:t>
      </w:r>
    </w:p>
  </w:footnote>
  <w:footnote w:id="9">
    <w:p w14:paraId="66B010EA" w14:textId="77777777" w:rsidR="00305D02" w:rsidRPr="00E86DE5" w:rsidRDefault="00305D02" w:rsidP="00EE6440">
      <w:pPr>
        <w:pStyle w:val="FootnoteText"/>
        <w:rPr>
          <w:lang w:val="es-MX"/>
        </w:rPr>
      </w:pPr>
      <w:r w:rsidRPr="00C41FB9">
        <w:rPr>
          <w:rStyle w:val="FootnoteReference"/>
        </w:rPr>
        <w:footnoteRef/>
      </w:r>
      <w:r w:rsidRPr="00E86DE5">
        <w:rPr>
          <w:lang w:val="es-MX"/>
        </w:rPr>
        <w:t xml:space="preserve"> </w:t>
      </w:r>
      <w:r w:rsidRPr="00930EBB">
        <w:rPr>
          <w:lang w:val="es-MX"/>
        </w:rPr>
        <w:t>La financiación de $</w:t>
      </w:r>
      <w:r>
        <w:rPr>
          <w:lang w:val="es-MX"/>
        </w:rPr>
        <w:t xml:space="preserve">EUA </w:t>
      </w:r>
      <w:r w:rsidRPr="00E86DE5">
        <w:rPr>
          <w:lang w:val="es-MX"/>
        </w:rPr>
        <w:t>348</w:t>
      </w:r>
      <w:r>
        <w:rPr>
          <w:lang w:val="es-MX"/>
        </w:rPr>
        <w:t xml:space="preserve"> </w:t>
      </w:r>
      <w:r w:rsidRPr="00E86DE5">
        <w:rPr>
          <w:lang w:val="es-MX"/>
        </w:rPr>
        <w:t>767</w:t>
      </w:r>
      <w:r>
        <w:rPr>
          <w:lang w:val="es-MX"/>
        </w:rPr>
        <w:t>,</w:t>
      </w:r>
      <w:r w:rsidRPr="00E86DE5">
        <w:rPr>
          <w:lang w:val="es-MX"/>
        </w:rPr>
        <w:t xml:space="preserve"> aprob</w:t>
      </w:r>
      <w:r>
        <w:rPr>
          <w:lang w:val="es-MX"/>
        </w:rPr>
        <w:t>ada</w:t>
      </w:r>
      <w:r w:rsidRPr="00E86DE5">
        <w:rPr>
          <w:lang w:val="es-MX"/>
        </w:rPr>
        <w:t xml:space="preserve"> para las dos empresas </w:t>
      </w:r>
      <w:r>
        <w:rPr>
          <w:lang w:val="es-MX"/>
        </w:rPr>
        <w:t>d</w:t>
      </w:r>
      <w:r w:rsidRPr="00E86DE5">
        <w:rPr>
          <w:lang w:val="es-MX"/>
        </w:rPr>
        <w:t>el sector de espuma</w:t>
      </w:r>
      <w:r>
        <w:rPr>
          <w:lang w:val="es-MX"/>
        </w:rPr>
        <w:t>s</w:t>
      </w:r>
      <w:r w:rsidRPr="00E86DE5">
        <w:rPr>
          <w:lang w:val="es-MX"/>
        </w:rPr>
        <w:t xml:space="preserve"> de </w:t>
      </w:r>
      <w:proofErr w:type="spellStart"/>
      <w:r w:rsidRPr="00E86DE5">
        <w:rPr>
          <w:lang w:val="es-MX"/>
        </w:rPr>
        <w:t>poliestireno</w:t>
      </w:r>
      <w:proofErr w:type="spellEnd"/>
      <w:r w:rsidRPr="00E86DE5">
        <w:rPr>
          <w:lang w:val="es-MX"/>
        </w:rPr>
        <w:t xml:space="preserve"> extruido</w:t>
      </w:r>
      <w:r>
        <w:rPr>
          <w:lang w:val="es-MX"/>
        </w:rPr>
        <w:t>,</w:t>
      </w:r>
      <w:r w:rsidRPr="00E86DE5">
        <w:rPr>
          <w:lang w:val="es-MX"/>
        </w:rPr>
        <w:t xml:space="preserve"> </w:t>
      </w:r>
      <w:r>
        <w:rPr>
          <w:lang w:val="es-MX"/>
        </w:rPr>
        <w:t xml:space="preserve">fue </w:t>
      </w:r>
      <w:r w:rsidRPr="00E86DE5">
        <w:rPr>
          <w:lang w:val="es-MX"/>
        </w:rPr>
        <w:t>más baja que el cost</w:t>
      </w:r>
      <w:r>
        <w:rPr>
          <w:lang w:val="es-MX"/>
        </w:rPr>
        <w:t>o</w:t>
      </w:r>
      <w:r w:rsidRPr="00E86DE5">
        <w:rPr>
          <w:lang w:val="es-MX"/>
        </w:rPr>
        <w:t xml:space="preserve"> </w:t>
      </w:r>
      <w:r>
        <w:rPr>
          <w:lang w:val="es-MX"/>
        </w:rPr>
        <w:t xml:space="preserve">adicional </w:t>
      </w:r>
      <w:r w:rsidRPr="00E86DE5">
        <w:rPr>
          <w:lang w:val="es-MX"/>
        </w:rPr>
        <w:t>estimado de $</w:t>
      </w:r>
      <w:r>
        <w:rPr>
          <w:lang w:val="es-MX"/>
        </w:rPr>
        <w:t xml:space="preserve">EUA </w:t>
      </w:r>
      <w:r w:rsidRPr="00E86DE5">
        <w:rPr>
          <w:lang w:val="es-MX"/>
        </w:rPr>
        <w:t>439</w:t>
      </w:r>
      <w:r>
        <w:rPr>
          <w:lang w:val="es-MX"/>
        </w:rPr>
        <w:t xml:space="preserve"> </w:t>
      </w:r>
      <w:r w:rsidRPr="00E86DE5">
        <w:rPr>
          <w:lang w:val="es-MX"/>
        </w:rPr>
        <w:t xml:space="preserve">200; </w:t>
      </w:r>
      <w:r>
        <w:rPr>
          <w:lang w:val="es-MX"/>
        </w:rPr>
        <w:t xml:space="preserve">se convino que </w:t>
      </w:r>
      <w:r w:rsidRPr="00E86DE5">
        <w:rPr>
          <w:lang w:val="es-MX"/>
        </w:rPr>
        <w:t xml:space="preserve">el gobierno de Argentina tendría flexibilidad </w:t>
      </w:r>
      <w:r>
        <w:rPr>
          <w:lang w:val="es-MX"/>
        </w:rPr>
        <w:t xml:space="preserve">para </w:t>
      </w:r>
      <w:r w:rsidRPr="00E86DE5">
        <w:rPr>
          <w:lang w:val="es-MX"/>
        </w:rPr>
        <w:t>asigna</w:t>
      </w:r>
      <w:r>
        <w:rPr>
          <w:lang w:val="es-MX"/>
        </w:rPr>
        <w:t xml:space="preserve">r los </w:t>
      </w:r>
      <w:r w:rsidRPr="00E86DE5">
        <w:rPr>
          <w:lang w:val="es-MX"/>
        </w:rPr>
        <w:t>fondos entre las dos empresas, a condición</w:t>
      </w:r>
      <w:r>
        <w:rPr>
          <w:lang w:val="es-MX"/>
        </w:rPr>
        <w:t xml:space="preserve"> de</w:t>
      </w:r>
      <w:r w:rsidRPr="00E86DE5">
        <w:rPr>
          <w:lang w:val="es-MX"/>
        </w:rPr>
        <w:t xml:space="preserve"> que ambas empresas </w:t>
      </w:r>
      <w:r>
        <w:rPr>
          <w:lang w:val="es-MX"/>
        </w:rPr>
        <w:t xml:space="preserve">se convirtieran </w:t>
      </w:r>
      <w:r w:rsidRPr="00E86DE5">
        <w:rPr>
          <w:lang w:val="es-MX"/>
        </w:rPr>
        <w:t xml:space="preserve">a la tecnología seleccionada </w:t>
      </w:r>
      <w:r>
        <w:rPr>
          <w:lang w:val="es-MX"/>
        </w:rPr>
        <w:t xml:space="preserve">dentro del plazo </w:t>
      </w:r>
      <w:r w:rsidRPr="00E86DE5">
        <w:rPr>
          <w:lang w:val="es-MX"/>
        </w:rPr>
        <w:t>(apartado 76 del documento UNEP/OzL.Pro/ExCom/79/27).</w:t>
      </w:r>
    </w:p>
  </w:footnote>
  <w:footnote w:id="10">
    <w:p w14:paraId="0B85C38B" w14:textId="77777777" w:rsidR="00305D02" w:rsidRPr="00EE6440" w:rsidRDefault="00305D02" w:rsidP="00EE6440">
      <w:pPr>
        <w:pStyle w:val="FootnoteText"/>
        <w:rPr>
          <w:lang w:val="es-MX"/>
        </w:rPr>
      </w:pPr>
      <w:r w:rsidRPr="00E133B5">
        <w:rPr>
          <w:rStyle w:val="FootnoteReference"/>
        </w:rPr>
        <w:footnoteRef/>
      </w:r>
      <w:r w:rsidRPr="00EE6440">
        <w:rPr>
          <w:lang w:val="es-MX"/>
        </w:rPr>
        <w:t xml:space="preserve"> UNEP/OzL.Pro/ExCom/66/31</w:t>
      </w:r>
    </w:p>
  </w:footnote>
  <w:footnote w:id="11">
    <w:p w14:paraId="25AB5981" w14:textId="77777777" w:rsidR="00305D02" w:rsidRPr="00EE6440" w:rsidRDefault="00305D02" w:rsidP="00EE6440">
      <w:pPr>
        <w:pStyle w:val="FootnoteText"/>
        <w:rPr>
          <w:lang w:val="es-MX"/>
        </w:rPr>
      </w:pPr>
      <w:r w:rsidRPr="00E133B5">
        <w:rPr>
          <w:rStyle w:val="FootnoteReference"/>
        </w:rPr>
        <w:footnoteRef/>
      </w:r>
      <w:r w:rsidRPr="00EE6440">
        <w:rPr>
          <w:lang w:val="es-MX"/>
        </w:rPr>
        <w:t xml:space="preserve"> </w:t>
      </w:r>
      <w:r w:rsidRPr="00EE6440">
        <w:rPr>
          <w:color w:val="000000"/>
          <w:shd w:val="clear" w:color="auto" w:fill="F9F9F9"/>
          <w:lang w:val="es-MX"/>
        </w:rPr>
        <w:t>UNEP/OzL.Pro/ExCom/85/20</w:t>
      </w:r>
    </w:p>
  </w:footnote>
  <w:footnote w:id="12">
    <w:p w14:paraId="3FB67EC8" w14:textId="11E27232" w:rsidR="00305D02" w:rsidRPr="009A2CFD" w:rsidRDefault="00305D02">
      <w:pPr>
        <w:pStyle w:val="FootnoteText"/>
        <w:rPr>
          <w:lang w:val="es-419"/>
        </w:rPr>
      </w:pPr>
      <w:r>
        <w:rPr>
          <w:rStyle w:val="FootnoteReference"/>
        </w:rPr>
        <w:footnoteRef/>
      </w:r>
      <w:r w:rsidRPr="009A2CFD">
        <w:rPr>
          <w:lang w:val="es-419"/>
        </w:rPr>
        <w:t xml:space="preserve"> </w:t>
      </w:r>
      <w:r>
        <w:rPr>
          <w:lang w:val="es-PE"/>
        </w:rPr>
        <w:t>Anexo IV del documento UNEP/OzL.Pro/ExCom/85/67.</w:t>
      </w:r>
    </w:p>
  </w:footnote>
  <w:footnote w:id="13">
    <w:p w14:paraId="1C7B5243" w14:textId="4ABEF8EF" w:rsidR="00305D02" w:rsidRPr="0050128D" w:rsidRDefault="00305D02">
      <w:pPr>
        <w:pStyle w:val="FootnoteText"/>
        <w:rPr>
          <w:lang w:val="es-419"/>
        </w:rPr>
      </w:pPr>
      <w:r>
        <w:rPr>
          <w:rStyle w:val="FootnoteReference"/>
        </w:rPr>
        <w:footnoteRef/>
      </w:r>
      <w:r w:rsidRPr="0050128D">
        <w:rPr>
          <w:lang w:val="es-419"/>
        </w:rPr>
        <w:t xml:space="preserve"> </w:t>
      </w:r>
      <w:r>
        <w:rPr>
          <w:lang w:val="es-PE"/>
        </w:rPr>
        <w:t>De las ocho pequeñas y medianas empresas iniciales previstas para el proyecto de grupo, dos pasaron a ser proyectos individuales y realizaron su conversión por cuenta propia; otras dos no participaron y tres que cumplían las condiciones de admisibilidad, pero que no se habían identificado en un inicio en el estudio de mercado durante la elaboración del proyecto se integraron al proyecto de grupo.</w:t>
      </w:r>
    </w:p>
  </w:footnote>
  <w:footnote w:id="14">
    <w:p w14:paraId="46C67C32" w14:textId="24CBDAC9" w:rsidR="00305D02" w:rsidRPr="0050128D" w:rsidRDefault="00305D02">
      <w:pPr>
        <w:pStyle w:val="FootnoteText"/>
        <w:rPr>
          <w:lang w:val="es-419"/>
        </w:rPr>
      </w:pPr>
      <w:r>
        <w:rPr>
          <w:rStyle w:val="FootnoteReference"/>
        </w:rPr>
        <w:footnoteRef/>
      </w:r>
      <w:r w:rsidRPr="0050128D">
        <w:rPr>
          <w:lang w:val="es-419"/>
        </w:rPr>
        <w:t xml:space="preserve"> </w:t>
      </w:r>
      <w:r w:rsidRPr="009A2CFD">
        <w:rPr>
          <w:lang w:val="es-419"/>
        </w:rPr>
        <w:t>UNEP/OzL.Pro/ExCom/85/24</w:t>
      </w:r>
    </w:p>
  </w:footnote>
  <w:footnote w:id="15">
    <w:p w14:paraId="0F581DEA" w14:textId="1198C06D" w:rsidR="00305D02" w:rsidRPr="009A2CFD" w:rsidRDefault="00305D02">
      <w:pPr>
        <w:pStyle w:val="FootnoteText"/>
        <w:rPr>
          <w:lang w:val="es-419"/>
        </w:rPr>
      </w:pPr>
      <w:r>
        <w:rPr>
          <w:rStyle w:val="FootnoteReference"/>
        </w:rPr>
        <w:footnoteRef/>
      </w:r>
      <w:r w:rsidRPr="009A2CFD">
        <w:rPr>
          <w:lang w:val="es-419"/>
        </w:rPr>
        <w:t xml:space="preserve"> </w:t>
      </w:r>
      <w:r>
        <w:rPr>
          <w:lang w:val="es-PE"/>
        </w:rPr>
        <w:t>UNEP/OzL.Pro/ExCom/63/52</w:t>
      </w:r>
    </w:p>
  </w:footnote>
  <w:footnote w:id="16">
    <w:p w14:paraId="15B0EACD" w14:textId="6C9DF1C2" w:rsidR="00305D02" w:rsidRPr="009A2CFD" w:rsidRDefault="00305D02">
      <w:pPr>
        <w:pStyle w:val="FootnoteText"/>
        <w:rPr>
          <w:lang w:val="es-419"/>
        </w:rPr>
      </w:pPr>
      <w:r>
        <w:rPr>
          <w:rStyle w:val="FootnoteReference"/>
        </w:rPr>
        <w:footnoteRef/>
      </w:r>
      <w:r w:rsidRPr="009A2CFD">
        <w:rPr>
          <w:lang w:val="es-419"/>
        </w:rPr>
        <w:t xml:space="preserve"> </w:t>
      </w:r>
      <w:r>
        <w:rPr>
          <w:lang w:val="es-PE"/>
        </w:rPr>
        <w:t>UNEP/OzL.Pro/ExCom/83/26</w:t>
      </w:r>
    </w:p>
  </w:footnote>
  <w:footnote w:id="17">
    <w:p w14:paraId="1A80D41A" w14:textId="1ED7D64D" w:rsidR="00305D02" w:rsidRPr="00351285" w:rsidRDefault="00305D02">
      <w:pPr>
        <w:pStyle w:val="FootnoteText"/>
        <w:rPr>
          <w:lang w:val="es-419"/>
        </w:rPr>
      </w:pPr>
      <w:r>
        <w:rPr>
          <w:rStyle w:val="FootnoteReference"/>
        </w:rPr>
        <w:footnoteRef/>
      </w:r>
      <w:r w:rsidRPr="00351285">
        <w:rPr>
          <w:lang w:val="es-419"/>
        </w:rPr>
        <w:t xml:space="preserve"> </w:t>
      </w:r>
      <w:r>
        <w:rPr>
          <w:lang w:val="es-PE"/>
        </w:rPr>
        <w:t>El Comité Ejecutivo aprobó el tercer tramo del PGEH, en el entendimiento de que, entre otras cosas, el Gobierno presentaría su informe de la etapa II del PGEH una vez que se hubiese desembolsado el 80 por ciento del total de fondos aprobados para la ONUDI.</w:t>
      </w:r>
    </w:p>
  </w:footnote>
  <w:footnote w:id="18">
    <w:p w14:paraId="59C224CE" w14:textId="77777777" w:rsidR="00305D02" w:rsidRPr="00165476" w:rsidRDefault="00305D02" w:rsidP="00AF751E">
      <w:pPr>
        <w:pStyle w:val="FootnoteText"/>
        <w:rPr>
          <w:lang w:val="es-ES"/>
        </w:rPr>
      </w:pPr>
      <w:r>
        <w:rPr>
          <w:rStyle w:val="FootnoteReference"/>
        </w:rPr>
        <w:footnoteRef/>
      </w:r>
      <w:r w:rsidRPr="00165476">
        <w:rPr>
          <w:lang w:val="es-ES"/>
        </w:rPr>
        <w:t xml:space="preserve"> En el párrafo 9 del documento UNEP/OzL.Pro/ExCom/85/31 figura una lista de las medidas que se llevarán a ca</w:t>
      </w:r>
      <w:r>
        <w:rPr>
          <w:lang w:val="es-ES"/>
        </w:rPr>
        <w:t>b</w:t>
      </w:r>
      <w:r w:rsidRPr="00165476">
        <w:rPr>
          <w:lang w:val="es-ES"/>
        </w:rPr>
        <w:t xml:space="preserve">o durante el cuarto tramo del plan de gestión de eliminación de los HCFC basada </w:t>
      </w:r>
      <w:proofErr w:type="spellStart"/>
      <w:r w:rsidRPr="00165476">
        <w:rPr>
          <w:lang w:val="es-ES"/>
        </w:rPr>
        <w:t>enn</w:t>
      </w:r>
      <w:proofErr w:type="spellEnd"/>
      <w:r w:rsidRPr="00165476">
        <w:rPr>
          <w:lang w:val="es-ES"/>
        </w:rPr>
        <w:t xml:space="preserve"> las recomendaciones del informe de verifica</w:t>
      </w:r>
      <w:r>
        <w:rPr>
          <w:lang w:val="es-ES"/>
        </w:rPr>
        <w:t>c</w:t>
      </w:r>
      <w:r w:rsidRPr="00165476">
        <w:rPr>
          <w:lang w:val="es-ES"/>
        </w:rPr>
        <w:t>i</w:t>
      </w:r>
      <w:r>
        <w:rPr>
          <w:lang w:val="es-ES"/>
        </w:rPr>
        <w:t>ó</w:t>
      </w:r>
      <w:r w:rsidRPr="00165476">
        <w:rPr>
          <w:lang w:val="es-ES"/>
        </w:rPr>
        <w:t>n.</w:t>
      </w:r>
    </w:p>
  </w:footnote>
  <w:footnote w:id="19">
    <w:p w14:paraId="080AE747" w14:textId="77777777" w:rsidR="00305D02" w:rsidRPr="00B438F0" w:rsidRDefault="00305D02" w:rsidP="00AF751E">
      <w:pPr>
        <w:pStyle w:val="FootnoteText"/>
        <w:rPr>
          <w:lang w:val="es-ES"/>
        </w:rPr>
      </w:pPr>
      <w:r>
        <w:rPr>
          <w:rStyle w:val="FootnoteReference"/>
        </w:rPr>
        <w:footnoteRef/>
      </w:r>
      <w:r w:rsidRPr="00B438F0">
        <w:rPr>
          <w:lang w:val="es-ES"/>
        </w:rPr>
        <w:t xml:space="preserve"> UNEP/OzL.Pro/ExCom/77/51</w:t>
      </w:r>
    </w:p>
  </w:footnote>
  <w:footnote w:id="20">
    <w:p w14:paraId="25574C9C" w14:textId="77777777" w:rsidR="00305D02" w:rsidRPr="00165476" w:rsidRDefault="00305D02" w:rsidP="00AF751E">
      <w:pPr>
        <w:pStyle w:val="FootnoteText"/>
        <w:rPr>
          <w:lang w:val="es-ES"/>
        </w:rPr>
      </w:pPr>
      <w:r>
        <w:rPr>
          <w:rStyle w:val="FootnoteReference"/>
        </w:rPr>
        <w:footnoteRef/>
      </w:r>
      <w:r w:rsidRPr="00165476">
        <w:rPr>
          <w:lang w:val="es-ES"/>
        </w:rPr>
        <w:t xml:space="preserve"> Párrafos 126 a 136 de</w:t>
      </w:r>
      <w:r>
        <w:rPr>
          <w:lang w:val="es-ES"/>
        </w:rPr>
        <w:t>l documento</w:t>
      </w:r>
      <w:r w:rsidRPr="00165476">
        <w:rPr>
          <w:lang w:val="es-ES"/>
        </w:rPr>
        <w:t xml:space="preserve"> UNEP/OzL.Pro/ExCom/83/11; decisi</w:t>
      </w:r>
      <w:r>
        <w:rPr>
          <w:lang w:val="es-ES"/>
        </w:rPr>
        <w:t>ó</w:t>
      </w:r>
      <w:r w:rsidRPr="00165476">
        <w:rPr>
          <w:lang w:val="es-ES"/>
        </w:rPr>
        <w:t>n 83/24</w:t>
      </w:r>
      <w:r>
        <w:rPr>
          <w:lang w:val="es-ES"/>
        </w:rPr>
        <w:t xml:space="preserve"> </w:t>
      </w:r>
      <w:r w:rsidRPr="00165476">
        <w:rPr>
          <w:lang w:val="es-ES"/>
        </w:rPr>
        <w:t>b).</w:t>
      </w:r>
    </w:p>
  </w:footnote>
  <w:footnote w:id="21">
    <w:p w14:paraId="2122D0E5" w14:textId="77777777" w:rsidR="00305D02" w:rsidRPr="00165476" w:rsidRDefault="00305D02" w:rsidP="00AF751E">
      <w:pPr>
        <w:pStyle w:val="FootnoteText"/>
        <w:rPr>
          <w:lang w:val="es-ES"/>
        </w:rPr>
      </w:pPr>
      <w:r>
        <w:rPr>
          <w:rStyle w:val="FootnoteReference"/>
        </w:rPr>
        <w:footnoteRef/>
      </w:r>
      <w:r w:rsidRPr="00165476">
        <w:rPr>
          <w:lang w:val="es-ES"/>
        </w:rPr>
        <w:t xml:space="preserve"> P</w:t>
      </w:r>
      <w:r>
        <w:rPr>
          <w:lang w:val="es-ES"/>
        </w:rPr>
        <w:t>árrafos</w:t>
      </w:r>
      <w:r w:rsidRPr="00165476">
        <w:rPr>
          <w:lang w:val="es-ES"/>
        </w:rPr>
        <w:t xml:space="preserve"> 79 </w:t>
      </w:r>
      <w:r>
        <w:rPr>
          <w:lang w:val="es-ES"/>
        </w:rPr>
        <w:t>a</w:t>
      </w:r>
      <w:r w:rsidRPr="00165476">
        <w:rPr>
          <w:lang w:val="es-ES"/>
        </w:rPr>
        <w:t xml:space="preserve"> 94 del documento UNEP/OzL.Pro/ExCom/86/21; decisi</w:t>
      </w:r>
      <w:r>
        <w:rPr>
          <w:lang w:val="es-ES"/>
        </w:rPr>
        <w:t>ó</w:t>
      </w:r>
      <w:r w:rsidRPr="00165476">
        <w:rPr>
          <w:lang w:val="es-ES"/>
        </w:rPr>
        <w:t>n 86/25</w:t>
      </w:r>
      <w:r>
        <w:rPr>
          <w:lang w:val="es-ES"/>
        </w:rPr>
        <w:t xml:space="preserve"> </w:t>
      </w:r>
      <w:r w:rsidRPr="00165476">
        <w:rPr>
          <w:lang w:val="es-ES"/>
        </w:rPr>
        <w:t>b).</w:t>
      </w:r>
    </w:p>
  </w:footnote>
  <w:footnote w:id="22">
    <w:p w14:paraId="4FB49AF6" w14:textId="77777777" w:rsidR="00305D02" w:rsidRPr="00AF751E" w:rsidRDefault="00305D02" w:rsidP="00AF751E">
      <w:pPr>
        <w:pStyle w:val="FootnoteText"/>
        <w:rPr>
          <w:lang w:val="es-ES"/>
        </w:rPr>
      </w:pPr>
      <w:r>
        <w:rPr>
          <w:rStyle w:val="FootnoteReference"/>
        </w:rPr>
        <w:footnoteRef/>
      </w:r>
      <w:r w:rsidRPr="00AF751E">
        <w:rPr>
          <w:lang w:val="es-ES"/>
        </w:rPr>
        <w:t xml:space="preserve"> UNEP/OzL.Pro/ExCom/63/38</w:t>
      </w:r>
    </w:p>
  </w:footnote>
  <w:footnote w:id="23">
    <w:p w14:paraId="5EA9AAEE" w14:textId="77777777" w:rsidR="00305D02" w:rsidRPr="00AF751E" w:rsidRDefault="00305D02" w:rsidP="00AF751E">
      <w:pPr>
        <w:pStyle w:val="FootnoteText"/>
        <w:rPr>
          <w:lang w:val="es-ES"/>
        </w:rPr>
      </w:pPr>
      <w:r w:rsidRPr="005F47B9">
        <w:rPr>
          <w:rStyle w:val="FootnoteReference"/>
        </w:rPr>
        <w:footnoteRef/>
      </w:r>
      <w:r w:rsidRPr="00AF751E">
        <w:rPr>
          <w:lang w:val="es-ES"/>
        </w:rPr>
        <w:t xml:space="preserve"> UNEP/OzL.Pro/ExCom/85/33</w:t>
      </w:r>
    </w:p>
  </w:footnote>
  <w:footnote w:id="24">
    <w:p w14:paraId="2E0F44F4" w14:textId="77777777" w:rsidR="00305D02" w:rsidRPr="00B438F0" w:rsidRDefault="00305D02" w:rsidP="00AF751E">
      <w:pPr>
        <w:pStyle w:val="FootnoteText"/>
        <w:rPr>
          <w:lang w:val="es-ES"/>
        </w:rPr>
      </w:pPr>
      <w:r>
        <w:rPr>
          <w:rStyle w:val="FootnoteReference"/>
        </w:rPr>
        <w:footnoteRef/>
      </w:r>
      <w:r w:rsidRPr="00B438F0">
        <w:rPr>
          <w:lang w:val="es-ES"/>
        </w:rPr>
        <w:t xml:space="preserve"> UNEP/OzL.Pro/ExCom/77/54.</w:t>
      </w:r>
    </w:p>
  </w:footnote>
  <w:footnote w:id="25">
    <w:p w14:paraId="1AD50BFA" w14:textId="77777777" w:rsidR="00305D02" w:rsidRPr="00961B8D" w:rsidRDefault="00305D02" w:rsidP="00AF751E">
      <w:pPr>
        <w:pStyle w:val="FootnoteText"/>
        <w:rPr>
          <w:lang w:val="es-ES"/>
        </w:rPr>
      </w:pPr>
      <w:r>
        <w:rPr>
          <w:rStyle w:val="FootnoteReference"/>
        </w:rPr>
        <w:footnoteRef/>
      </w:r>
      <w:r w:rsidRPr="00961B8D">
        <w:rPr>
          <w:lang w:val="es-ES"/>
        </w:rPr>
        <w:t xml:space="preserve"> Diez empresas que consumen más de 20 </w:t>
      </w:r>
      <w:proofErr w:type="spellStart"/>
      <w:r w:rsidRPr="00961B8D">
        <w:rPr>
          <w:lang w:val="es-ES"/>
        </w:rPr>
        <w:t>tm</w:t>
      </w:r>
      <w:proofErr w:type="spellEnd"/>
      <w:r w:rsidRPr="00961B8D">
        <w:rPr>
          <w:lang w:val="es-ES"/>
        </w:rPr>
        <w:t xml:space="preserve"> com</w:t>
      </w:r>
      <w:r>
        <w:rPr>
          <w:lang w:val="es-ES"/>
        </w:rPr>
        <w:t xml:space="preserve">pletaron su conversión a </w:t>
      </w:r>
      <w:proofErr w:type="spellStart"/>
      <w:r>
        <w:rPr>
          <w:lang w:val="es-ES"/>
        </w:rPr>
        <w:t>ciclop</w:t>
      </w:r>
      <w:r w:rsidRPr="00961B8D">
        <w:rPr>
          <w:lang w:val="es-ES"/>
        </w:rPr>
        <w:t>entano</w:t>
      </w:r>
      <w:proofErr w:type="spellEnd"/>
      <w:r w:rsidRPr="00961B8D">
        <w:rPr>
          <w:lang w:val="es-ES"/>
        </w:rPr>
        <w:t xml:space="preserve"> puro o premezclado en sistemas a base de </w:t>
      </w:r>
      <w:proofErr w:type="spellStart"/>
      <w:r w:rsidRPr="00961B8D">
        <w:rPr>
          <w:lang w:val="es-ES"/>
        </w:rPr>
        <w:t>polioles</w:t>
      </w:r>
      <w:proofErr w:type="spellEnd"/>
      <w:r w:rsidRPr="00961B8D">
        <w:rPr>
          <w:lang w:val="es-ES"/>
        </w:rPr>
        <w:t xml:space="preserve"> a fines de 2019, entre ellas Asia </w:t>
      </w:r>
      <w:proofErr w:type="spellStart"/>
      <w:r w:rsidRPr="00961B8D">
        <w:rPr>
          <w:lang w:val="es-ES"/>
        </w:rPr>
        <w:t>Roofing</w:t>
      </w:r>
      <w:proofErr w:type="spellEnd"/>
      <w:r w:rsidRPr="00961B8D">
        <w:rPr>
          <w:lang w:val="es-ES"/>
        </w:rPr>
        <w:t xml:space="preserve"> Company</w:t>
      </w:r>
      <w:r>
        <w:rPr>
          <w:lang w:val="es-ES"/>
        </w:rPr>
        <w:t xml:space="preserve">, cuyo cambio de tecnología al </w:t>
      </w:r>
      <w:proofErr w:type="spellStart"/>
      <w:r>
        <w:rPr>
          <w:lang w:val="es-ES"/>
        </w:rPr>
        <w:t>ciclopentano</w:t>
      </w:r>
      <w:proofErr w:type="spellEnd"/>
      <w:r>
        <w:rPr>
          <w:lang w:val="es-ES"/>
        </w:rPr>
        <w:t xml:space="preserve"> se había señalado en la decisión</w:t>
      </w:r>
      <w:r w:rsidRPr="00961B8D">
        <w:rPr>
          <w:lang w:val="es-ES"/>
        </w:rPr>
        <w:t xml:space="preserve"> 84/77</w:t>
      </w:r>
      <w:r>
        <w:rPr>
          <w:lang w:val="es-ES"/>
        </w:rPr>
        <w:t xml:space="preserve"> </w:t>
      </w:r>
      <w:r w:rsidRPr="00961B8D">
        <w:rPr>
          <w:lang w:val="es-ES"/>
        </w:rPr>
        <w:t>a)</w:t>
      </w:r>
      <w:r>
        <w:rPr>
          <w:lang w:val="es-ES"/>
        </w:rPr>
        <w:t xml:space="preserve"> </w:t>
      </w:r>
      <w:r w:rsidRPr="00961B8D">
        <w:rPr>
          <w:lang w:val="es-ES"/>
        </w:rPr>
        <w:t xml:space="preserve">ii). </w:t>
      </w:r>
    </w:p>
  </w:footnote>
  <w:footnote w:id="26">
    <w:p w14:paraId="0BD9A508"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Aprobado durante la 75ª reunión por un monto total de 1.449.982 $EUA, cifra consistente en 226.317 $EUA más gastos de apoyo de 16.974 $EUA para la ONUDI, y en 1.122.503 $EUA más gastos de apoyo de 84.188 $EUA para el PNUD.</w:t>
      </w:r>
    </w:p>
  </w:footnote>
  <w:footnote w:id="27">
    <w:p w14:paraId="379CD416" w14:textId="77777777" w:rsidR="00305D02" w:rsidRPr="00A22BE4" w:rsidRDefault="00305D02" w:rsidP="00AF751E">
      <w:pPr>
        <w:pStyle w:val="FootnoteText"/>
        <w:rPr>
          <w:sz w:val="16"/>
          <w:szCs w:val="16"/>
          <w:lang w:val="es-ES_tradnl"/>
        </w:rPr>
      </w:pPr>
      <w:r w:rsidRPr="00A22BE4">
        <w:rPr>
          <w:rStyle w:val="FootnoteReference"/>
          <w:lang w:val="es-ES_tradnl"/>
        </w:rPr>
        <w:footnoteRef/>
      </w:r>
      <w:r w:rsidRPr="00A22BE4">
        <w:rPr>
          <w:lang w:val="es-ES_tradnl"/>
        </w:rPr>
        <w:t xml:space="preserve"> Disposición reflejada en el Anexo XII al documento UNEP/OzL.Pro/ExCom/75/85 (Se solicitó al Gobierno de México, la ONUDI y el PNUD informar anualmente, hasta el término del proyecto, sobre la ejecución del programa de trabajo del último tramo).</w:t>
      </w:r>
    </w:p>
  </w:footnote>
  <w:footnote w:id="28">
    <w:p w14:paraId="168121F7"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Anexo IV al documento UNEP/OzL.Pro/ExCom/86/4.</w:t>
      </w:r>
    </w:p>
  </w:footnote>
  <w:footnote w:id="29">
    <w:p w14:paraId="7300CFA1"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MEX/PHA/64/INV/157.</w:t>
      </w:r>
    </w:p>
  </w:footnote>
  <w:footnote w:id="30">
    <w:p w14:paraId="012A3799"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MEX/PHA/75/TAS/144.</w:t>
      </w:r>
    </w:p>
  </w:footnote>
  <w:footnote w:id="31">
    <w:p w14:paraId="4BA38F78"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Aprobado en la 83ª reunión por un total de 35.000 $EUA más gastos de apoyo de 2.625 $EUA para la ONUDI.</w:t>
      </w:r>
    </w:p>
  </w:footnote>
  <w:footnote w:id="32">
    <w:p w14:paraId="5CC3D2D9"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Solicitar al Gobierno de Marruecos y la ONUDI informar anualmente, hasta el término del proyecto, sobre la ejecución del programa de trabajo del tercer y último tramo, presentar informes de verificación hasta la aprobación de la etapa II del PGEH, y presentar el informe de finalización del proyecto a la primera reunión del Comité Ejecutivo del año 2022.</w:t>
      </w:r>
    </w:p>
  </w:footnote>
  <w:footnote w:id="33">
    <w:p w14:paraId="5F7CB57B"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Informe de la Octogésima tercera Reunión del Comité Ejecutivo.</w:t>
      </w:r>
    </w:p>
  </w:footnote>
  <w:footnote w:id="34">
    <w:p w14:paraId="4E4B2A0A"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Ajuste reflejado además en el </w:t>
      </w:r>
      <w:proofErr w:type="spellStart"/>
      <w:r w:rsidRPr="00A22BE4">
        <w:rPr>
          <w:lang w:val="es-ES_tradnl"/>
        </w:rPr>
        <w:t>Corrigendum</w:t>
      </w:r>
      <w:proofErr w:type="spellEnd"/>
      <w:r w:rsidRPr="00A22BE4">
        <w:rPr>
          <w:lang w:val="es-ES_tradnl"/>
        </w:rPr>
        <w:t xml:space="preserve"> UNEP/</w:t>
      </w:r>
      <w:proofErr w:type="spellStart"/>
      <w:r w:rsidRPr="00A22BE4">
        <w:rPr>
          <w:lang w:val="es-ES_tradnl"/>
        </w:rPr>
        <w:t>OzL.Pro</w:t>
      </w:r>
      <w:proofErr w:type="spellEnd"/>
      <w:r w:rsidRPr="00A22BE4">
        <w:rPr>
          <w:lang w:val="es-ES_tradnl"/>
        </w:rPr>
        <w:t>/</w:t>
      </w:r>
      <w:proofErr w:type="spellStart"/>
      <w:r w:rsidRPr="00A22BE4">
        <w:rPr>
          <w:lang w:val="es-ES_tradnl"/>
        </w:rPr>
        <w:t>ExCom</w:t>
      </w:r>
      <w:proofErr w:type="spellEnd"/>
      <w:r w:rsidRPr="00A22BE4">
        <w:rPr>
          <w:lang w:val="es-ES_tradnl"/>
        </w:rPr>
        <w:t>/83/48/Corr.3.</w:t>
      </w:r>
    </w:p>
  </w:footnote>
  <w:footnote w:id="35">
    <w:p w14:paraId="3498B33A"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UNEP/OzL.Pro/ExCom/62/42.</w:t>
      </w:r>
    </w:p>
  </w:footnote>
  <w:footnote w:id="36">
    <w:p w14:paraId="612079A2"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UNEP/OzL.Pro/ExCom/86/63.</w:t>
      </w:r>
    </w:p>
  </w:footnote>
  <w:footnote w:id="37">
    <w:p w14:paraId="35E71338"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UNEP/OzL.Pro/ExCom/63/46 y Anexo XXI al documento UNEP/OzL.Pro/ExCom/63/60.</w:t>
      </w:r>
    </w:p>
  </w:footnote>
  <w:footnote w:id="38">
    <w:p w14:paraId="7CD91D3D" w14:textId="77777777" w:rsidR="00305D02" w:rsidRPr="00A22BE4" w:rsidRDefault="00305D02" w:rsidP="00AF751E">
      <w:pPr>
        <w:pStyle w:val="FootnoteText"/>
        <w:tabs>
          <w:tab w:val="center" w:pos="4680"/>
        </w:tabs>
        <w:rPr>
          <w:lang w:val="es-ES_tradnl"/>
        </w:rPr>
      </w:pPr>
      <w:r w:rsidRPr="00A22BE4">
        <w:rPr>
          <w:rStyle w:val="FootnoteReference"/>
          <w:lang w:val="es-ES_tradnl"/>
        </w:rPr>
        <w:footnoteRef/>
      </w:r>
      <w:r w:rsidRPr="00A22BE4">
        <w:rPr>
          <w:lang w:val="es-ES_tradnl"/>
        </w:rPr>
        <w:t xml:space="preserve"> UNEP/OzL.Pro/ExCom/85/42.</w:t>
      </w:r>
    </w:p>
  </w:footnote>
  <w:footnote w:id="39">
    <w:p w14:paraId="30439B75"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UNEP/OzL.Pro/ExCom/86/67.</w:t>
      </w:r>
    </w:p>
  </w:footnote>
  <w:footnote w:id="40">
    <w:p w14:paraId="2CAF995E" w14:textId="77777777" w:rsidR="00305D02" w:rsidRPr="00A22BE4" w:rsidRDefault="00305D02" w:rsidP="00AF751E">
      <w:pPr>
        <w:pStyle w:val="FootnoteText"/>
        <w:rPr>
          <w:lang w:val="es-ES_tradnl"/>
        </w:rPr>
      </w:pPr>
      <w:r w:rsidRPr="00A22BE4">
        <w:rPr>
          <w:rStyle w:val="FootnoteReference"/>
          <w:lang w:val="es-ES_tradnl"/>
        </w:rPr>
        <w:footnoteRef/>
      </w:r>
      <w:r w:rsidRPr="00A22BE4">
        <w:rPr>
          <w:lang w:val="es-ES_tradnl"/>
        </w:rPr>
        <w:t xml:space="preserve"> Salvo Nauru y Niue, países que acordaron dejar los fondos aprobados para el tercer (y último) tramo en manos del PNUMA y utilizarlos para sufragar los gastos de traslado de los expertos que dictarán los talleres de capacitación o de funcionarios de Nauru y Niue que asistan a talleres dictados en otros países en el marco de la cooperación sur-sur.</w:t>
      </w:r>
    </w:p>
  </w:footnote>
  <w:footnote w:id="41">
    <w:p w14:paraId="02548BD4" w14:textId="77777777" w:rsidR="00305D02" w:rsidRPr="008E0205" w:rsidRDefault="00305D02" w:rsidP="008E0205">
      <w:pPr>
        <w:pStyle w:val="FootnoteText"/>
        <w:rPr>
          <w:lang w:val="de-CH"/>
        </w:rPr>
      </w:pPr>
      <w:r w:rsidRPr="008E0205">
        <w:rPr>
          <w:rStyle w:val="FootnoteReference"/>
          <w:lang w:val="de-CH"/>
        </w:rPr>
        <w:t>41</w:t>
      </w:r>
      <w:r w:rsidRPr="008E0205">
        <w:rPr>
          <w:rStyle w:val="FootnoteReference"/>
          <w:vertAlign w:val="baseline"/>
          <w:lang w:val="de-CH"/>
        </w:rPr>
        <w:t xml:space="preserve"> La etapa II del plan de gestión de la eliminación de los HCFC</w:t>
      </w:r>
      <w:r w:rsidRPr="008E0205">
        <w:rPr>
          <w:lang w:val="de-CH"/>
        </w:rPr>
        <w:t xml:space="preserve"> (PGEH)</w:t>
      </w:r>
      <w:r w:rsidRPr="008E0205">
        <w:rPr>
          <w:rStyle w:val="FootnoteReference"/>
          <w:vertAlign w:val="baseline"/>
          <w:lang w:val="de-CH"/>
        </w:rPr>
        <w:t xml:space="preserve"> se aprobó en la 80ª reunión para alcanzar una reducción del 50 por ciento de HCFC en 2021, por un costo total de 2 750 057 $EUA, más gastos de apoyo del organismo de 192 504 $EUA del Banco Mundial. En la 83ª reunión se revisó el Acuerdo para la transferencia a la ONUDI de todas las actividades de eliminación comprendidas en la etapa II (Anexo IV del documento UNEP/OzL.Pro/ExCom/83/48). </w:t>
      </w:r>
    </w:p>
  </w:footnote>
  <w:footnote w:id="42">
    <w:p w14:paraId="0084F459" w14:textId="77777777" w:rsidR="00305D02" w:rsidRPr="008E0205" w:rsidRDefault="00305D02" w:rsidP="008E0205">
      <w:pPr>
        <w:pStyle w:val="FootnoteText"/>
        <w:rPr>
          <w:lang w:val="es-419"/>
        </w:rPr>
      </w:pPr>
      <w:r>
        <w:rPr>
          <w:rStyle w:val="FootnoteReference"/>
          <w:lang w:val="es-PE"/>
        </w:rPr>
        <w:t xml:space="preserve">42 </w:t>
      </w:r>
      <w:r w:rsidRPr="008E0205">
        <w:rPr>
          <w:rStyle w:val="FootnoteReference"/>
          <w:vertAlign w:val="baseline"/>
          <w:lang w:val="es-PE"/>
        </w:rPr>
        <w:t>DAO 2013-2025, también conocida como Orden</w:t>
      </w:r>
      <w:r w:rsidRPr="008E0205">
        <w:rPr>
          <w:lang w:val="es-PE"/>
        </w:rPr>
        <w:t xml:space="preserve"> revisada</w:t>
      </w:r>
      <w:r w:rsidRPr="008E0205">
        <w:rPr>
          <w:rStyle w:val="FootnoteReference"/>
          <w:vertAlign w:val="baseline"/>
          <w:lang w:val="es-PE"/>
        </w:rPr>
        <w:t xml:space="preserve"> para el control de productos químicos para las SAO.</w:t>
      </w:r>
    </w:p>
  </w:footnote>
  <w:footnote w:id="43">
    <w:p w14:paraId="079EB3E2" w14:textId="77777777" w:rsidR="00305D02" w:rsidRDefault="00305D02" w:rsidP="008E0205">
      <w:pPr>
        <w:pStyle w:val="FootnoteText"/>
        <w:rPr>
          <w:lang w:val="en-US"/>
        </w:rPr>
      </w:pPr>
      <w:r>
        <w:rPr>
          <w:rStyle w:val="FootnoteReference"/>
          <w:lang w:val="es-PE"/>
        </w:rPr>
        <w:t xml:space="preserve">43 </w:t>
      </w:r>
      <w:r w:rsidRPr="008E0205">
        <w:rPr>
          <w:rStyle w:val="FootnoteReference"/>
          <w:vertAlign w:val="baseline"/>
          <w:lang w:val="es-PE"/>
        </w:rPr>
        <w:t>UNEP/OzL.Pro/ExCom/80/48.</w:t>
      </w:r>
    </w:p>
  </w:footnote>
  <w:footnote w:id="44">
    <w:p w14:paraId="6E679C64" w14:textId="77777777" w:rsidR="00305D02" w:rsidRDefault="00305D02" w:rsidP="008E0205">
      <w:pPr>
        <w:pStyle w:val="FootnoteText"/>
        <w:rPr>
          <w:lang w:val="en-US"/>
        </w:rPr>
      </w:pPr>
      <w:r>
        <w:rPr>
          <w:rStyle w:val="FootnoteReference"/>
          <w:lang w:val="es-PE"/>
        </w:rPr>
        <w:t xml:space="preserve">44 </w:t>
      </w:r>
      <w:r w:rsidRPr="008E0205">
        <w:rPr>
          <w:rStyle w:val="FootnoteReference"/>
          <w:vertAlign w:val="baseline"/>
          <w:lang w:val="es-PE"/>
        </w:rPr>
        <w:t>Según la carta remitida a la ONUDI por el Departamento de Medio Ambiente y Recursos Naturales de Filipinas.</w:t>
      </w:r>
    </w:p>
  </w:footnote>
  <w:footnote w:id="45">
    <w:p w14:paraId="17E7975B" w14:textId="1F955C6F" w:rsidR="00305D02" w:rsidRDefault="00305D02" w:rsidP="008E0205">
      <w:pPr>
        <w:pStyle w:val="FootnoteText"/>
        <w:rPr>
          <w:lang w:val="en-US"/>
        </w:rPr>
      </w:pPr>
      <w:r>
        <w:rPr>
          <w:rStyle w:val="FootnoteReference"/>
          <w:lang w:val="es-PE"/>
        </w:rPr>
        <w:t xml:space="preserve">45 </w:t>
      </w:r>
      <w:r w:rsidRPr="00045A5C">
        <w:rPr>
          <w:rStyle w:val="FootnoteReference"/>
          <w:vertAlign w:val="baseline"/>
          <w:lang w:val="es-PE"/>
        </w:rPr>
        <w:t>UNEP/OzL.Pro/ExCom/85/52</w:t>
      </w:r>
    </w:p>
  </w:footnote>
  <w:footnote w:id="46">
    <w:p w14:paraId="2AA640D2" w14:textId="77777777" w:rsidR="00305D02" w:rsidRDefault="00305D02" w:rsidP="008E0205">
      <w:pPr>
        <w:pStyle w:val="FootnoteText"/>
        <w:rPr>
          <w:lang w:val="en-US"/>
        </w:rPr>
      </w:pPr>
      <w:r>
        <w:rPr>
          <w:rStyle w:val="FootnoteReference"/>
          <w:lang w:val="es-PE"/>
        </w:rPr>
        <w:t xml:space="preserve">46 </w:t>
      </w:r>
      <w:r w:rsidRPr="00045A5C">
        <w:rPr>
          <w:rStyle w:val="FootnoteReference"/>
          <w:vertAlign w:val="baseline"/>
          <w:lang w:val="es-PE"/>
        </w:rPr>
        <w:t>UNEP/OzL.Pro/ExCom/77/67 y Anexo XXIV del documento UNEP/OzL.Pro/ExCom/77/76.</w:t>
      </w:r>
    </w:p>
  </w:footnote>
  <w:footnote w:id="47">
    <w:p w14:paraId="47118C0F" w14:textId="621FA28D" w:rsidR="00305D02" w:rsidRDefault="00305D02" w:rsidP="008E0205">
      <w:pPr>
        <w:pStyle w:val="FootnoteText"/>
        <w:rPr>
          <w:lang w:val="en-US"/>
        </w:rPr>
      </w:pPr>
      <w:r>
        <w:rPr>
          <w:rStyle w:val="FootnoteReference"/>
          <w:lang w:val="es-PE"/>
        </w:rPr>
        <w:t xml:space="preserve">47 </w:t>
      </w:r>
      <w:r w:rsidRPr="00045A5C">
        <w:rPr>
          <w:rStyle w:val="FootnoteReference"/>
          <w:vertAlign w:val="baseline"/>
          <w:lang w:val="es-PE"/>
        </w:rPr>
        <w:t>UNEP/OzL.Pro/ExCom/86/80</w:t>
      </w:r>
    </w:p>
  </w:footnote>
  <w:footnote w:id="48">
    <w:p w14:paraId="0736F824" w14:textId="77777777" w:rsidR="00305D02" w:rsidRDefault="00305D02" w:rsidP="008E0205">
      <w:pPr>
        <w:pStyle w:val="FootnoteText"/>
        <w:rPr>
          <w:lang w:val="en-US"/>
        </w:rPr>
      </w:pPr>
      <w:r>
        <w:rPr>
          <w:rStyle w:val="FootnoteReference"/>
          <w:lang w:val="es-PE"/>
        </w:rPr>
        <w:t xml:space="preserve">48 </w:t>
      </w:r>
      <w:r w:rsidRPr="00D17F84">
        <w:rPr>
          <w:rStyle w:val="FootnoteReference"/>
          <w:vertAlign w:val="baseline"/>
          <w:lang w:val="es-PE"/>
        </w:rPr>
        <w:t>Al aprobar las actividades de apoyo, para mantener el período de ejecución de 18 meses para esos proyectos, de conformidad con la decisión 79/46 d) iii) y, de ser necesario, para ampliar ese período por un máximo de 12 meses (en total, 30 meses a partir de la aprobación de los proyectos), cuando la Secretaría recibió una solicitud de prórroga oficial.</w:t>
      </w:r>
      <w:r>
        <w:rPr>
          <w:rStyle w:val="FootnoteReference"/>
          <w:lang w:val="es-PE"/>
        </w:rPr>
        <w:t xml:space="preserve"> </w:t>
      </w:r>
    </w:p>
  </w:footnote>
  <w:footnote w:id="49">
    <w:p w14:paraId="62DA24A3" w14:textId="77777777" w:rsidR="00305D02" w:rsidRDefault="00305D02" w:rsidP="008E0205">
      <w:pPr>
        <w:pStyle w:val="Heading1"/>
        <w:numPr>
          <w:ilvl w:val="0"/>
          <w:numId w:val="0"/>
        </w:numPr>
        <w:tabs>
          <w:tab w:val="left" w:pos="720"/>
        </w:tabs>
        <w:spacing w:after="0"/>
        <w:rPr>
          <w:lang w:val="en-CA"/>
        </w:rPr>
      </w:pPr>
      <w:r>
        <w:rPr>
          <w:rStyle w:val="FootnoteReference"/>
          <w:sz w:val="20"/>
          <w:szCs w:val="20"/>
          <w:lang w:val="es-PE"/>
        </w:rPr>
        <w:t xml:space="preserve">49 </w:t>
      </w:r>
      <w:r w:rsidRPr="00045A5C">
        <w:rPr>
          <w:rStyle w:val="FootnoteReference"/>
          <w:sz w:val="20"/>
          <w:szCs w:val="20"/>
          <w:vertAlign w:val="baseline"/>
          <w:lang w:val="es-PE"/>
        </w:rPr>
        <w:t>El Comité decidió mantener el período de ejecución de 18 meses para las actividades de apoyo y, de ser necesario, ampliar ese período por un máximo de 12 meses (en total, 30 meses a partir de la aprobación de los proyectos), cuando la Secretaría recibió una solicitud de prórroga oficial.</w:t>
      </w:r>
    </w:p>
  </w:footnote>
  <w:footnote w:id="50">
    <w:p w14:paraId="65BC7DD2" w14:textId="77777777" w:rsidR="00305D02" w:rsidRDefault="00305D02" w:rsidP="008E0205">
      <w:pPr>
        <w:pStyle w:val="FootnoteText"/>
        <w:rPr>
          <w:lang w:val="en-CA"/>
        </w:rPr>
      </w:pPr>
      <w:r>
        <w:rPr>
          <w:rStyle w:val="FootnoteReference"/>
          <w:lang w:val="es-PE"/>
        </w:rPr>
        <w:t xml:space="preserve">50 </w:t>
      </w:r>
      <w:r w:rsidRPr="00045A5C">
        <w:rPr>
          <w:rStyle w:val="FootnoteReference"/>
          <w:vertAlign w:val="baseline"/>
          <w:lang w:val="es-PE"/>
        </w:rPr>
        <w:t>El Comité del Consejo de Seguridad de las Naciones Unidas, establecido en virtud de la resolución 1718, fue consultado antes de que se presentara la etapa I del PGEH, con el fin de determinar si se podían suministrar equipos o prestar cualquier otro servicio en el país en el marco del PGEH.</w:t>
      </w:r>
      <w:r>
        <w:rPr>
          <w:rStyle w:val="FootnoteReference"/>
          <w:lang w:val="es-PE"/>
        </w:rPr>
        <w:t xml:space="preserve"> </w:t>
      </w:r>
    </w:p>
  </w:footnote>
  <w:footnote w:id="51">
    <w:p w14:paraId="0B33BDC1" w14:textId="77777777" w:rsidR="00305D02" w:rsidRDefault="00305D02" w:rsidP="008E0205">
      <w:pPr>
        <w:pStyle w:val="FootnoteText"/>
        <w:rPr>
          <w:lang w:val="en-CA"/>
        </w:rPr>
      </w:pPr>
      <w:r>
        <w:rPr>
          <w:rStyle w:val="FootnoteReference"/>
          <w:lang w:val="es-PE"/>
        </w:rPr>
        <w:t xml:space="preserve">51 </w:t>
      </w:r>
      <w:r w:rsidRPr="00F31B3B">
        <w:rPr>
          <w:rStyle w:val="FootnoteReference"/>
          <w:vertAlign w:val="baseline"/>
          <w:lang w:val="es-PE"/>
        </w:rPr>
        <w:t>23 a 27 de noviembre 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8E1C" w14:textId="13A8797F" w:rsidR="00305D02" w:rsidRDefault="00305D02">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0945A802" w14:textId="77777777" w:rsidR="00305D02" w:rsidRDefault="00305D02"/>
  <w:p w14:paraId="504B146A" w14:textId="77777777" w:rsidR="00305D02" w:rsidRDefault="00305D02"/>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2A4C" w14:textId="4504304E" w:rsidR="00305D02" w:rsidRPr="003F73BA" w:rsidRDefault="008A3863" w:rsidP="00305D02">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w:t>
    </w:r>
    <w:r w:rsidR="00305D02">
      <w:t>/9</w:t>
    </w:r>
    <w:r>
      <w:fldChar w:fldCharType="end"/>
    </w:r>
  </w:p>
  <w:p w14:paraId="171C91A9" w14:textId="689D604A" w:rsidR="00305D02" w:rsidRDefault="00305D02" w:rsidP="00305D02">
    <w:pPr>
      <w:pStyle w:val="Header"/>
      <w:jc w:val="left"/>
    </w:pPr>
    <w:r>
      <w:t>Annex V</w:t>
    </w:r>
  </w:p>
  <w:p w14:paraId="3E0CB106" w14:textId="77777777" w:rsidR="00305D02" w:rsidRPr="00C627AC" w:rsidRDefault="00305D02" w:rsidP="00305D02">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7540" w14:textId="77777777" w:rsidR="00305D02" w:rsidRDefault="008A3863">
    <w:pPr>
      <w:jc w:val="right"/>
    </w:pPr>
    <w:r>
      <w:fldChar w:fldCharType="begin"/>
    </w:r>
    <w:r>
      <w:instrText xml:space="preserve"> DOCPROPERTY "Document number"  \* MERGEFORMAT </w:instrText>
    </w:r>
    <w:r>
      <w:fldChar w:fldCharType="separate"/>
    </w:r>
    <w:r w:rsidR="00305D02">
      <w:t>UNEP/OzL.Pro/ExCom/87/9</w:t>
    </w:r>
    <w:r>
      <w:fldChar w:fldCharType="end"/>
    </w:r>
  </w:p>
  <w:p w14:paraId="285ADFCF" w14:textId="3E11C148" w:rsidR="00305D02" w:rsidRDefault="00305D02" w:rsidP="00B60EEC">
    <w:pPr>
      <w:jc w:val="right"/>
    </w:pPr>
    <w:proofErr w:type="spellStart"/>
    <w:r>
      <w:t>Anexo</w:t>
    </w:r>
    <w:proofErr w:type="spellEnd"/>
    <w:r>
      <w:t xml:space="preserve"> V</w:t>
    </w:r>
  </w:p>
  <w:p w14:paraId="4148CD95" w14:textId="77777777" w:rsidR="00305D02" w:rsidRDefault="00305D02">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1162" w14:textId="65F17584" w:rsidR="00305D02" w:rsidRPr="003F73BA" w:rsidRDefault="008A3863" w:rsidP="00305D02">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w:t>
    </w:r>
    <w:r w:rsidR="00305D02">
      <w:t>/9</w:t>
    </w:r>
    <w:r>
      <w:fldChar w:fldCharType="end"/>
    </w:r>
  </w:p>
  <w:p w14:paraId="706DAA73" w14:textId="376C6E50" w:rsidR="00305D02" w:rsidRDefault="00305D02" w:rsidP="00305D02">
    <w:pPr>
      <w:pStyle w:val="Header"/>
      <w:jc w:val="left"/>
    </w:pPr>
    <w:proofErr w:type="spellStart"/>
    <w:r>
      <w:t>Anexo</w:t>
    </w:r>
    <w:proofErr w:type="spellEnd"/>
    <w:r>
      <w:t xml:space="preserve"> VI</w:t>
    </w:r>
  </w:p>
  <w:p w14:paraId="3A30F36A" w14:textId="77777777" w:rsidR="00305D02" w:rsidRPr="00C627AC" w:rsidRDefault="00305D02" w:rsidP="00305D02">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B99D" w14:textId="77777777" w:rsidR="00305D02" w:rsidRDefault="008A3863">
    <w:pPr>
      <w:jc w:val="right"/>
    </w:pPr>
    <w:r>
      <w:fldChar w:fldCharType="begin"/>
    </w:r>
    <w:r>
      <w:instrText xml:space="preserve"> DOCPROPERTY "Document number"  \* MERGEFORMAT </w:instrText>
    </w:r>
    <w:r>
      <w:fldChar w:fldCharType="separate"/>
    </w:r>
    <w:r w:rsidR="00305D02">
      <w:t>UNEP/OzL.Pro/ExCom/87/9</w:t>
    </w:r>
    <w:r>
      <w:fldChar w:fldCharType="end"/>
    </w:r>
  </w:p>
  <w:p w14:paraId="5CE0A9A7" w14:textId="5077B706" w:rsidR="00305D02" w:rsidRDefault="00305D02" w:rsidP="003D5B9C">
    <w:pPr>
      <w:jc w:val="right"/>
    </w:pPr>
    <w:proofErr w:type="spellStart"/>
    <w:r>
      <w:t>Anexo</w:t>
    </w:r>
    <w:proofErr w:type="spellEnd"/>
    <w:r>
      <w:t xml:space="preserve"> VI</w:t>
    </w:r>
  </w:p>
  <w:p w14:paraId="31D961FB" w14:textId="77777777" w:rsidR="00305D02" w:rsidRDefault="00305D02">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F66" w14:textId="77777777" w:rsidR="00305D02" w:rsidRDefault="008A3863">
    <w:pPr>
      <w:jc w:val="right"/>
    </w:pPr>
    <w:r>
      <w:fldChar w:fldCharType="begin"/>
    </w:r>
    <w:r>
      <w:instrText xml:space="preserve"> DOCPROPERTY "Document number"  \* MERGEFORMAT </w:instrText>
    </w:r>
    <w:r>
      <w:fldChar w:fldCharType="separate"/>
    </w:r>
    <w:r w:rsidR="00305D02">
      <w:t>UNEP/OzL.Pro/ExCom/87/9</w:t>
    </w:r>
    <w:r>
      <w:fldChar w:fldCharType="end"/>
    </w:r>
  </w:p>
  <w:p w14:paraId="63D15EAA" w14:textId="3DDB3CDD" w:rsidR="00305D02" w:rsidRDefault="00305D02" w:rsidP="00B60EEC">
    <w:pPr>
      <w:jc w:val="right"/>
    </w:pPr>
    <w:proofErr w:type="spellStart"/>
    <w:r>
      <w:t>Anexo</w:t>
    </w:r>
    <w:proofErr w:type="spellEnd"/>
    <w:r>
      <w:t xml:space="preserve"> VI</w:t>
    </w:r>
  </w:p>
  <w:p w14:paraId="72298BF4" w14:textId="77777777" w:rsidR="00305D02" w:rsidRDefault="00305D02">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48F5" w14:textId="25FA3D6F" w:rsidR="00305D02" w:rsidRPr="003F73BA" w:rsidRDefault="008A3863" w:rsidP="00305D02">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w:t>
    </w:r>
    <w:r w:rsidR="00305D02">
      <w:t>/9</w:t>
    </w:r>
    <w:r>
      <w:fldChar w:fldCharType="end"/>
    </w:r>
  </w:p>
  <w:p w14:paraId="0763A285" w14:textId="292C418A" w:rsidR="00305D02" w:rsidRDefault="00305D02" w:rsidP="00305D02">
    <w:pPr>
      <w:pStyle w:val="Header"/>
      <w:jc w:val="left"/>
    </w:pPr>
    <w:r>
      <w:t>Annex VII</w:t>
    </w:r>
  </w:p>
  <w:p w14:paraId="145E6EAF" w14:textId="77777777" w:rsidR="00305D02" w:rsidRPr="00C627AC" w:rsidRDefault="00305D02" w:rsidP="00305D02">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C041" w14:textId="77777777" w:rsidR="00305D02" w:rsidRDefault="008A3863" w:rsidP="0028399A">
    <w:pPr>
      <w:jc w:val="right"/>
    </w:pPr>
    <w:r>
      <w:fldChar w:fldCharType="begin"/>
    </w:r>
    <w:r>
      <w:instrText xml:space="preserve"> DOCPROPERTY "Document number"  \* MERGEFORMAT </w:instrText>
    </w:r>
    <w:r>
      <w:fldChar w:fldCharType="separate"/>
    </w:r>
    <w:r w:rsidR="00305D02">
      <w:t>UNEP/OzL.Pro/ExCom/87/9</w:t>
    </w:r>
    <w:r>
      <w:fldChar w:fldCharType="end"/>
    </w:r>
  </w:p>
  <w:p w14:paraId="04B9C909" w14:textId="1F07E8BA" w:rsidR="00305D02" w:rsidRDefault="00305D02" w:rsidP="0028399A">
    <w:pPr>
      <w:jc w:val="right"/>
    </w:pPr>
    <w:proofErr w:type="spellStart"/>
    <w:r>
      <w:t>Anexo</w:t>
    </w:r>
    <w:proofErr w:type="spellEnd"/>
    <w:r>
      <w:t xml:space="preserve"> VII</w:t>
    </w:r>
  </w:p>
  <w:p w14:paraId="66622021" w14:textId="77777777" w:rsidR="00305D02" w:rsidRDefault="00305D02">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0640" w14:textId="77777777" w:rsidR="00305D02" w:rsidRDefault="008A3863">
    <w:pPr>
      <w:jc w:val="right"/>
    </w:pPr>
    <w:r>
      <w:fldChar w:fldCharType="begin"/>
    </w:r>
    <w:r>
      <w:instrText xml:space="preserve"> DOCPROPERTY "Document number"  \* MERGEFORMAT </w:instrText>
    </w:r>
    <w:r>
      <w:fldChar w:fldCharType="separate"/>
    </w:r>
    <w:r w:rsidR="00305D02">
      <w:t>UNEP/OzL.Pro/ExCom/87/9</w:t>
    </w:r>
    <w:r>
      <w:fldChar w:fldCharType="end"/>
    </w:r>
  </w:p>
  <w:p w14:paraId="1DB78E9B" w14:textId="0F0B78ED" w:rsidR="00305D02" w:rsidRDefault="00305D02" w:rsidP="00B60EEC">
    <w:pPr>
      <w:jc w:val="right"/>
    </w:pPr>
    <w:proofErr w:type="spellStart"/>
    <w:r>
      <w:t>Anexo</w:t>
    </w:r>
    <w:proofErr w:type="spellEnd"/>
    <w:r>
      <w:t xml:space="preserve"> VII</w:t>
    </w:r>
  </w:p>
  <w:p w14:paraId="25E6A37B" w14:textId="77777777" w:rsidR="00305D02" w:rsidRDefault="00305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CDE2" w14:textId="4EE78171" w:rsidR="00305D02" w:rsidRDefault="00305D0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528015AA" w14:textId="77777777" w:rsidR="00305D02" w:rsidRDefault="00305D02"/>
  <w:p w14:paraId="16CC0E4D" w14:textId="77777777" w:rsidR="00305D02" w:rsidRDefault="00305D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BDB0" w14:textId="77777777" w:rsidR="00305D02" w:rsidRDefault="00305D02">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1500D418" w14:textId="3D1A5B0A" w:rsidR="00305D02" w:rsidRDefault="00305D02">
    <w:proofErr w:type="spellStart"/>
    <w:r>
      <w:t>Anexo</w:t>
    </w:r>
    <w:proofErr w:type="spellEnd"/>
    <w:r>
      <w:t xml:space="preserve"> I</w:t>
    </w:r>
  </w:p>
  <w:p w14:paraId="5BD55750" w14:textId="77777777" w:rsidR="00305D02" w:rsidRDefault="00305D0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19B2" w14:textId="268825AE" w:rsidR="00305D02" w:rsidRDefault="00305D0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2412AC4A" w14:textId="77777777" w:rsidR="00305D02" w:rsidRDefault="00305D02" w:rsidP="00B60EEC">
    <w:pPr>
      <w:jc w:val="right"/>
    </w:pPr>
    <w:proofErr w:type="spellStart"/>
    <w:r>
      <w:t>Anexo</w:t>
    </w:r>
    <w:proofErr w:type="spellEnd"/>
    <w:r>
      <w:t xml:space="preserve"> I</w:t>
    </w:r>
  </w:p>
  <w:p w14:paraId="7B6858A3" w14:textId="77777777" w:rsidR="00305D02" w:rsidRDefault="00305D0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BA51" w14:textId="77777777" w:rsidR="00305D02" w:rsidRPr="003F73BA" w:rsidRDefault="008A3863" w:rsidP="00305D02">
    <w:pPr>
      <w:jc w:val="left"/>
    </w:pPr>
    <w:r>
      <w:fldChar w:fldCharType="begin"/>
    </w:r>
    <w:r>
      <w:instrText xml:space="preserve"> DOCPROPERTY "Document number"  \* MERGEFORMAT </w:instrText>
    </w:r>
    <w:r>
      <w:fldChar w:fldCharType="separate"/>
    </w:r>
    <w:r w:rsidR="00305D02">
      <w:t>UNEP/OzL.Pro/ExCom/85/9</w:t>
    </w:r>
    <w:r>
      <w:fldChar w:fldCharType="end"/>
    </w:r>
  </w:p>
  <w:p w14:paraId="2F1A909D" w14:textId="77777777" w:rsidR="00305D02" w:rsidRDefault="00305D02" w:rsidP="00305D02">
    <w:pPr>
      <w:pStyle w:val="Header"/>
      <w:jc w:val="left"/>
    </w:pPr>
    <w:r>
      <w:t>Annex II</w:t>
    </w:r>
  </w:p>
  <w:p w14:paraId="292AB30C" w14:textId="77777777" w:rsidR="00305D02" w:rsidRPr="00C627AC" w:rsidRDefault="00305D02" w:rsidP="00305D0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CB95" w14:textId="77777777" w:rsidR="00305D02" w:rsidRDefault="008A3863" w:rsidP="00305D02">
    <w:pPr>
      <w:jc w:val="right"/>
    </w:pPr>
    <w:r>
      <w:fldChar w:fldCharType="begin"/>
    </w:r>
    <w:r>
      <w:instrText xml:space="preserve"> DOCPROPERTY "Document number"  \* MERGEFORMAT </w:instrText>
    </w:r>
    <w:r>
      <w:fldChar w:fldCharType="separate"/>
    </w:r>
    <w:r w:rsidR="00305D02">
      <w:t>UNEP/OzL.Pro/ExCom/87/9</w:t>
    </w:r>
    <w:r>
      <w:fldChar w:fldCharType="end"/>
    </w:r>
  </w:p>
  <w:p w14:paraId="2676C5DB" w14:textId="77777777" w:rsidR="00305D02" w:rsidRPr="0033525D" w:rsidRDefault="00305D02" w:rsidP="00305D02">
    <w:pPr>
      <w:jc w:val="right"/>
    </w:pPr>
    <w:r>
      <w:t>Annex II</w:t>
    </w:r>
  </w:p>
  <w:p w14:paraId="35913B47" w14:textId="77777777" w:rsidR="00305D02" w:rsidRDefault="00305D0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DD53" w14:textId="444721E6" w:rsidR="00305D02" w:rsidRPr="003F73BA" w:rsidRDefault="008A3863" w:rsidP="00305D02">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w:t>
    </w:r>
    <w:r w:rsidR="00305D02">
      <w:t>/9</w:t>
    </w:r>
    <w:r>
      <w:fldChar w:fldCharType="end"/>
    </w:r>
  </w:p>
  <w:p w14:paraId="7F8BAC50" w14:textId="35573B0D" w:rsidR="00305D02" w:rsidRDefault="00305D02" w:rsidP="00305D02">
    <w:pPr>
      <w:pStyle w:val="Header"/>
      <w:jc w:val="left"/>
    </w:pPr>
    <w:r>
      <w:t>Annex III</w:t>
    </w:r>
  </w:p>
  <w:p w14:paraId="2C5E804F" w14:textId="77777777" w:rsidR="00305D02" w:rsidRPr="00C627AC" w:rsidRDefault="00305D02" w:rsidP="00305D02">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9617" w14:textId="77777777" w:rsidR="00305D02" w:rsidRDefault="008A3863">
    <w:pPr>
      <w:jc w:val="right"/>
    </w:pPr>
    <w:r>
      <w:fldChar w:fldCharType="begin"/>
    </w:r>
    <w:r>
      <w:instrText xml:space="preserve"> DOCPROPERTY "Document number"  \* MERGEFORMAT </w:instrText>
    </w:r>
    <w:r>
      <w:fldChar w:fldCharType="separate"/>
    </w:r>
    <w:r w:rsidR="00305D02">
      <w:t>UNEP/OzL.Pro/ExCom/87/9</w:t>
    </w:r>
    <w:r>
      <w:fldChar w:fldCharType="end"/>
    </w:r>
  </w:p>
  <w:p w14:paraId="2559984B" w14:textId="1DDB1556" w:rsidR="00305D02" w:rsidRDefault="00305D02" w:rsidP="00B60EEC">
    <w:pPr>
      <w:jc w:val="right"/>
    </w:pPr>
    <w:proofErr w:type="spellStart"/>
    <w:r>
      <w:t>Anexo</w:t>
    </w:r>
    <w:proofErr w:type="spellEnd"/>
    <w:r>
      <w:t xml:space="preserve"> III</w:t>
    </w:r>
  </w:p>
  <w:p w14:paraId="793447F7" w14:textId="77777777" w:rsidR="00305D02" w:rsidRDefault="00305D02">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38B3" w14:textId="77777777" w:rsidR="00305D02" w:rsidRDefault="008A3863">
    <w:pPr>
      <w:jc w:val="right"/>
    </w:pPr>
    <w:r>
      <w:fldChar w:fldCharType="begin"/>
    </w:r>
    <w:r>
      <w:instrText xml:space="preserve"> DOCPROPERTY "Document number"  \* MERGEFORMAT </w:instrText>
    </w:r>
    <w:r>
      <w:fldChar w:fldCharType="separate"/>
    </w:r>
    <w:r w:rsidR="00305D02">
      <w:t>UNEP/OzL.Pro/ExCom/87/9</w:t>
    </w:r>
    <w:r>
      <w:fldChar w:fldCharType="end"/>
    </w:r>
  </w:p>
  <w:p w14:paraId="62E50F94" w14:textId="1F293928" w:rsidR="00305D02" w:rsidRDefault="00305D02" w:rsidP="00B60EEC">
    <w:pPr>
      <w:jc w:val="right"/>
    </w:pPr>
    <w:proofErr w:type="spellStart"/>
    <w:r>
      <w:t>Anexo</w:t>
    </w:r>
    <w:proofErr w:type="spellEnd"/>
    <w:r>
      <w:t xml:space="preserve"> IV</w:t>
    </w:r>
  </w:p>
  <w:p w14:paraId="089397FB" w14:textId="77777777" w:rsidR="00305D02" w:rsidRDefault="00305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CA6396"/>
    <w:lvl w:ilvl="0">
      <w:start w:val="1"/>
      <w:numFmt w:val="decimal"/>
      <w:pStyle w:val="Heading1"/>
      <w:lvlText w:val="%1."/>
      <w:lvlJc w:val="left"/>
      <w:pPr>
        <w:tabs>
          <w:tab w:val="num" w:pos="0"/>
        </w:tabs>
        <w:ind w:left="0" w:firstLine="0"/>
      </w:pPr>
      <w:rPr>
        <w:b w:val="0"/>
        <w:i w:val="0"/>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 w15:restartNumberingAfterBreak="0">
    <w:nsid w:val="471E14FC"/>
    <w:multiLevelType w:val="hybridMultilevel"/>
    <w:tmpl w:val="881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0A2183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0"/>
  </w:num>
  <w:num w:numId="13">
    <w:abstractNumId w:val="0"/>
  </w:num>
  <w:num w:numId="14">
    <w:abstractNumId w:val="0"/>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lvlOverride w:ilvl="0">
      <w:startOverride w:val="1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45"/>
    <w:rsid w:val="00014351"/>
    <w:rsid w:val="00045A5C"/>
    <w:rsid w:val="000463BB"/>
    <w:rsid w:val="00064429"/>
    <w:rsid w:val="00106F6E"/>
    <w:rsid w:val="00114CAA"/>
    <w:rsid w:val="001C2D22"/>
    <w:rsid w:val="001D3251"/>
    <w:rsid w:val="001F4047"/>
    <w:rsid w:val="00235D4C"/>
    <w:rsid w:val="0024162E"/>
    <w:rsid w:val="002425B4"/>
    <w:rsid w:val="00244477"/>
    <w:rsid w:val="0028399A"/>
    <w:rsid w:val="002959B4"/>
    <w:rsid w:val="00305D02"/>
    <w:rsid w:val="00337C45"/>
    <w:rsid w:val="00351285"/>
    <w:rsid w:val="003863A4"/>
    <w:rsid w:val="00387E42"/>
    <w:rsid w:val="003B7115"/>
    <w:rsid w:val="003D5B9C"/>
    <w:rsid w:val="00455352"/>
    <w:rsid w:val="00476E28"/>
    <w:rsid w:val="0050128D"/>
    <w:rsid w:val="0053626E"/>
    <w:rsid w:val="005B51B8"/>
    <w:rsid w:val="005F4F71"/>
    <w:rsid w:val="006A36C4"/>
    <w:rsid w:val="00746163"/>
    <w:rsid w:val="007833FE"/>
    <w:rsid w:val="00831BC5"/>
    <w:rsid w:val="0087455A"/>
    <w:rsid w:val="008A3863"/>
    <w:rsid w:val="008E0205"/>
    <w:rsid w:val="008E0FC9"/>
    <w:rsid w:val="0096282B"/>
    <w:rsid w:val="009A2CFD"/>
    <w:rsid w:val="00AB56E5"/>
    <w:rsid w:val="00AC7A52"/>
    <w:rsid w:val="00AF751E"/>
    <w:rsid w:val="00B60EEC"/>
    <w:rsid w:val="00C02DE3"/>
    <w:rsid w:val="00C14E67"/>
    <w:rsid w:val="00C167B1"/>
    <w:rsid w:val="00D17F84"/>
    <w:rsid w:val="00D84B6F"/>
    <w:rsid w:val="00DB795B"/>
    <w:rsid w:val="00E17F97"/>
    <w:rsid w:val="00EE6440"/>
    <w:rsid w:val="00F10CD9"/>
    <w:rsid w:val="00F25F7C"/>
    <w:rsid w:val="00F31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8BC896"/>
  <w15:docId w15:val="{BF1432E8-7FBF-4197-A03E-3F4F595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9A"/>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 Char,Char Char Char,Char Char1,Heading 3 Char1 Char,Heading 3 Char Char Char,Char Char Char Char,Char Char1 Char,Heading 3 Char2,Char Char2,Char Char Char1,Heading 3 Char Char1 Char,Heading 3 Char Char1"/>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6"/>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959B4"/>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2959B4"/>
    <w:rPr>
      <w:vertAlign w:val="superscript"/>
    </w:rPr>
  </w:style>
  <w:style w:type="paragraph" w:customStyle="1" w:styleId="a--">
    <w:name w:val="a-(-)"/>
    <w:basedOn w:val="Normal"/>
    <w:rsid w:val="00EE6440"/>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Emphasis">
    <w:name w:val="Emphasis"/>
    <w:basedOn w:val="DefaultParagraphFont"/>
    <w:uiPriority w:val="20"/>
    <w:qFormat/>
    <w:rsid w:val="00EE6440"/>
    <w:rPr>
      <w:i/>
      <w:i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EE6440"/>
    <w:rPr>
      <w:sz w:val="22"/>
      <w:szCs w:val="22"/>
      <w:lang w:val="en-GB"/>
    </w:rPr>
  </w:style>
  <w:style w:type="character" w:customStyle="1" w:styleId="Heading3Char">
    <w:name w:val="Heading 3 Char"/>
    <w:basedOn w:val="DefaultParagraphFont"/>
    <w:semiHidden/>
    <w:rsid w:val="00EE6440"/>
    <w:rPr>
      <w:rFonts w:asciiTheme="majorHAnsi" w:eastAsiaTheme="majorEastAsia" w:hAnsiTheme="majorHAnsi" w:cstheme="majorBidi"/>
      <w:color w:val="243F60" w:themeColor="accent1" w:themeShade="7F"/>
      <w:sz w:val="24"/>
      <w:szCs w:val="24"/>
      <w:lang w:val="en-GB"/>
    </w:rPr>
  </w:style>
  <w:style w:type="character" w:customStyle="1" w:styleId="Heading3Char1">
    <w:name w:val="Heading 3 Char1"/>
    <w:basedOn w:val="DefaultParagraphFont"/>
    <w:uiPriority w:val="9"/>
    <w:semiHidden/>
    <w:rsid w:val="00EE6440"/>
    <w:rPr>
      <w:rFonts w:asciiTheme="majorHAnsi" w:eastAsiaTheme="majorEastAsia" w:hAnsiTheme="majorHAnsi" w:cstheme="majorBidi"/>
      <w:color w:val="243F60" w:themeColor="accent1" w:themeShade="7F"/>
      <w:sz w:val="24"/>
      <w:szCs w:val="24"/>
    </w:rPr>
  </w:style>
  <w:style w:type="character" w:customStyle="1" w:styleId="Heading3Char3">
    <w:name w:val="Heading 3 Char3"/>
    <w:aliases w:val="Char Char3,Char Char Char2,Heading 3 Char Char Char1,Char Char Char Char1,Char Char1 Char1,Heading 3 Char1 Char Char,Heading 3 Char Char Char Char,Char Char Char Char Char,Char Char1 Char Char,Heading 3 Char2 Char,Char Char2 Char"/>
    <w:basedOn w:val="DefaultParagraphFont"/>
    <w:link w:val="Heading3"/>
    <w:locked/>
    <w:rsid w:val="00EE6440"/>
    <w:rPr>
      <w:sz w:val="22"/>
      <w:szCs w:val="22"/>
      <w:lang w:val="en-GB"/>
    </w:rPr>
  </w:style>
  <w:style w:type="character" w:customStyle="1" w:styleId="Heading4Char">
    <w:name w:val="Heading 4 Char"/>
    <w:aliases w:val="Heading 11 Char,para 4 Char,Título 41 Char,Heading 41 Char,heading 4 Char,标题 41 Char"/>
    <w:basedOn w:val="DefaultParagraphFont"/>
    <w:link w:val="Heading4"/>
    <w:rsid w:val="00EE6440"/>
    <w:rPr>
      <w:sz w:val="22"/>
      <w:szCs w:val="22"/>
      <w:lang w:val="en-GB"/>
    </w:rPr>
  </w:style>
  <w:style w:type="character" w:customStyle="1" w:styleId="Heading6Char">
    <w:name w:val="Heading 6 Char"/>
    <w:basedOn w:val="DefaultParagraphFont"/>
    <w:link w:val="Heading6"/>
    <w:rsid w:val="00EE6440"/>
    <w:rPr>
      <w:rFonts w:ascii="Arial" w:hAnsi="Arial"/>
      <w:i/>
      <w:sz w:val="22"/>
      <w:szCs w:val="22"/>
      <w:lang w:val="en-GB"/>
    </w:rPr>
  </w:style>
  <w:style w:type="character" w:customStyle="1" w:styleId="Heading7Char">
    <w:name w:val="Heading 7 Char"/>
    <w:basedOn w:val="DefaultParagraphFont"/>
    <w:link w:val="Heading7"/>
    <w:rsid w:val="00EE6440"/>
    <w:rPr>
      <w:rFonts w:ascii="Arial" w:hAnsi="Arial"/>
      <w:sz w:val="22"/>
      <w:szCs w:val="22"/>
      <w:lang w:val="en-GB"/>
    </w:rPr>
  </w:style>
  <w:style w:type="character" w:customStyle="1" w:styleId="Heading9Char">
    <w:name w:val="Heading 9 Char"/>
    <w:basedOn w:val="DefaultParagraphFont"/>
    <w:link w:val="Heading9"/>
    <w:rsid w:val="00EE6440"/>
    <w:rPr>
      <w:rFonts w:ascii="Arial" w:hAnsi="Arial"/>
      <w:i/>
      <w:sz w:val="18"/>
      <w:szCs w:val="22"/>
      <w:lang w:val="en-GB"/>
    </w:rPr>
  </w:style>
  <w:style w:type="character" w:customStyle="1" w:styleId="HeaderChar">
    <w:name w:val="Header Char"/>
    <w:basedOn w:val="DefaultParagraphFont"/>
    <w:link w:val="Header"/>
    <w:rsid w:val="00EE6440"/>
    <w:rPr>
      <w:sz w:val="22"/>
      <w:szCs w:val="22"/>
      <w:lang w:val="en-GB"/>
    </w:rPr>
  </w:style>
  <w:style w:type="character" w:customStyle="1" w:styleId="Heading5Char">
    <w:name w:val="Heading 5 Char"/>
    <w:basedOn w:val="DefaultParagraphFont"/>
    <w:link w:val="Heading5"/>
    <w:rsid w:val="00AF751E"/>
    <w:rPr>
      <w:sz w:val="22"/>
      <w:szCs w:val="22"/>
      <w:lang w:val="en-GB"/>
    </w:rPr>
  </w:style>
  <w:style w:type="character" w:customStyle="1" w:styleId="Heading8Char">
    <w:name w:val="Heading 8 Char"/>
    <w:basedOn w:val="DefaultParagraphFont"/>
    <w:link w:val="Heading8"/>
    <w:rsid w:val="00AF751E"/>
    <w:rPr>
      <w:b/>
      <w:sz w:val="22"/>
      <w:szCs w:val="22"/>
      <w:lang w:val="en-GB"/>
    </w:rPr>
  </w:style>
  <w:style w:type="character" w:customStyle="1" w:styleId="BodyText3Char">
    <w:name w:val="Body Text 3 Char"/>
    <w:basedOn w:val="DefaultParagraphFont"/>
    <w:link w:val="BodyText3"/>
    <w:semiHidden/>
    <w:rsid w:val="00AF751E"/>
    <w:rPr>
      <w:sz w:val="16"/>
      <w:szCs w:val="16"/>
      <w:lang w:val="en-GB"/>
    </w:rPr>
  </w:style>
  <w:style w:type="character" w:customStyle="1" w:styleId="BodyTextIndent3Char">
    <w:name w:val="Body Text Indent 3 Char"/>
    <w:basedOn w:val="DefaultParagraphFont"/>
    <w:link w:val="BodyTextIndent3"/>
    <w:semiHidden/>
    <w:rsid w:val="00AF751E"/>
    <w:rPr>
      <w:sz w:val="16"/>
      <w:szCs w:val="16"/>
      <w:lang w:val="en-GB"/>
    </w:rPr>
  </w:style>
  <w:style w:type="character" w:customStyle="1" w:styleId="PlainTextChar">
    <w:name w:val="Plain Text Char"/>
    <w:basedOn w:val="DefaultParagraphFont"/>
    <w:link w:val="PlainText"/>
    <w:semiHidden/>
    <w:rsid w:val="00AF751E"/>
    <w:rPr>
      <w:rFonts w:ascii="Courier New" w:hAnsi="Courier New" w:cs="Courier New"/>
      <w:szCs w:val="22"/>
      <w:lang w:val="en-GB"/>
    </w:rPr>
  </w:style>
  <w:style w:type="character" w:customStyle="1" w:styleId="SubtitleChar">
    <w:name w:val="Subtitle Char"/>
    <w:basedOn w:val="DefaultParagraphFont"/>
    <w:link w:val="Subtitle"/>
    <w:rsid w:val="00AF751E"/>
    <w:rPr>
      <w:rFonts w:ascii="Arial" w:hAnsi="Arial" w:cs="Arial"/>
      <w:sz w:val="22"/>
      <w:szCs w:val="22"/>
      <w:lang w:val="en-GB"/>
    </w:rPr>
  </w:style>
  <w:style w:type="character" w:customStyle="1" w:styleId="TitleChar">
    <w:name w:val="Title Char"/>
    <w:basedOn w:val="DefaultParagraphFont"/>
    <w:link w:val="Title"/>
    <w:rsid w:val="00AF751E"/>
    <w:rPr>
      <w:rFonts w:ascii="Arial" w:hAnsi="Arial" w:cs="Arial"/>
      <w:b/>
      <w:bCs/>
      <w:kern w:val="28"/>
      <w:sz w:val="22"/>
      <w:szCs w:val="22"/>
      <w:lang w:val="en-GB"/>
    </w:rPr>
  </w:style>
  <w:style w:type="character" w:customStyle="1" w:styleId="DateChar">
    <w:name w:val="Date Char"/>
    <w:basedOn w:val="DefaultParagraphFont"/>
    <w:link w:val="Date"/>
    <w:rsid w:val="00AF751E"/>
    <w:rPr>
      <w:sz w:val="22"/>
      <w:szCs w:val="22"/>
      <w:lang w:val="en-GB"/>
    </w:rPr>
  </w:style>
  <w:style w:type="table" w:customStyle="1" w:styleId="TableGrid10">
    <w:name w:val="Table Grid1"/>
    <w:basedOn w:val="TableNormal"/>
    <w:next w:val="TableGrid"/>
    <w:rsid w:val="00AF751E"/>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751E"/>
  </w:style>
  <w:style w:type="character" w:styleId="Hyperlink">
    <w:name w:val="Hyperlink"/>
    <w:basedOn w:val="DefaultParagraphFont"/>
    <w:uiPriority w:val="99"/>
    <w:semiHidden/>
    <w:unhideWhenUsed/>
    <w:rsid w:val="00AF751E"/>
    <w:rPr>
      <w:color w:val="0563C1"/>
      <w:u w:val="single"/>
    </w:rPr>
  </w:style>
  <w:style w:type="character" w:styleId="FollowedHyperlink">
    <w:name w:val="FollowedHyperlink"/>
    <w:basedOn w:val="DefaultParagraphFont"/>
    <w:uiPriority w:val="99"/>
    <w:semiHidden/>
    <w:unhideWhenUsed/>
    <w:rsid w:val="00AF751E"/>
    <w:rPr>
      <w:color w:val="954F72"/>
      <w:u w:val="single"/>
    </w:rPr>
  </w:style>
  <w:style w:type="paragraph" w:customStyle="1" w:styleId="msonormal0">
    <w:name w:val="msonormal"/>
    <w:basedOn w:val="Normal"/>
    <w:rsid w:val="00AF751E"/>
    <w:pPr>
      <w:spacing w:before="100" w:beforeAutospacing="1" w:after="100" w:afterAutospacing="1"/>
      <w:jc w:val="left"/>
    </w:pPr>
    <w:rPr>
      <w:sz w:val="24"/>
      <w:szCs w:val="24"/>
      <w:lang w:val="en-CA" w:eastAsia="en-CA"/>
    </w:rPr>
  </w:style>
  <w:style w:type="paragraph" w:customStyle="1" w:styleId="xl63">
    <w:name w:val="xl63"/>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4">
    <w:name w:val="xl64"/>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65">
    <w:name w:val="xl65"/>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6">
    <w:name w:val="xl66"/>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7">
    <w:name w:val="xl67"/>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CA" w:eastAsia="en-CA"/>
    </w:rPr>
  </w:style>
  <w:style w:type="paragraph" w:customStyle="1" w:styleId="xl68">
    <w:name w:val="xl68"/>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lang w:val="en-CA" w:eastAsia="en-CA"/>
    </w:rPr>
  </w:style>
  <w:style w:type="paragraph" w:customStyle="1" w:styleId="xl69">
    <w:name w:val="xl69"/>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CA" w:eastAsia="en-CA"/>
    </w:rPr>
  </w:style>
  <w:style w:type="paragraph" w:customStyle="1" w:styleId="xl70">
    <w:name w:val="xl70"/>
    <w:basedOn w:val="Normal"/>
    <w:rsid w:val="00AF751E"/>
    <w:pPr>
      <w:spacing w:before="100" w:beforeAutospacing="1" w:after="100" w:afterAutospacing="1"/>
      <w:jc w:val="left"/>
    </w:pPr>
    <w:rPr>
      <w:b/>
      <w:bCs/>
      <w:sz w:val="18"/>
      <w:szCs w:val="18"/>
      <w:lang w:val="en-CA" w:eastAsia="en-CA"/>
    </w:rPr>
  </w:style>
  <w:style w:type="paragraph" w:customStyle="1" w:styleId="xl71">
    <w:name w:val="xl71"/>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lang w:val="en-CA" w:eastAsia="en-CA"/>
    </w:rPr>
  </w:style>
  <w:style w:type="paragraph" w:customStyle="1" w:styleId="xl72">
    <w:name w:val="xl72"/>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val="en-CA" w:eastAsia="en-CA"/>
    </w:rPr>
  </w:style>
  <w:style w:type="paragraph" w:customStyle="1" w:styleId="xl73">
    <w:name w:val="xl73"/>
    <w:basedOn w:val="Normal"/>
    <w:rsid w:val="00AF751E"/>
    <w:pPr>
      <w:spacing w:before="100" w:beforeAutospacing="1" w:after="100" w:afterAutospacing="1"/>
      <w:jc w:val="left"/>
    </w:pPr>
    <w:rPr>
      <w:b/>
      <w:bCs/>
      <w:sz w:val="18"/>
      <w:szCs w:val="18"/>
      <w:lang w:val="en-CA" w:eastAsia="en-CA"/>
    </w:rPr>
  </w:style>
  <w:style w:type="paragraph" w:customStyle="1" w:styleId="xl74">
    <w:name w:val="xl74"/>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5">
    <w:name w:val="xl75"/>
    <w:basedOn w:val="Normal"/>
    <w:rsid w:val="00AF75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FF0000"/>
      <w:sz w:val="18"/>
      <w:szCs w:val="18"/>
      <w:lang w:val="en-CA" w:eastAsia="en-CA"/>
    </w:rPr>
  </w:style>
  <w:style w:type="paragraph" w:customStyle="1" w:styleId="xl76">
    <w:name w:val="xl76"/>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7">
    <w:name w:val="xl77"/>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8">
    <w:name w:val="xl78"/>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9">
    <w:name w:val="xl79"/>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18"/>
      <w:szCs w:val="18"/>
      <w:lang w:val="en-CA" w:eastAsia="en-CA"/>
    </w:rPr>
  </w:style>
  <w:style w:type="paragraph" w:styleId="Revision">
    <w:name w:val="Revision"/>
    <w:hidden/>
    <w:uiPriority w:val="99"/>
    <w:semiHidden/>
    <w:rsid w:val="00AF751E"/>
    <w:rPr>
      <w:sz w:val="22"/>
      <w:szCs w:val="22"/>
      <w:lang w:val="en-GB"/>
    </w:rPr>
  </w:style>
  <w:style w:type="paragraph" w:styleId="ListParagraph">
    <w:name w:val="List Paragraph"/>
    <w:basedOn w:val="Normal"/>
    <w:uiPriority w:val="34"/>
    <w:qFormat/>
    <w:rsid w:val="00AF751E"/>
    <w:pPr>
      <w:ind w:left="720"/>
      <w:contextualSpacing/>
    </w:pPr>
  </w:style>
  <w:style w:type="character" w:customStyle="1" w:styleId="fontstyle01">
    <w:name w:val="fontstyle01"/>
    <w:basedOn w:val="DefaultParagraphFont"/>
    <w:rsid w:val="00AF751E"/>
    <w:rPr>
      <w:rFonts w:ascii="MetaPlusBook-Roman-Identity-H" w:hAnsi="MetaPlusBook-Roman-Identity-H" w:hint="default"/>
      <w:b w:val="0"/>
      <w:bCs w:val="0"/>
      <w:i w:val="0"/>
      <w:iCs w:val="0"/>
      <w:color w:val="231F20"/>
      <w:sz w:val="20"/>
      <w:szCs w:val="20"/>
    </w:rPr>
  </w:style>
  <w:style w:type="table" w:customStyle="1" w:styleId="TableGrid20">
    <w:name w:val="Table Grid2"/>
    <w:basedOn w:val="TableNormal"/>
    <w:next w:val="TableGrid"/>
    <w:rsid w:val="00AF751E"/>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0">
    <w:name w:val="xl80"/>
    <w:basedOn w:val="Normal"/>
    <w:rsid w:val="00AF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color w:val="000000"/>
      <w:sz w:val="24"/>
      <w:szCs w:val="24"/>
      <w:lang w:val="en-CA" w:eastAsia="en-CA"/>
    </w:rPr>
  </w:style>
  <w:style w:type="paragraph" w:customStyle="1" w:styleId="xl81">
    <w:name w:val="xl81"/>
    <w:basedOn w:val="Normal"/>
    <w:rsid w:val="00AF751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lang w:val="en-CA" w:eastAsia="en-CA"/>
    </w:rPr>
  </w:style>
  <w:style w:type="paragraph" w:customStyle="1" w:styleId="xl82">
    <w:name w:val="xl82"/>
    <w:basedOn w:val="Normal"/>
    <w:rsid w:val="00AF751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color w:val="203764"/>
      <w:lang w:val="en-CA" w:eastAsia="en-CA"/>
    </w:rPr>
  </w:style>
  <w:style w:type="paragraph" w:customStyle="1" w:styleId="xl83">
    <w:name w:val="xl83"/>
    <w:basedOn w:val="Normal"/>
    <w:rsid w:val="00AF751E"/>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lang w:val="en-CA" w:eastAsia="en-CA"/>
    </w:rPr>
  </w:style>
  <w:style w:type="paragraph" w:customStyle="1" w:styleId="xl84">
    <w:name w:val="xl84"/>
    <w:basedOn w:val="Normal"/>
    <w:rsid w:val="00AF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203764"/>
      <w:sz w:val="24"/>
      <w:szCs w:val="24"/>
      <w:lang w:val="en-CA" w:eastAsia="en-CA"/>
    </w:rPr>
  </w:style>
  <w:style w:type="paragraph" w:customStyle="1" w:styleId="xl85">
    <w:name w:val="xl85"/>
    <w:basedOn w:val="Normal"/>
    <w:rsid w:val="00AF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sz w:val="24"/>
      <w:szCs w:val="24"/>
      <w:lang w:val="en-CA" w:eastAsia="en-CA"/>
    </w:rPr>
  </w:style>
  <w:style w:type="paragraph" w:customStyle="1" w:styleId="xl86">
    <w:name w:val="xl86"/>
    <w:basedOn w:val="Normal"/>
    <w:rsid w:val="00AF751E"/>
    <w:pPr>
      <w:spacing w:before="100" w:beforeAutospacing="1" w:after="100" w:afterAutospacing="1"/>
      <w:jc w:val="center"/>
      <w:textAlignment w:val="center"/>
    </w:pPr>
    <w:rPr>
      <w:sz w:val="24"/>
      <w:szCs w:val="24"/>
      <w:lang w:val="en-CA" w:eastAsia="en-CA"/>
    </w:rPr>
  </w:style>
  <w:style w:type="paragraph" w:customStyle="1" w:styleId="xl87">
    <w:name w:val="xl87"/>
    <w:basedOn w:val="Normal"/>
    <w:rsid w:val="00AF751E"/>
    <w:pPr>
      <w:spacing w:before="100" w:beforeAutospacing="1" w:after="100" w:afterAutospacing="1"/>
      <w:jc w:val="left"/>
      <w:textAlignment w:val="center"/>
    </w:pPr>
    <w:rPr>
      <w:sz w:val="24"/>
      <w:szCs w:val="24"/>
      <w:lang w:val="en-CA" w:eastAsia="en-CA"/>
    </w:rPr>
  </w:style>
  <w:style w:type="paragraph" w:customStyle="1" w:styleId="xl88">
    <w:name w:val="xl88"/>
    <w:basedOn w:val="Normal"/>
    <w:rsid w:val="00AF751E"/>
    <w:pPr>
      <w:spacing w:before="100" w:beforeAutospacing="1" w:after="100" w:afterAutospacing="1"/>
      <w:jc w:val="left"/>
    </w:pPr>
    <w:rPr>
      <w:sz w:val="24"/>
      <w:szCs w:val="24"/>
      <w:lang w:val="en-CA" w:eastAsia="en-CA"/>
    </w:rPr>
  </w:style>
  <w:style w:type="paragraph" w:customStyle="1" w:styleId="xl90">
    <w:name w:val="xl90"/>
    <w:basedOn w:val="Normal"/>
    <w:rsid w:val="00AF751E"/>
    <w:pPr>
      <w:spacing w:before="100" w:beforeAutospacing="1" w:after="100" w:afterAutospacing="1"/>
      <w:jc w:val="center"/>
      <w:textAlignment w:val="center"/>
    </w:pPr>
    <w:rPr>
      <w:b/>
      <w:bCs/>
      <w:sz w:val="24"/>
      <w:szCs w:val="24"/>
      <w:lang w:val="en-CA" w:eastAsia="en-CA"/>
    </w:rPr>
  </w:style>
  <w:style w:type="paragraph" w:customStyle="1" w:styleId="xl91">
    <w:name w:val="xl91"/>
    <w:basedOn w:val="Normal"/>
    <w:rsid w:val="00AF751E"/>
    <w:pPr>
      <w:shd w:val="clear" w:color="000000" w:fill="D9D9D9"/>
      <w:spacing w:before="100" w:beforeAutospacing="1" w:after="100" w:afterAutospacing="1"/>
      <w:jc w:val="center"/>
      <w:textAlignment w:val="top"/>
    </w:pPr>
    <w:rPr>
      <w:b/>
      <w:bCs/>
      <w:sz w:val="28"/>
      <w:szCs w:val="28"/>
      <w:lang w:val="en-CA" w:eastAsia="en-CA"/>
    </w:rPr>
  </w:style>
  <w:style w:type="paragraph" w:customStyle="1" w:styleId="xl92">
    <w:name w:val="xl92"/>
    <w:basedOn w:val="Normal"/>
    <w:rsid w:val="00AF7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24"/>
      <w:szCs w:val="24"/>
      <w:lang w:val="en-CA" w:eastAsia="en-CA"/>
    </w:rPr>
  </w:style>
  <w:style w:type="paragraph" w:customStyle="1" w:styleId="xl93">
    <w:name w:val="xl93"/>
    <w:basedOn w:val="Normal"/>
    <w:rsid w:val="00AF7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4"/>
      <w:szCs w:val="24"/>
      <w:lang w:val="en-CA" w:eastAsia="en-CA"/>
    </w:rPr>
  </w:style>
  <w:style w:type="paragraph" w:customStyle="1" w:styleId="xl94">
    <w:name w:val="xl94"/>
    <w:basedOn w:val="Normal"/>
    <w:rsid w:val="00AF7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val="en-CA" w:eastAsia="en-CA"/>
    </w:rPr>
  </w:style>
  <w:style w:type="paragraph" w:customStyle="1" w:styleId="xl95">
    <w:name w:val="xl95"/>
    <w:basedOn w:val="Normal"/>
    <w:rsid w:val="00AF751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28"/>
      <w:szCs w:val="28"/>
      <w:lang w:val="en-CA" w:eastAsia="en-CA"/>
    </w:rPr>
  </w:style>
  <w:style w:type="paragraph" w:customStyle="1" w:styleId="xl96">
    <w:name w:val="xl96"/>
    <w:basedOn w:val="Normal"/>
    <w:rsid w:val="00AF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s="Calibri"/>
      <w:sz w:val="24"/>
      <w:szCs w:val="24"/>
      <w:lang w:val="en-CA" w:eastAsia="en-CA"/>
    </w:rPr>
  </w:style>
  <w:style w:type="paragraph" w:customStyle="1" w:styleId="xl97">
    <w:name w:val="xl97"/>
    <w:basedOn w:val="Normal"/>
    <w:rsid w:val="00AF751E"/>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b/>
      <w:bCs/>
      <w:sz w:val="28"/>
      <w:szCs w:val="28"/>
      <w:lang w:val="en-CA" w:eastAsia="en-CA"/>
    </w:rPr>
  </w:style>
  <w:style w:type="paragraph" w:customStyle="1" w:styleId="xl98">
    <w:name w:val="xl98"/>
    <w:basedOn w:val="Normal"/>
    <w:rsid w:val="00AF751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lang w:val="en-CA" w:eastAsia="en-CA"/>
    </w:rPr>
  </w:style>
  <w:style w:type="paragraph" w:customStyle="1" w:styleId="xl99">
    <w:name w:val="xl99"/>
    <w:basedOn w:val="Normal"/>
    <w:rsid w:val="00AF751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lang w:val="en-CA" w:eastAsia="en-CA"/>
    </w:rPr>
  </w:style>
  <w:style w:type="paragraph" w:customStyle="1" w:styleId="xl100">
    <w:name w:val="xl100"/>
    <w:basedOn w:val="Normal"/>
    <w:rsid w:val="00AF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4"/>
      <w:szCs w:val="24"/>
      <w:lang w:val="en-CA" w:eastAsia="en-CA"/>
    </w:rPr>
  </w:style>
  <w:style w:type="paragraph" w:customStyle="1" w:styleId="xl101">
    <w:name w:val="xl101"/>
    <w:basedOn w:val="Normal"/>
    <w:rsid w:val="00AF751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w:hAnsi="Calibri" w:cs="Calibri"/>
      <w:b/>
      <w:bCs/>
      <w:color w:val="203764"/>
      <w:sz w:val="24"/>
      <w:szCs w:val="24"/>
      <w:lang w:val="en-CA" w:eastAsia="en-CA"/>
    </w:rPr>
  </w:style>
  <w:style w:type="paragraph" w:customStyle="1" w:styleId="xl102">
    <w:name w:val="xl102"/>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32"/>
      <w:szCs w:val="32"/>
      <w:lang w:val="en-CA" w:eastAsia="en-CA"/>
    </w:rPr>
  </w:style>
  <w:style w:type="paragraph" w:customStyle="1" w:styleId="xl103">
    <w:name w:val="xl103"/>
    <w:basedOn w:val="Normal"/>
    <w:rsid w:val="00AF75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32"/>
      <w:szCs w:val="32"/>
      <w:lang w:val="en-CA" w:eastAsia="en-CA"/>
    </w:rPr>
  </w:style>
  <w:style w:type="paragraph" w:customStyle="1" w:styleId="xl104">
    <w:name w:val="xl104"/>
    <w:basedOn w:val="Normal"/>
    <w:rsid w:val="00AF751E"/>
    <w:pPr>
      <w:spacing w:before="100" w:beforeAutospacing="1" w:after="100" w:afterAutospacing="1"/>
      <w:jc w:val="left"/>
      <w:textAlignment w:val="top"/>
    </w:pPr>
    <w:rPr>
      <w:sz w:val="32"/>
      <w:szCs w:val="32"/>
      <w:lang w:val="en-CA" w:eastAsia="en-CA"/>
    </w:rPr>
  </w:style>
  <w:style w:type="paragraph" w:customStyle="1" w:styleId="xl105">
    <w:name w:val="xl105"/>
    <w:basedOn w:val="Normal"/>
    <w:rsid w:val="00AF751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top"/>
    </w:pPr>
    <w:rPr>
      <w:sz w:val="32"/>
      <w:szCs w:val="32"/>
      <w:lang w:val="en-CA" w:eastAsia="en-CA"/>
    </w:rPr>
  </w:style>
  <w:style w:type="paragraph" w:styleId="NoSpacing">
    <w:name w:val="No Spacing"/>
    <w:link w:val="NoSpacingChar"/>
    <w:uiPriority w:val="1"/>
    <w:qFormat/>
    <w:rsid w:val="00AF751E"/>
    <w:pPr>
      <w:jc w:val="both"/>
    </w:pPr>
    <w:rPr>
      <w:sz w:val="22"/>
      <w:szCs w:val="22"/>
      <w:lang w:val="en-GB"/>
    </w:rPr>
  </w:style>
  <w:style w:type="character" w:customStyle="1" w:styleId="NoSpacingChar">
    <w:name w:val="No Spacing Char"/>
    <w:basedOn w:val="DefaultParagraphFont"/>
    <w:link w:val="NoSpacing"/>
    <w:uiPriority w:val="1"/>
    <w:locked/>
    <w:rsid w:val="00AF751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7717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customXml" Target="../customXml/item4.xml"/><Relationship Id="rId20" Type="http://schemas.openxmlformats.org/officeDocument/2006/relationships/header" Target="header6.xml"/><Relationship Id="rId41"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CF2D5A1A\S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UNEP/OzL.Pro/ExCom/87/9</Document_x0020_Number>
  </documentManagement>
</p:properties>
</file>

<file path=customXml/itemProps1.xml><?xml version="1.0" encoding="utf-8"?>
<ds:datastoreItem xmlns:ds="http://schemas.openxmlformats.org/officeDocument/2006/customXml" ds:itemID="{FA154777-06D9-4487-B537-B20E9190FD8D}"/>
</file>

<file path=customXml/itemProps2.xml><?xml version="1.0" encoding="utf-8"?>
<ds:datastoreItem xmlns:ds="http://schemas.openxmlformats.org/officeDocument/2006/customXml" ds:itemID="{56ED4FC1-2F80-49F8-BECB-1284715D2ECB}"/>
</file>

<file path=customXml/itemProps3.xml><?xml version="1.0" encoding="utf-8"?>
<ds:datastoreItem xmlns:ds="http://schemas.openxmlformats.org/officeDocument/2006/customXml" ds:itemID="{F28F0B96-8F82-4B50-8762-7A43193F16F7}"/>
</file>

<file path=customXml/itemProps4.xml><?xml version="1.0" encoding="utf-8"?>
<ds:datastoreItem xmlns:ds="http://schemas.openxmlformats.org/officeDocument/2006/customXml" ds:itemID="{F2486F50-34E2-4EC6-B2AE-BB2D214085B7}"/>
</file>

<file path=docProps/app.xml><?xml version="1.0" encoding="utf-8"?>
<Properties xmlns="http://schemas.openxmlformats.org/officeDocument/2006/extended-properties" xmlns:vt="http://schemas.openxmlformats.org/officeDocument/2006/docPropsVTypes">
  <Template>S87-template</Template>
  <TotalTime>62</TotalTime>
  <Pages>98</Pages>
  <Words>42800</Words>
  <Characters>226554</Characters>
  <Application>Microsoft Office Word</Application>
  <DocSecurity>0</DocSecurity>
  <Lines>1887</Lines>
  <Paragraphs>537</Paragraphs>
  <ScaleCrop>false</ScaleCrop>
  <HeadingPairs>
    <vt:vector size="2" baseType="variant">
      <vt:variant>
        <vt:lpstr>Title</vt:lpstr>
      </vt:variant>
      <vt:variant>
        <vt:i4>1</vt:i4>
      </vt:variant>
    </vt:vector>
  </HeadingPairs>
  <TitlesOfParts>
    <vt:vector size="1" baseType="lpstr">
      <vt:lpstr>Informes de situación e informes sobre los proyectos con requisitos específicos de presentación de informes</vt:lpstr>
    </vt:vector>
  </TitlesOfParts>
  <Company>UNMFS</Company>
  <LinksUpToDate>false</LinksUpToDate>
  <CharactersWithSpaces>268817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de situación e informes sobre los proyectos con requisitos específicos de presentación de informes</dc:title>
  <dc:creator>User</dc:creator>
  <cp:lastModifiedBy>Kata Koppel</cp:lastModifiedBy>
  <cp:revision>12</cp:revision>
  <cp:lastPrinted>2001-05-26T16:40:00Z</cp:lastPrinted>
  <dcterms:created xsi:type="dcterms:W3CDTF">2021-06-25T18:18:00Z</dcterms:created>
  <dcterms:modified xsi:type="dcterms:W3CDTF">2021-07-12T22:21:00Z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vt:lpwstr>
  </property>
  <property fmtid="{D5CDD505-2E9C-101B-9397-08002B2CF9AE}" pid="3" name="Revision date">
    <vt:lpwstr>6/19/2021</vt:lpwstr>
  </property>
  <property fmtid="{D5CDD505-2E9C-101B-9397-08002B2CF9AE}" pid="4" name="ContentTypeId">
    <vt:lpwstr>0x010100ACD79882E53CBD488ABE60AC614F6D01</vt:lpwstr>
  </property>
</Properties>
</file>