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696BEB" w:rsidRPr="001B4F7A" w14:paraId="380CF02A" w14:textId="77777777" w:rsidTr="00FB322E">
        <w:trPr>
          <w:trHeight w:val="720"/>
        </w:trPr>
        <w:tc>
          <w:tcPr>
            <w:tcW w:w="6494" w:type="dxa"/>
            <w:gridSpan w:val="2"/>
            <w:tcBorders>
              <w:bottom w:val="single" w:sz="18" w:space="0" w:color="auto"/>
            </w:tcBorders>
          </w:tcPr>
          <w:p w14:paraId="35062D02" w14:textId="77777777" w:rsidR="00696BEB" w:rsidRPr="001B4F7A" w:rsidRDefault="00696BEB" w:rsidP="00FB322E">
            <w:pPr>
              <w:rPr>
                <w:rFonts w:ascii="Univers" w:hAnsi="Univers"/>
                <w:b/>
                <w:sz w:val="28"/>
                <w:szCs w:val="28"/>
                <w:lang w:val="es-MX"/>
              </w:rPr>
            </w:pPr>
            <w:bookmarkStart w:id="0" w:name="_GoBack"/>
            <w:bookmarkEnd w:id="0"/>
            <w:r w:rsidRPr="001B4F7A">
              <w:rPr>
                <w:rFonts w:ascii="Univers" w:hAnsi="Univers"/>
                <w:b/>
                <w:sz w:val="28"/>
                <w:szCs w:val="28"/>
                <w:lang w:val="es-MX"/>
              </w:rPr>
              <w:t>NACIONES</w:t>
            </w:r>
          </w:p>
          <w:p w14:paraId="48F96CC2" w14:textId="77777777" w:rsidR="00696BEB" w:rsidRPr="001B4F7A" w:rsidRDefault="00696BEB" w:rsidP="00FB322E">
            <w:pPr>
              <w:rPr>
                <w:rFonts w:ascii="Univers" w:hAnsi="Univers"/>
                <w:b/>
                <w:sz w:val="28"/>
                <w:szCs w:val="28"/>
                <w:lang w:val="es-MX"/>
              </w:rPr>
            </w:pPr>
            <w:r w:rsidRPr="001B4F7A">
              <w:rPr>
                <w:rFonts w:ascii="Univers" w:hAnsi="Univers"/>
                <w:b/>
                <w:sz w:val="28"/>
                <w:szCs w:val="28"/>
                <w:lang w:val="es-MX"/>
              </w:rPr>
              <w:t>UNIDAS</w:t>
            </w:r>
          </w:p>
        </w:tc>
        <w:tc>
          <w:tcPr>
            <w:tcW w:w="4590" w:type="dxa"/>
            <w:tcBorders>
              <w:bottom w:val="single" w:sz="18" w:space="0" w:color="auto"/>
            </w:tcBorders>
          </w:tcPr>
          <w:p w14:paraId="23CE2FCF" w14:textId="77777777" w:rsidR="00696BEB" w:rsidRPr="001B4F7A" w:rsidRDefault="00696BEB" w:rsidP="00FB322E">
            <w:pPr>
              <w:jc w:val="right"/>
              <w:rPr>
                <w:rFonts w:asciiTheme="minorBidi" w:hAnsiTheme="minorBidi" w:cstheme="minorBidi"/>
                <w:sz w:val="52"/>
                <w:szCs w:val="52"/>
                <w:lang w:val="es-MX"/>
              </w:rPr>
            </w:pPr>
            <w:r w:rsidRPr="001B4F7A">
              <w:rPr>
                <w:rFonts w:asciiTheme="minorBidi" w:hAnsiTheme="minorBidi" w:cstheme="minorBidi"/>
                <w:b/>
                <w:sz w:val="72"/>
                <w:lang w:val="es-MX"/>
              </w:rPr>
              <w:t>EP</w:t>
            </w:r>
          </w:p>
        </w:tc>
      </w:tr>
      <w:tr w:rsidR="00696BEB" w:rsidRPr="001B4F7A" w14:paraId="60FA591C" w14:textId="77777777" w:rsidTr="00FB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3665E89" w14:textId="77777777" w:rsidR="00696BEB" w:rsidRPr="001B4F7A" w:rsidRDefault="00696BEB" w:rsidP="00FB322E">
            <w:pPr>
              <w:spacing w:before="120"/>
              <w:rPr>
                <w:lang w:val="es-MX"/>
              </w:rPr>
            </w:pPr>
            <w:r w:rsidRPr="001B4F7A">
              <w:rPr>
                <w:noProof/>
                <w:lang w:val="en-US"/>
              </w:rPr>
              <w:drawing>
                <wp:anchor distT="0" distB="0" distL="114300" distR="114300" simplePos="0" relativeHeight="251659264" behindDoc="0" locked="0" layoutInCell="1" allowOverlap="1" wp14:anchorId="3E84F9C1" wp14:editId="0E6E30EA">
                  <wp:simplePos x="0" y="0"/>
                  <wp:positionH relativeFrom="column">
                    <wp:posOffset>24765</wp:posOffset>
                  </wp:positionH>
                  <wp:positionV relativeFrom="paragraph">
                    <wp:posOffset>932180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1B4F7A">
              <w:rPr>
                <w:noProof/>
                <w:lang w:val="en-US"/>
              </w:rPr>
              <w:drawing>
                <wp:anchor distT="0" distB="0" distL="114300" distR="114300" simplePos="0" relativeHeight="251660288" behindDoc="1" locked="0" layoutInCell="0" allowOverlap="1" wp14:anchorId="345745A5" wp14:editId="13178D1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945A175" w14:textId="77777777" w:rsidR="00696BEB" w:rsidRPr="001B4F7A" w:rsidRDefault="00696BEB" w:rsidP="00FB32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2F4FF0BA" w14:textId="77777777" w:rsidR="00696BEB" w:rsidRPr="001B4F7A" w:rsidRDefault="00696BEB" w:rsidP="00FB32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1B4F7A">
              <w:rPr>
                <w:rFonts w:ascii="Univers" w:hAnsi="Univers"/>
                <w:b/>
                <w:sz w:val="32"/>
                <w:lang w:val="es-MX"/>
              </w:rPr>
              <w:t>Programa de las</w:t>
            </w:r>
          </w:p>
          <w:p w14:paraId="28D2E6A4" w14:textId="77777777" w:rsidR="00696BEB" w:rsidRPr="001B4F7A" w:rsidRDefault="00696BEB" w:rsidP="00FB32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1B4F7A">
              <w:rPr>
                <w:rFonts w:ascii="Univers" w:hAnsi="Univers"/>
                <w:b/>
                <w:sz w:val="32"/>
                <w:lang w:val="es-MX"/>
              </w:rPr>
              <w:t>Naciones Unidas</w:t>
            </w:r>
          </w:p>
          <w:p w14:paraId="3DE6D79A" w14:textId="77777777" w:rsidR="00696BEB" w:rsidRPr="001B4F7A" w:rsidRDefault="00696BEB" w:rsidP="00FB32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1B4F7A">
              <w:rPr>
                <w:rFonts w:ascii="Univers" w:hAnsi="Univers"/>
                <w:b/>
                <w:sz w:val="32"/>
                <w:lang w:val="es-MX"/>
              </w:rPr>
              <w:t>para el Medio Ambiente</w:t>
            </w:r>
          </w:p>
          <w:p w14:paraId="5BEA075C" w14:textId="77777777" w:rsidR="00696BEB" w:rsidRPr="001B4F7A" w:rsidRDefault="00696BEB" w:rsidP="00FB32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3C293B26" w14:textId="77777777" w:rsidR="00696BEB" w:rsidRPr="001B4F7A" w:rsidRDefault="00696BEB" w:rsidP="00FB322E">
            <w:pPr>
              <w:spacing w:before="720"/>
              <w:ind w:left="158"/>
              <w:rPr>
                <w:lang w:val="es-MX"/>
              </w:rPr>
            </w:pPr>
          </w:p>
        </w:tc>
        <w:tc>
          <w:tcPr>
            <w:tcW w:w="4590" w:type="dxa"/>
            <w:tcBorders>
              <w:top w:val="nil"/>
              <w:left w:val="nil"/>
              <w:bottom w:val="single" w:sz="36" w:space="0" w:color="auto"/>
              <w:right w:val="nil"/>
            </w:tcBorders>
          </w:tcPr>
          <w:p w14:paraId="14CEFBC5" w14:textId="77777777" w:rsidR="00696BEB" w:rsidRPr="001B4F7A" w:rsidRDefault="00696BEB" w:rsidP="00FB322E">
            <w:pPr>
              <w:rPr>
                <w:lang w:val="es-MX"/>
              </w:rPr>
            </w:pPr>
          </w:p>
          <w:p w14:paraId="639D7BAC" w14:textId="77777777" w:rsidR="00696BEB" w:rsidRPr="001B4F7A" w:rsidRDefault="00696BEB" w:rsidP="00FB322E">
            <w:pPr>
              <w:rPr>
                <w:lang w:val="es-MX"/>
              </w:rPr>
            </w:pPr>
            <w:r w:rsidRPr="001B4F7A">
              <w:rPr>
                <w:lang w:val="es-MX"/>
              </w:rPr>
              <w:t>Distr.</w:t>
            </w:r>
          </w:p>
          <w:p w14:paraId="2B9E5DC9" w14:textId="77777777" w:rsidR="00696BEB" w:rsidRPr="001B4F7A" w:rsidRDefault="00696BEB" w:rsidP="00FB322E">
            <w:pPr>
              <w:rPr>
                <w:lang w:val="es-MX"/>
              </w:rPr>
            </w:pPr>
            <w:r w:rsidRPr="001B4F7A">
              <w:rPr>
                <w:lang w:val="es-MX"/>
              </w:rPr>
              <w:t>GENERAL</w:t>
            </w:r>
          </w:p>
          <w:p w14:paraId="7580BBDD" w14:textId="77777777" w:rsidR="00696BEB" w:rsidRPr="001B4F7A" w:rsidRDefault="00696BEB" w:rsidP="00FB322E">
            <w:pPr>
              <w:rPr>
                <w:lang w:val="es-MX"/>
              </w:rPr>
            </w:pPr>
          </w:p>
          <w:p w14:paraId="66B3F0F0" w14:textId="50F7E2BA" w:rsidR="00696BEB" w:rsidRPr="001B4F7A" w:rsidRDefault="00696BEB" w:rsidP="00FB322E">
            <w:pPr>
              <w:rPr>
                <w:lang w:val="es-MX"/>
              </w:rPr>
            </w:pPr>
            <w:r w:rsidRPr="001B4F7A">
              <w:rPr>
                <w:lang w:val="es-MX"/>
              </w:rPr>
              <w:fldChar w:fldCharType="begin"/>
            </w:r>
            <w:r w:rsidRPr="001B4F7A">
              <w:rPr>
                <w:lang w:val="es-MX"/>
              </w:rPr>
              <w:instrText xml:space="preserve"> DOCPROPERTY "Document number"  \* MERGEFORMAT </w:instrText>
            </w:r>
            <w:r w:rsidRPr="001B4F7A">
              <w:rPr>
                <w:lang w:val="es-MX"/>
              </w:rPr>
              <w:fldChar w:fldCharType="separate"/>
            </w:r>
            <w:r w:rsidRPr="001B4F7A">
              <w:rPr>
                <w:lang w:val="es-MX"/>
              </w:rPr>
              <w:t>UNEP/OzL.Pro/ExCom/87/</w:t>
            </w:r>
            <w:r w:rsidRPr="001B4F7A">
              <w:rPr>
                <w:lang w:val="es-MX"/>
              </w:rPr>
              <w:fldChar w:fldCharType="end"/>
            </w:r>
            <w:r w:rsidRPr="001B4F7A">
              <w:rPr>
                <w:lang w:val="es-MX"/>
              </w:rPr>
              <w:t>25</w:t>
            </w:r>
          </w:p>
          <w:p w14:paraId="202F1782" w14:textId="4A6D0577" w:rsidR="00696BEB" w:rsidRPr="001B4F7A" w:rsidRDefault="00696BEB" w:rsidP="00FB322E">
            <w:pPr>
              <w:rPr>
                <w:lang w:val="es-MX"/>
              </w:rPr>
            </w:pPr>
            <w:r w:rsidRPr="001B4F7A">
              <w:rPr>
                <w:lang w:val="es-MX"/>
              </w:rPr>
              <w:fldChar w:fldCharType="begin"/>
            </w:r>
            <w:r w:rsidRPr="001B4F7A">
              <w:rPr>
                <w:lang w:val="es-MX"/>
              </w:rPr>
              <w:instrText xml:space="preserve"> DOCPROPERTY "Revision date" \@ "d MMMM YYYY"  \* MERGEFORMAT </w:instrText>
            </w:r>
            <w:r w:rsidRPr="001B4F7A">
              <w:rPr>
                <w:lang w:val="es-MX"/>
              </w:rPr>
              <w:fldChar w:fldCharType="separate"/>
            </w:r>
            <w:r w:rsidRPr="001B4F7A">
              <w:rPr>
                <w:lang w:val="es-MX"/>
              </w:rPr>
              <w:t>15 de junio 2021</w:t>
            </w:r>
            <w:r w:rsidRPr="001B4F7A">
              <w:rPr>
                <w:lang w:val="es-MX"/>
              </w:rPr>
              <w:fldChar w:fldCharType="end"/>
            </w:r>
          </w:p>
          <w:p w14:paraId="49A5946B" w14:textId="77777777" w:rsidR="00696BEB" w:rsidRPr="001B4F7A" w:rsidRDefault="00696BEB" w:rsidP="00FB322E">
            <w:pPr>
              <w:rPr>
                <w:caps/>
                <w:lang w:val="es-MX"/>
              </w:rPr>
            </w:pPr>
          </w:p>
          <w:p w14:paraId="703B9D91" w14:textId="77777777" w:rsidR="00696BEB" w:rsidRPr="001B4F7A" w:rsidRDefault="00696BEB" w:rsidP="00FB322E">
            <w:pPr>
              <w:rPr>
                <w:lang w:val="es-MX"/>
              </w:rPr>
            </w:pPr>
            <w:r w:rsidRPr="001B4F7A">
              <w:rPr>
                <w:lang w:val="es-MX"/>
              </w:rPr>
              <w:t xml:space="preserve">ESPAÑOL </w:t>
            </w:r>
          </w:p>
          <w:p w14:paraId="3A18B591" w14:textId="77777777" w:rsidR="00696BEB" w:rsidRPr="001B4F7A" w:rsidRDefault="00696BEB" w:rsidP="00FB322E">
            <w:pPr>
              <w:rPr>
                <w:lang w:val="es-MX"/>
              </w:rPr>
            </w:pPr>
            <w:r w:rsidRPr="001B4F7A">
              <w:rPr>
                <w:lang w:val="es-MX"/>
              </w:rPr>
              <w:t>ORIGINAL: INGLÉS</w:t>
            </w:r>
          </w:p>
        </w:tc>
      </w:tr>
    </w:tbl>
    <w:p w14:paraId="5A340044" w14:textId="77777777" w:rsidR="00696BEB" w:rsidRPr="001B4F7A" w:rsidRDefault="00696BEB" w:rsidP="00696BEB">
      <w:pPr>
        <w:jc w:val="left"/>
        <w:rPr>
          <w:lang w:val="es-MX"/>
        </w:rPr>
      </w:pPr>
      <w:r w:rsidRPr="001B4F7A">
        <w:rPr>
          <w:lang w:val="es-MX"/>
        </w:rPr>
        <w:t>COMITÉ EJECUTIVO DEL FONDO MULTILATERAL</w:t>
      </w:r>
      <w:r w:rsidRPr="001B4F7A">
        <w:rPr>
          <w:lang w:val="es-MX"/>
        </w:rPr>
        <w:br/>
        <w:t xml:space="preserve">  PARA LA APLICACIÓN DEL</w:t>
      </w:r>
      <w:r w:rsidRPr="001B4F7A">
        <w:rPr>
          <w:lang w:val="es-MX"/>
        </w:rPr>
        <w:br/>
        <w:t xml:space="preserve">  PROTOCOLO DE MONTREAL</w:t>
      </w:r>
    </w:p>
    <w:p w14:paraId="17FB10FD" w14:textId="77777777" w:rsidR="00696BEB" w:rsidRPr="001B4F7A" w:rsidRDefault="00696BEB" w:rsidP="00696BEB">
      <w:pPr>
        <w:jc w:val="left"/>
        <w:rPr>
          <w:lang w:val="es-MX"/>
        </w:rPr>
      </w:pPr>
      <w:r w:rsidRPr="001B4F7A">
        <w:rPr>
          <w:lang w:val="es-MX"/>
        </w:rPr>
        <w:t>Octogésima séptima Reunión</w:t>
      </w:r>
      <w:r w:rsidRPr="001B4F7A">
        <w:rPr>
          <w:lang w:val="es-MX"/>
        </w:rPr>
        <w:br/>
        <w:t>Montreal, 28 de junio – 2 de julio de 2021</w:t>
      </w:r>
      <w:r w:rsidRPr="001B4F7A">
        <w:rPr>
          <w:rStyle w:val="FootnoteReference"/>
          <w:lang w:val="es-MX"/>
        </w:rPr>
        <w:footnoteReference w:id="1"/>
      </w:r>
    </w:p>
    <w:p w14:paraId="15C77D0C" w14:textId="77777777" w:rsidR="00696BEB" w:rsidRPr="001B4F7A" w:rsidRDefault="00696BEB" w:rsidP="00696BEB">
      <w:pPr>
        <w:jc w:val="left"/>
        <w:rPr>
          <w:lang w:val="es-MX"/>
        </w:rPr>
      </w:pPr>
    </w:p>
    <w:p w14:paraId="2115059C" w14:textId="13391EE0" w:rsidR="00696BEB" w:rsidRDefault="00696BEB" w:rsidP="00696BEB">
      <w:pPr>
        <w:pStyle w:val="Heading3"/>
        <w:numPr>
          <w:ilvl w:val="0"/>
          <w:numId w:val="0"/>
        </w:numPr>
        <w:spacing w:after="0"/>
        <w:rPr>
          <w:lang w:val="es-MX"/>
        </w:rPr>
      </w:pPr>
    </w:p>
    <w:p w14:paraId="1162272F" w14:textId="77777777" w:rsidR="003B3FB0" w:rsidRPr="003B3FB0" w:rsidRDefault="003B3FB0" w:rsidP="003B3FB0">
      <w:pPr>
        <w:rPr>
          <w:lang w:val="es-MX"/>
        </w:rPr>
      </w:pPr>
    </w:p>
    <w:p w14:paraId="128C2227" w14:textId="0E7FF888" w:rsidR="004E7F9C" w:rsidRPr="001B4F7A" w:rsidRDefault="003E34E2" w:rsidP="00E671D9">
      <w:pPr>
        <w:pStyle w:val="Title1"/>
        <w:rPr>
          <w:lang w:val="es-MX"/>
        </w:rPr>
      </w:pPr>
      <w:r w:rsidRPr="001B4F7A">
        <w:rPr>
          <w:caps w:val="0"/>
          <w:lang w:val="es-MX"/>
        </w:rPr>
        <w:t>PROPUESTA DE PROYECTO: EGIPTO</w:t>
      </w:r>
    </w:p>
    <w:p w14:paraId="2506FDD9" w14:textId="5530B7F4" w:rsidR="00D76D69" w:rsidRDefault="00D76D69" w:rsidP="00E671D9">
      <w:pPr>
        <w:pStyle w:val="Title1"/>
        <w:rPr>
          <w:lang w:val="es-MX"/>
        </w:rPr>
      </w:pPr>
    </w:p>
    <w:p w14:paraId="490DFA29" w14:textId="69836FF8" w:rsidR="003B3FB0" w:rsidRDefault="003B3FB0" w:rsidP="00E671D9">
      <w:pPr>
        <w:pStyle w:val="Title1"/>
        <w:rPr>
          <w:lang w:val="es-MX"/>
        </w:rPr>
      </w:pPr>
    </w:p>
    <w:p w14:paraId="726B6B89" w14:textId="77777777" w:rsidR="003B3FB0" w:rsidRPr="001B4F7A" w:rsidRDefault="003B3FB0" w:rsidP="00E671D9">
      <w:pPr>
        <w:pStyle w:val="Title1"/>
        <w:rPr>
          <w:lang w:val="es-MX"/>
        </w:rPr>
      </w:pPr>
    </w:p>
    <w:p w14:paraId="184532D8" w14:textId="77777777" w:rsidR="00D76D69" w:rsidRPr="001B4F7A" w:rsidRDefault="00D76D69" w:rsidP="00E671D9">
      <w:pPr>
        <w:ind w:firstLine="720"/>
        <w:rPr>
          <w:lang w:val="es-MX"/>
        </w:rPr>
      </w:pPr>
      <w:r w:rsidRPr="001B4F7A">
        <w:rPr>
          <w:lang w:val="es-MX"/>
        </w:rPr>
        <w:t xml:space="preserve">Este documento consta de las observaciones y recomendaciones de la Secretaría acerca de la siguiente propuesta de proyecto: </w:t>
      </w:r>
    </w:p>
    <w:p w14:paraId="31BC471C" w14:textId="77777777" w:rsidR="00D76D69" w:rsidRPr="001B4F7A" w:rsidRDefault="00D76D69" w:rsidP="00E671D9">
      <w:pPr>
        <w:rPr>
          <w:lang w:val="es-MX"/>
        </w:rPr>
      </w:pPr>
    </w:p>
    <w:p w14:paraId="1F00D152" w14:textId="77777777" w:rsidR="00ED74CF" w:rsidRPr="001B4F7A" w:rsidRDefault="00ED74CF" w:rsidP="00E671D9">
      <w:pPr>
        <w:rPr>
          <w:u w:val="single"/>
          <w:lang w:val="es-MX"/>
        </w:rPr>
      </w:pPr>
      <w:r w:rsidRPr="001B4F7A">
        <w:rPr>
          <w:u w:val="single"/>
          <w:lang w:val="es-MX"/>
        </w:rPr>
        <w:t>Refrigeración</w:t>
      </w:r>
    </w:p>
    <w:p w14:paraId="7D6AE996" w14:textId="77777777" w:rsidR="00ED74CF" w:rsidRPr="001B4F7A" w:rsidRDefault="00ED74CF" w:rsidP="00E671D9">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ED74CF" w:rsidRPr="001B4F7A" w14:paraId="05FDC3C9" w14:textId="77777777" w:rsidTr="008651FB">
        <w:tc>
          <w:tcPr>
            <w:tcW w:w="6969" w:type="dxa"/>
          </w:tcPr>
          <w:p w14:paraId="0990258B" w14:textId="77777777" w:rsidR="00ED74CF" w:rsidRPr="001B4F7A" w:rsidRDefault="00332DFE" w:rsidP="00E671D9">
            <w:pPr>
              <w:pStyle w:val="ListParagraph"/>
              <w:numPr>
                <w:ilvl w:val="0"/>
                <w:numId w:val="21"/>
              </w:numPr>
              <w:ind w:hanging="828"/>
              <w:rPr>
                <w:lang w:val="es-MX"/>
              </w:rPr>
            </w:pPr>
            <w:r w:rsidRPr="001B4F7A">
              <w:rPr>
                <w:color w:val="000000"/>
                <w:lang w:val="es-MX"/>
              </w:rPr>
              <w:t>Conversión de planta de fabricación de compresores de refrigeración de compresores que funcionan con HFC</w:t>
            </w:r>
            <w:r w:rsidRPr="001B4F7A">
              <w:rPr>
                <w:color w:val="000000"/>
                <w:lang w:val="es-MX"/>
              </w:rPr>
              <w:noBreakHyphen/>
              <w:t>134a a compresores que funcionan con R</w:t>
            </w:r>
            <w:r w:rsidRPr="001B4F7A">
              <w:rPr>
                <w:color w:val="000000"/>
                <w:lang w:val="es-MX"/>
              </w:rPr>
              <w:noBreakHyphen/>
              <w:t>600a en Misr Compressor Manufacturing Co. (MCMC)</w:t>
            </w:r>
          </w:p>
          <w:p w14:paraId="79FCF752" w14:textId="77777777" w:rsidR="00ED74CF" w:rsidRPr="001B4F7A" w:rsidRDefault="00ED74CF" w:rsidP="00E671D9">
            <w:pPr>
              <w:ind w:left="720" w:hanging="720"/>
              <w:rPr>
                <w:lang w:val="es-MX"/>
              </w:rPr>
            </w:pPr>
          </w:p>
        </w:tc>
        <w:tc>
          <w:tcPr>
            <w:tcW w:w="2391" w:type="dxa"/>
          </w:tcPr>
          <w:p w14:paraId="78A8FCF9" w14:textId="77777777" w:rsidR="00ED74CF" w:rsidRPr="001B4F7A" w:rsidRDefault="00ED74CF" w:rsidP="00E671D9">
            <w:pPr>
              <w:jc w:val="right"/>
              <w:rPr>
                <w:lang w:val="es-MX"/>
              </w:rPr>
            </w:pPr>
            <w:r w:rsidRPr="001B4F7A">
              <w:rPr>
                <w:lang w:val="es-MX"/>
              </w:rPr>
              <w:t>ONUDI/PNUMA</w:t>
            </w:r>
          </w:p>
        </w:tc>
      </w:tr>
    </w:tbl>
    <w:p w14:paraId="734CBC13" w14:textId="77777777" w:rsidR="008C5738" w:rsidRPr="001B4F7A" w:rsidRDefault="004E7F9C" w:rsidP="00E671D9">
      <w:pPr>
        <w:pStyle w:val="StyleHeader4Para4Left0Firstline0"/>
        <w:numPr>
          <w:ilvl w:val="0"/>
          <w:numId w:val="0"/>
        </w:numPr>
        <w:tabs>
          <w:tab w:val="clear" w:pos="2880"/>
          <w:tab w:val="clear" w:pos="5760"/>
        </w:tabs>
        <w:jc w:val="left"/>
        <w:rPr>
          <w:b/>
          <w:sz w:val="22"/>
          <w:lang w:val="es-MX"/>
        </w:rPr>
      </w:pPr>
      <w:r w:rsidRPr="001B4F7A">
        <w:rPr>
          <w:lang w:val="es-MX"/>
        </w:rPr>
        <w:br w:type="page"/>
      </w:r>
    </w:p>
    <w:p w14:paraId="61D81EBC" w14:textId="77777777" w:rsidR="00D07AF4" w:rsidRPr="001B4F7A" w:rsidRDefault="00ED74CF" w:rsidP="00794B6F">
      <w:pPr>
        <w:jc w:val="center"/>
        <w:rPr>
          <w:b/>
          <w:lang w:val="es-MX"/>
        </w:rPr>
      </w:pPr>
      <w:r w:rsidRPr="001B4F7A">
        <w:rPr>
          <w:b/>
          <w:lang w:val="es-MX"/>
        </w:rPr>
        <w:lastRenderedPageBreak/>
        <w:t>HOJA DE EVALUACIÓN DE PROYECTOS - PROYECTO NO PLURIANUAL</w:t>
      </w:r>
    </w:p>
    <w:p w14:paraId="3B1FF9A0" w14:textId="77777777" w:rsidR="00FC2DDE" w:rsidRPr="001B4F7A" w:rsidRDefault="00D07AF4" w:rsidP="00137AB4">
      <w:pPr>
        <w:spacing w:after="120"/>
        <w:jc w:val="center"/>
        <w:rPr>
          <w:b/>
          <w:lang w:val="es-MX"/>
        </w:rPr>
      </w:pPr>
      <w:r w:rsidRPr="001B4F7A">
        <w:rPr>
          <w:b/>
          <w:lang w:val="es-MX"/>
        </w:rPr>
        <w:t>EGIPTO</w:t>
      </w:r>
    </w:p>
    <w:p w14:paraId="54B8351B" w14:textId="77777777" w:rsidR="00ED74CF" w:rsidRPr="001B4F7A" w:rsidRDefault="00FC2DDE" w:rsidP="00E671D9">
      <w:pPr>
        <w:tabs>
          <w:tab w:val="left" w:pos="5580"/>
        </w:tabs>
        <w:ind w:right="-180"/>
        <w:rPr>
          <w:b/>
          <w:sz w:val="20"/>
          <w:szCs w:val="20"/>
          <w:lang w:val="es-MX"/>
        </w:rPr>
      </w:pPr>
      <w:r w:rsidRPr="001B4F7A">
        <w:rPr>
          <w:b/>
          <w:caps/>
          <w:sz w:val="20"/>
          <w:szCs w:val="20"/>
          <w:lang w:val="es-MX"/>
        </w:rPr>
        <w:t>TÍTULO DEL PROYECTO ORGANISMO BILATERAL/DE EJECUCIÓN</w:t>
      </w:r>
    </w:p>
    <w:tbl>
      <w:tblPr>
        <w:tblStyle w:val="TableGrid10"/>
        <w:tblpPr w:leftFromText="180" w:rightFromText="180" w:vertAnchor="text" w:horzAnchor="margin" w:tblpXSpec="center" w:tblpY="62"/>
        <w:tblW w:w="5000" w:type="pct"/>
        <w:tblBorders>
          <w:insideH w:val="none" w:sz="0" w:space="0" w:color="auto"/>
          <w:insideV w:val="none" w:sz="0" w:space="0" w:color="auto"/>
        </w:tblBorders>
        <w:tblCellMar>
          <w:left w:w="115" w:type="dxa"/>
          <w:right w:w="115" w:type="dxa"/>
        </w:tblCellMar>
        <w:tblLook w:val="01E0" w:firstRow="1" w:lastRow="1" w:firstColumn="1" w:lastColumn="1" w:noHBand="0" w:noVBand="0"/>
      </w:tblPr>
      <w:tblGrid>
        <w:gridCol w:w="6745"/>
        <w:gridCol w:w="2605"/>
      </w:tblGrid>
      <w:tr w:rsidR="006B0773" w:rsidRPr="003E34E2" w14:paraId="445D9AB1" w14:textId="77777777" w:rsidTr="00BC5E3C">
        <w:trPr>
          <w:trHeight w:val="285"/>
        </w:trPr>
        <w:tc>
          <w:tcPr>
            <w:tcW w:w="3607" w:type="pct"/>
            <w:tcBorders>
              <w:top w:val="single" w:sz="4" w:space="0" w:color="auto"/>
              <w:bottom w:val="single" w:sz="4" w:space="0" w:color="auto"/>
              <w:right w:val="single" w:sz="4" w:space="0" w:color="auto"/>
            </w:tcBorders>
          </w:tcPr>
          <w:p w14:paraId="39DA3FAD" w14:textId="77777777" w:rsidR="006B0773" w:rsidRPr="003E34E2" w:rsidRDefault="00332DFE" w:rsidP="00E671D9">
            <w:pPr>
              <w:pStyle w:val="Heading2"/>
              <w:numPr>
                <w:ilvl w:val="0"/>
                <w:numId w:val="0"/>
              </w:numPr>
              <w:spacing w:after="0"/>
              <w:ind w:left="-72"/>
              <w:jc w:val="left"/>
              <w:outlineLvl w:val="1"/>
              <w:rPr>
                <w:sz w:val="18"/>
                <w:szCs w:val="18"/>
                <w:lang w:val="es-MX"/>
              </w:rPr>
            </w:pPr>
            <w:r w:rsidRPr="003E34E2">
              <w:rPr>
                <w:sz w:val="18"/>
                <w:szCs w:val="18"/>
                <w:lang w:val="es-MX"/>
              </w:rPr>
              <w:t>Conversión de planta de fabricación de compresores de refrigeración de compresores que funcionan con HFC</w:t>
            </w:r>
            <w:r w:rsidRPr="003E34E2">
              <w:rPr>
                <w:sz w:val="18"/>
                <w:szCs w:val="18"/>
                <w:lang w:val="es-MX"/>
              </w:rPr>
              <w:noBreakHyphen/>
              <w:t>134a a compresores que funcionan con R</w:t>
            </w:r>
            <w:r w:rsidRPr="003E34E2">
              <w:rPr>
                <w:sz w:val="18"/>
                <w:szCs w:val="18"/>
                <w:lang w:val="es-MX"/>
              </w:rPr>
              <w:noBreakHyphen/>
              <w:t>600a en Misr Compressor Manufacturing Co. (MCMC)</w:t>
            </w:r>
          </w:p>
        </w:tc>
        <w:tc>
          <w:tcPr>
            <w:tcW w:w="1393" w:type="pct"/>
            <w:tcBorders>
              <w:top w:val="single" w:sz="4" w:space="0" w:color="auto"/>
              <w:left w:val="single" w:sz="4" w:space="0" w:color="auto"/>
              <w:bottom w:val="single" w:sz="4" w:space="0" w:color="auto"/>
            </w:tcBorders>
            <w:vAlign w:val="center"/>
          </w:tcPr>
          <w:p w14:paraId="04C994C9" w14:textId="77777777" w:rsidR="006B0773" w:rsidRPr="003E34E2" w:rsidRDefault="006B0773" w:rsidP="00E671D9">
            <w:pPr>
              <w:jc w:val="right"/>
              <w:rPr>
                <w:sz w:val="18"/>
                <w:szCs w:val="18"/>
                <w:lang w:val="es-MX"/>
              </w:rPr>
            </w:pPr>
            <w:r w:rsidRPr="003E34E2">
              <w:rPr>
                <w:sz w:val="18"/>
                <w:szCs w:val="18"/>
                <w:lang w:val="es-MX"/>
              </w:rPr>
              <w:t>ONUDI/PNUMA</w:t>
            </w:r>
          </w:p>
        </w:tc>
      </w:tr>
    </w:tbl>
    <w:p w14:paraId="56045091" w14:textId="77777777" w:rsidR="00ED74CF" w:rsidRPr="003E34E2" w:rsidRDefault="00ED74CF" w:rsidP="00E671D9">
      <w:pPr>
        <w:rPr>
          <w:sz w:val="18"/>
          <w:szCs w:val="18"/>
          <w:lang w:val="es-MX"/>
        </w:rPr>
      </w:pPr>
    </w:p>
    <w:tbl>
      <w:tblPr>
        <w:tblStyle w:val="TableGrid10"/>
        <w:tblW w:w="5000" w:type="pct"/>
        <w:jc w:val="center"/>
        <w:tblCellMar>
          <w:left w:w="115" w:type="dxa"/>
          <w:right w:w="115" w:type="dxa"/>
        </w:tblCellMar>
        <w:tblLook w:val="01E0" w:firstRow="1" w:lastRow="1" w:firstColumn="1" w:lastColumn="1" w:noHBand="0" w:noVBand="0"/>
      </w:tblPr>
      <w:tblGrid>
        <w:gridCol w:w="4855"/>
        <w:gridCol w:w="4495"/>
      </w:tblGrid>
      <w:tr w:rsidR="009F683C" w:rsidRPr="003E34E2" w14:paraId="02D8620D" w14:textId="77777777" w:rsidTr="008651FB">
        <w:trPr>
          <w:trHeight w:val="179"/>
          <w:jc w:val="center"/>
        </w:trPr>
        <w:tc>
          <w:tcPr>
            <w:tcW w:w="2596" w:type="pct"/>
          </w:tcPr>
          <w:p w14:paraId="7E93A376" w14:textId="77777777" w:rsidR="009F683C" w:rsidRPr="003E34E2" w:rsidRDefault="009F683C" w:rsidP="00E671D9">
            <w:pPr>
              <w:rPr>
                <w:sz w:val="18"/>
                <w:szCs w:val="18"/>
                <w:lang w:val="es-MX"/>
              </w:rPr>
            </w:pPr>
            <w:r w:rsidRPr="003E34E2">
              <w:rPr>
                <w:b/>
                <w:caps/>
                <w:sz w:val="18"/>
                <w:szCs w:val="18"/>
                <w:lang w:val="es-MX"/>
              </w:rPr>
              <w:t>Organismo nacional de coordinación</w:t>
            </w:r>
          </w:p>
        </w:tc>
        <w:tc>
          <w:tcPr>
            <w:tcW w:w="2404" w:type="pct"/>
          </w:tcPr>
          <w:p w14:paraId="00F2EF71" w14:textId="77777777" w:rsidR="009F683C" w:rsidRPr="003E34E2" w:rsidRDefault="009F683C" w:rsidP="00E671D9">
            <w:pPr>
              <w:jc w:val="right"/>
              <w:rPr>
                <w:sz w:val="18"/>
                <w:szCs w:val="18"/>
                <w:lang w:val="es-MX"/>
              </w:rPr>
            </w:pPr>
            <w:r w:rsidRPr="003E34E2">
              <w:rPr>
                <w:sz w:val="18"/>
                <w:szCs w:val="18"/>
                <w:lang w:val="es-MX"/>
              </w:rPr>
              <w:t>Agencia Egipcia de Asuntos del Medio Ambiente</w:t>
            </w:r>
          </w:p>
        </w:tc>
      </w:tr>
    </w:tbl>
    <w:p w14:paraId="33C2FECC" w14:textId="77777777" w:rsidR="009F683C" w:rsidRPr="003E34E2" w:rsidRDefault="009F683C" w:rsidP="00137AB4">
      <w:pPr>
        <w:spacing w:before="120"/>
        <w:rPr>
          <w:b/>
          <w:caps/>
          <w:sz w:val="18"/>
          <w:szCs w:val="18"/>
          <w:lang w:val="es-MX"/>
        </w:rPr>
      </w:pPr>
      <w:r w:rsidRPr="003E34E2">
        <w:rPr>
          <w:b/>
          <w:caps/>
          <w:sz w:val="18"/>
          <w:szCs w:val="18"/>
          <w:lang w:val="es-MX"/>
        </w:rPr>
        <w:t xml:space="preserve">Datos más recientes sobre el consumo de HFC objeto del proyecto </w:t>
      </w:r>
    </w:p>
    <w:p w14:paraId="5AB5AFB3" w14:textId="77777777" w:rsidR="009F683C" w:rsidRPr="003E34E2" w:rsidRDefault="009F683C" w:rsidP="00E671D9">
      <w:pPr>
        <w:rPr>
          <w:b/>
          <w:caps/>
          <w:sz w:val="18"/>
          <w:szCs w:val="18"/>
          <w:lang w:val="es-MX"/>
        </w:rPr>
      </w:pPr>
      <w:r w:rsidRPr="003E34E2">
        <w:rPr>
          <w:b/>
          <w:caps/>
          <w:sz w:val="18"/>
          <w:szCs w:val="18"/>
          <w:lang w:val="es-MX"/>
        </w:rPr>
        <w:t>A: Datos del Artículo 7 (toneladas (t))</w:t>
      </w:r>
    </w:p>
    <w:tbl>
      <w:tblPr>
        <w:tblStyle w:val="TableGrid10"/>
        <w:tblW w:w="5000" w:type="pct"/>
        <w:tblLook w:val="01E0" w:firstRow="1" w:lastRow="1" w:firstColumn="1" w:lastColumn="1" w:noHBand="0" w:noVBand="0"/>
      </w:tblPr>
      <w:tblGrid>
        <w:gridCol w:w="6745"/>
        <w:gridCol w:w="1302"/>
        <w:gridCol w:w="1303"/>
      </w:tblGrid>
      <w:tr w:rsidR="009F683C" w:rsidRPr="003E34E2" w14:paraId="024A1E05" w14:textId="77777777" w:rsidTr="008651FB">
        <w:trPr>
          <w:trHeight w:val="134"/>
        </w:trPr>
        <w:tc>
          <w:tcPr>
            <w:tcW w:w="3607" w:type="pct"/>
            <w:vMerge w:val="restart"/>
            <w:tcBorders>
              <w:right w:val="single" w:sz="4" w:space="0" w:color="auto"/>
            </w:tcBorders>
            <w:vAlign w:val="center"/>
          </w:tcPr>
          <w:p w14:paraId="07224CD5" w14:textId="77777777" w:rsidR="009F683C" w:rsidRPr="003E34E2" w:rsidRDefault="009F683C" w:rsidP="00E671D9">
            <w:pPr>
              <w:jc w:val="left"/>
              <w:rPr>
                <w:sz w:val="18"/>
                <w:szCs w:val="18"/>
                <w:lang w:val="es-MX"/>
              </w:rPr>
            </w:pPr>
            <w:r w:rsidRPr="003E34E2">
              <w:rPr>
                <w:sz w:val="18"/>
                <w:szCs w:val="18"/>
                <w:lang w:val="es-MX"/>
              </w:rPr>
              <w:t>HFC</w:t>
            </w:r>
          </w:p>
        </w:tc>
        <w:tc>
          <w:tcPr>
            <w:tcW w:w="696" w:type="pct"/>
            <w:tcBorders>
              <w:left w:val="single" w:sz="4" w:space="0" w:color="auto"/>
              <w:right w:val="single" w:sz="4" w:space="0" w:color="auto"/>
            </w:tcBorders>
            <w:shd w:val="clear" w:color="auto" w:fill="auto"/>
          </w:tcPr>
          <w:p w14:paraId="49EA42F2" w14:textId="77777777" w:rsidR="009F683C" w:rsidRPr="003E34E2" w:rsidRDefault="009F683C" w:rsidP="00E671D9">
            <w:pPr>
              <w:jc w:val="left"/>
              <w:rPr>
                <w:sz w:val="18"/>
                <w:szCs w:val="18"/>
                <w:lang w:val="es-MX"/>
              </w:rPr>
            </w:pPr>
            <w:r w:rsidRPr="003E34E2">
              <w:rPr>
                <w:sz w:val="18"/>
                <w:szCs w:val="18"/>
                <w:lang w:val="es-MX"/>
              </w:rPr>
              <w:t>t</w:t>
            </w:r>
          </w:p>
        </w:tc>
        <w:tc>
          <w:tcPr>
            <w:tcW w:w="697" w:type="pct"/>
            <w:tcBorders>
              <w:left w:val="single" w:sz="4" w:space="0" w:color="auto"/>
              <w:right w:val="single" w:sz="4" w:space="0" w:color="auto"/>
            </w:tcBorders>
          </w:tcPr>
          <w:p w14:paraId="3B172744" w14:textId="77777777" w:rsidR="009F683C" w:rsidRPr="003E34E2" w:rsidRDefault="009F683C" w:rsidP="00E671D9">
            <w:pPr>
              <w:jc w:val="right"/>
              <w:rPr>
                <w:sz w:val="18"/>
                <w:szCs w:val="18"/>
                <w:lang w:val="es-MX"/>
              </w:rPr>
            </w:pPr>
            <w:r w:rsidRPr="003E34E2">
              <w:rPr>
                <w:sz w:val="18"/>
                <w:szCs w:val="18"/>
                <w:lang w:val="es-MX"/>
              </w:rPr>
              <w:t>n/a</w:t>
            </w:r>
          </w:p>
        </w:tc>
      </w:tr>
      <w:tr w:rsidR="009F683C" w:rsidRPr="003E34E2" w14:paraId="3B7F409C" w14:textId="77777777" w:rsidTr="008651FB">
        <w:trPr>
          <w:trHeight w:val="269"/>
        </w:trPr>
        <w:tc>
          <w:tcPr>
            <w:tcW w:w="3607" w:type="pct"/>
            <w:vMerge/>
            <w:tcBorders>
              <w:right w:val="single" w:sz="4" w:space="0" w:color="auto"/>
            </w:tcBorders>
          </w:tcPr>
          <w:p w14:paraId="706E4FC6" w14:textId="77777777" w:rsidR="009F683C" w:rsidRPr="003E34E2" w:rsidRDefault="009F683C" w:rsidP="00E671D9">
            <w:pPr>
              <w:rPr>
                <w:sz w:val="18"/>
                <w:szCs w:val="18"/>
                <w:lang w:val="es-MX"/>
              </w:rPr>
            </w:pPr>
          </w:p>
        </w:tc>
        <w:tc>
          <w:tcPr>
            <w:tcW w:w="696" w:type="pct"/>
            <w:tcBorders>
              <w:left w:val="single" w:sz="4" w:space="0" w:color="auto"/>
              <w:right w:val="single" w:sz="4" w:space="0" w:color="auto"/>
            </w:tcBorders>
            <w:shd w:val="clear" w:color="auto" w:fill="auto"/>
          </w:tcPr>
          <w:p w14:paraId="52F75458" w14:textId="77777777" w:rsidR="009F683C" w:rsidRPr="003E34E2" w:rsidRDefault="009F683C" w:rsidP="00E671D9">
            <w:pPr>
              <w:jc w:val="left"/>
              <w:rPr>
                <w:sz w:val="18"/>
                <w:szCs w:val="18"/>
                <w:lang w:val="es-MX"/>
              </w:rPr>
            </w:pPr>
            <w:r w:rsidRPr="003E34E2">
              <w:rPr>
                <w:sz w:val="18"/>
                <w:szCs w:val="18"/>
                <w:lang w:val="es-MX"/>
              </w:rPr>
              <w:t>t de eq. de CO</w:t>
            </w:r>
            <w:r w:rsidRPr="003E34E2">
              <w:rPr>
                <w:sz w:val="18"/>
                <w:szCs w:val="18"/>
                <w:vertAlign w:val="subscript"/>
                <w:lang w:val="es-MX"/>
              </w:rPr>
              <w:t>2</w:t>
            </w:r>
          </w:p>
        </w:tc>
        <w:tc>
          <w:tcPr>
            <w:tcW w:w="697" w:type="pct"/>
            <w:tcBorders>
              <w:left w:val="single" w:sz="4" w:space="0" w:color="auto"/>
              <w:right w:val="single" w:sz="4" w:space="0" w:color="auto"/>
            </w:tcBorders>
          </w:tcPr>
          <w:p w14:paraId="756B96A5" w14:textId="77777777" w:rsidR="009F683C" w:rsidRPr="003E34E2" w:rsidRDefault="009F683C" w:rsidP="00E671D9">
            <w:pPr>
              <w:jc w:val="right"/>
              <w:rPr>
                <w:sz w:val="18"/>
                <w:szCs w:val="18"/>
                <w:lang w:val="es-MX"/>
              </w:rPr>
            </w:pPr>
            <w:r w:rsidRPr="003E34E2">
              <w:rPr>
                <w:sz w:val="18"/>
                <w:szCs w:val="18"/>
                <w:lang w:val="es-MX"/>
              </w:rPr>
              <w:t>n/a</w:t>
            </w:r>
          </w:p>
        </w:tc>
      </w:tr>
    </w:tbl>
    <w:p w14:paraId="42DAB092" w14:textId="77777777" w:rsidR="009F683C" w:rsidRPr="003E34E2" w:rsidRDefault="009F683C" w:rsidP="00137AB4">
      <w:pPr>
        <w:spacing w:before="120"/>
        <w:rPr>
          <w:b/>
          <w:caps/>
          <w:sz w:val="18"/>
          <w:szCs w:val="18"/>
          <w:lang w:val="es-MX"/>
        </w:rPr>
      </w:pPr>
      <w:r w:rsidRPr="003E34E2">
        <w:rPr>
          <w:b/>
          <w:sz w:val="18"/>
          <w:szCs w:val="18"/>
          <w:lang w:val="es-MX"/>
        </w:rPr>
        <w:t xml:space="preserve">B: DATOS SECTORIALES DEL PROGRAMA DE PAÍS </w:t>
      </w:r>
      <w:r w:rsidRPr="003E34E2">
        <w:rPr>
          <w:b/>
          <w:caps/>
          <w:sz w:val="18"/>
          <w:szCs w:val="18"/>
          <w:lang w:val="es-MX"/>
        </w:rPr>
        <w:t>(T)</w:t>
      </w:r>
    </w:p>
    <w:tbl>
      <w:tblPr>
        <w:tblStyle w:val="TableGrid10"/>
        <w:tblW w:w="5000" w:type="pct"/>
        <w:tblLook w:val="01E0" w:firstRow="1" w:lastRow="1" w:firstColumn="1" w:lastColumn="1" w:noHBand="0" w:noVBand="0"/>
      </w:tblPr>
      <w:tblGrid>
        <w:gridCol w:w="6745"/>
        <w:gridCol w:w="1302"/>
        <w:gridCol w:w="1303"/>
      </w:tblGrid>
      <w:tr w:rsidR="00332DFE" w:rsidRPr="003E34E2" w14:paraId="543F6550" w14:textId="77777777" w:rsidTr="008651FB">
        <w:trPr>
          <w:trHeight w:val="262"/>
        </w:trPr>
        <w:tc>
          <w:tcPr>
            <w:tcW w:w="3607" w:type="pct"/>
            <w:vMerge w:val="restart"/>
            <w:tcBorders>
              <w:right w:val="single" w:sz="4" w:space="0" w:color="auto"/>
            </w:tcBorders>
            <w:vAlign w:val="center"/>
          </w:tcPr>
          <w:p w14:paraId="5AB4A33C" w14:textId="77777777" w:rsidR="00332DFE" w:rsidRPr="003E34E2" w:rsidRDefault="00332DFE" w:rsidP="00E671D9">
            <w:pPr>
              <w:jc w:val="left"/>
              <w:rPr>
                <w:sz w:val="18"/>
                <w:szCs w:val="18"/>
                <w:lang w:val="es-MX"/>
              </w:rPr>
            </w:pPr>
            <w:r w:rsidRPr="003E34E2">
              <w:rPr>
                <w:sz w:val="18"/>
                <w:szCs w:val="18"/>
                <w:lang w:val="es-MX"/>
              </w:rPr>
              <w:t>HFC</w:t>
            </w:r>
          </w:p>
        </w:tc>
        <w:tc>
          <w:tcPr>
            <w:tcW w:w="696" w:type="pct"/>
            <w:tcBorders>
              <w:left w:val="single" w:sz="4" w:space="0" w:color="auto"/>
              <w:right w:val="single" w:sz="4" w:space="0" w:color="auto"/>
            </w:tcBorders>
            <w:shd w:val="clear" w:color="auto" w:fill="auto"/>
          </w:tcPr>
          <w:p w14:paraId="5EE7189A" w14:textId="77777777" w:rsidR="00332DFE" w:rsidRPr="003E34E2" w:rsidRDefault="00332DFE" w:rsidP="00E671D9">
            <w:pPr>
              <w:jc w:val="left"/>
              <w:rPr>
                <w:sz w:val="18"/>
                <w:szCs w:val="18"/>
                <w:lang w:val="es-MX"/>
              </w:rPr>
            </w:pPr>
            <w:r w:rsidRPr="003E34E2">
              <w:rPr>
                <w:sz w:val="18"/>
                <w:szCs w:val="18"/>
                <w:lang w:val="es-MX"/>
              </w:rPr>
              <w:t>t</w:t>
            </w:r>
          </w:p>
        </w:tc>
        <w:tc>
          <w:tcPr>
            <w:tcW w:w="697" w:type="pct"/>
            <w:tcBorders>
              <w:left w:val="single" w:sz="4" w:space="0" w:color="auto"/>
              <w:right w:val="single" w:sz="4" w:space="0" w:color="auto"/>
            </w:tcBorders>
          </w:tcPr>
          <w:p w14:paraId="62A7A3AF" w14:textId="77777777" w:rsidR="00332DFE" w:rsidRPr="003E34E2" w:rsidRDefault="00332DFE" w:rsidP="00E671D9">
            <w:pPr>
              <w:jc w:val="right"/>
              <w:rPr>
                <w:sz w:val="18"/>
                <w:szCs w:val="18"/>
                <w:lang w:val="es-MX"/>
              </w:rPr>
            </w:pPr>
            <w:r w:rsidRPr="003E34E2">
              <w:rPr>
                <w:sz w:val="18"/>
                <w:szCs w:val="18"/>
                <w:lang w:val="es-MX"/>
              </w:rPr>
              <w:t>n/a</w:t>
            </w:r>
          </w:p>
        </w:tc>
      </w:tr>
      <w:tr w:rsidR="00332DFE" w:rsidRPr="003E34E2" w14:paraId="1CBEBAC9" w14:textId="77777777" w:rsidTr="008651FB">
        <w:trPr>
          <w:trHeight w:val="275"/>
        </w:trPr>
        <w:tc>
          <w:tcPr>
            <w:tcW w:w="3607" w:type="pct"/>
            <w:vMerge/>
            <w:tcBorders>
              <w:right w:val="single" w:sz="4" w:space="0" w:color="auto"/>
            </w:tcBorders>
          </w:tcPr>
          <w:p w14:paraId="1F1E87C1" w14:textId="77777777" w:rsidR="00332DFE" w:rsidRPr="003E34E2" w:rsidRDefault="00332DFE" w:rsidP="00E671D9">
            <w:pPr>
              <w:rPr>
                <w:sz w:val="18"/>
                <w:szCs w:val="18"/>
                <w:lang w:val="es-MX"/>
              </w:rPr>
            </w:pPr>
          </w:p>
        </w:tc>
        <w:tc>
          <w:tcPr>
            <w:tcW w:w="696" w:type="pct"/>
            <w:tcBorders>
              <w:left w:val="single" w:sz="4" w:space="0" w:color="auto"/>
              <w:right w:val="single" w:sz="4" w:space="0" w:color="auto"/>
            </w:tcBorders>
            <w:shd w:val="clear" w:color="auto" w:fill="auto"/>
          </w:tcPr>
          <w:p w14:paraId="714ABAD9" w14:textId="77777777" w:rsidR="00332DFE" w:rsidRPr="003E34E2" w:rsidRDefault="00332DFE" w:rsidP="00E671D9">
            <w:pPr>
              <w:jc w:val="left"/>
              <w:rPr>
                <w:sz w:val="18"/>
                <w:szCs w:val="18"/>
                <w:lang w:val="es-MX"/>
              </w:rPr>
            </w:pPr>
            <w:r w:rsidRPr="003E34E2">
              <w:rPr>
                <w:sz w:val="18"/>
                <w:szCs w:val="18"/>
                <w:lang w:val="es-MX"/>
              </w:rPr>
              <w:t>t de eq. de CO</w:t>
            </w:r>
            <w:r w:rsidRPr="003E34E2">
              <w:rPr>
                <w:sz w:val="18"/>
                <w:szCs w:val="18"/>
                <w:vertAlign w:val="subscript"/>
                <w:lang w:val="es-MX"/>
              </w:rPr>
              <w:t>2</w:t>
            </w:r>
          </w:p>
        </w:tc>
        <w:tc>
          <w:tcPr>
            <w:tcW w:w="697" w:type="pct"/>
            <w:tcBorders>
              <w:left w:val="single" w:sz="4" w:space="0" w:color="auto"/>
              <w:right w:val="single" w:sz="4" w:space="0" w:color="auto"/>
            </w:tcBorders>
          </w:tcPr>
          <w:p w14:paraId="5AEEF876" w14:textId="77777777" w:rsidR="00332DFE" w:rsidRPr="003E34E2" w:rsidRDefault="00332DFE" w:rsidP="00E671D9">
            <w:pPr>
              <w:jc w:val="right"/>
              <w:rPr>
                <w:sz w:val="18"/>
                <w:szCs w:val="18"/>
                <w:lang w:val="es-MX"/>
              </w:rPr>
            </w:pPr>
            <w:r w:rsidRPr="003E34E2">
              <w:rPr>
                <w:sz w:val="18"/>
                <w:szCs w:val="18"/>
                <w:lang w:val="es-MX"/>
              </w:rPr>
              <w:t>n/a</w:t>
            </w:r>
          </w:p>
        </w:tc>
      </w:tr>
    </w:tbl>
    <w:p w14:paraId="5C10646B" w14:textId="77777777" w:rsidR="009F683C" w:rsidRPr="003E34E2" w:rsidRDefault="009F683C" w:rsidP="00E671D9">
      <w:pPr>
        <w:rPr>
          <w:sz w:val="18"/>
          <w:szCs w:val="18"/>
          <w:lang w:val="es-MX"/>
        </w:rPr>
      </w:pPr>
    </w:p>
    <w:tbl>
      <w:tblPr>
        <w:tblStyle w:val="TableGrid10"/>
        <w:tblW w:w="5001" w:type="pct"/>
        <w:tblLook w:val="01E0" w:firstRow="1" w:lastRow="1" w:firstColumn="1" w:lastColumn="1" w:noHBand="0" w:noVBand="0"/>
      </w:tblPr>
      <w:tblGrid>
        <w:gridCol w:w="6744"/>
        <w:gridCol w:w="1304"/>
        <w:gridCol w:w="1304"/>
      </w:tblGrid>
      <w:tr w:rsidR="009F683C" w:rsidRPr="003E34E2" w14:paraId="12E49C04" w14:textId="77777777" w:rsidTr="008651FB">
        <w:trPr>
          <w:trHeight w:val="262"/>
        </w:trPr>
        <w:tc>
          <w:tcPr>
            <w:tcW w:w="3606" w:type="pct"/>
            <w:vMerge w:val="restart"/>
            <w:tcBorders>
              <w:right w:val="single" w:sz="4" w:space="0" w:color="auto"/>
            </w:tcBorders>
            <w:vAlign w:val="center"/>
          </w:tcPr>
          <w:p w14:paraId="7BE94DEF" w14:textId="77777777" w:rsidR="009F683C" w:rsidRPr="003E34E2" w:rsidRDefault="009F683C" w:rsidP="00E671D9">
            <w:pPr>
              <w:jc w:val="left"/>
              <w:rPr>
                <w:sz w:val="18"/>
                <w:szCs w:val="18"/>
                <w:lang w:val="es-MX"/>
              </w:rPr>
            </w:pPr>
            <w:r w:rsidRPr="003E34E2">
              <w:rPr>
                <w:b/>
                <w:sz w:val="18"/>
                <w:szCs w:val="18"/>
                <w:lang w:val="es-MX"/>
              </w:rPr>
              <w:t xml:space="preserve">Consumo de HFC restante admisible para la financiación </w:t>
            </w:r>
          </w:p>
        </w:tc>
        <w:tc>
          <w:tcPr>
            <w:tcW w:w="697" w:type="pct"/>
            <w:tcBorders>
              <w:left w:val="single" w:sz="4" w:space="0" w:color="auto"/>
              <w:right w:val="single" w:sz="4" w:space="0" w:color="auto"/>
            </w:tcBorders>
            <w:shd w:val="clear" w:color="auto" w:fill="auto"/>
          </w:tcPr>
          <w:p w14:paraId="405FCDB3" w14:textId="77777777" w:rsidR="009F683C" w:rsidRPr="003E34E2" w:rsidRDefault="009F683C" w:rsidP="00E671D9">
            <w:pPr>
              <w:jc w:val="left"/>
              <w:rPr>
                <w:sz w:val="18"/>
                <w:szCs w:val="18"/>
                <w:lang w:val="es-MX"/>
              </w:rPr>
            </w:pPr>
            <w:r w:rsidRPr="003E34E2">
              <w:rPr>
                <w:sz w:val="18"/>
                <w:szCs w:val="18"/>
                <w:lang w:val="es-MX"/>
              </w:rPr>
              <w:t>t</w:t>
            </w:r>
          </w:p>
        </w:tc>
        <w:tc>
          <w:tcPr>
            <w:tcW w:w="697" w:type="pct"/>
            <w:tcBorders>
              <w:left w:val="single" w:sz="4" w:space="0" w:color="auto"/>
              <w:right w:val="single" w:sz="4" w:space="0" w:color="auto"/>
            </w:tcBorders>
          </w:tcPr>
          <w:p w14:paraId="366319E1" w14:textId="77777777" w:rsidR="009F683C" w:rsidRPr="003E34E2" w:rsidRDefault="009F683C" w:rsidP="00E671D9">
            <w:pPr>
              <w:jc w:val="right"/>
              <w:rPr>
                <w:sz w:val="18"/>
                <w:szCs w:val="18"/>
                <w:lang w:val="es-MX"/>
              </w:rPr>
            </w:pPr>
            <w:r w:rsidRPr="003E34E2">
              <w:rPr>
                <w:sz w:val="18"/>
                <w:szCs w:val="18"/>
                <w:lang w:val="es-MX"/>
              </w:rPr>
              <w:t>n/a</w:t>
            </w:r>
          </w:p>
        </w:tc>
      </w:tr>
      <w:tr w:rsidR="009F683C" w:rsidRPr="003E34E2" w14:paraId="61EF3A7F" w14:textId="77777777" w:rsidTr="008651FB">
        <w:trPr>
          <w:trHeight w:val="275"/>
        </w:trPr>
        <w:tc>
          <w:tcPr>
            <w:tcW w:w="3606" w:type="pct"/>
            <w:vMerge/>
            <w:tcBorders>
              <w:right w:val="single" w:sz="4" w:space="0" w:color="auto"/>
            </w:tcBorders>
          </w:tcPr>
          <w:p w14:paraId="6741FFAC" w14:textId="77777777" w:rsidR="009F683C" w:rsidRPr="003E34E2" w:rsidRDefault="009F683C" w:rsidP="00E671D9">
            <w:pPr>
              <w:rPr>
                <w:sz w:val="18"/>
                <w:szCs w:val="18"/>
                <w:lang w:val="es-MX"/>
              </w:rPr>
            </w:pPr>
          </w:p>
        </w:tc>
        <w:tc>
          <w:tcPr>
            <w:tcW w:w="697" w:type="pct"/>
            <w:tcBorders>
              <w:left w:val="single" w:sz="4" w:space="0" w:color="auto"/>
              <w:right w:val="single" w:sz="4" w:space="0" w:color="auto"/>
            </w:tcBorders>
            <w:shd w:val="clear" w:color="auto" w:fill="auto"/>
          </w:tcPr>
          <w:p w14:paraId="69FA487E" w14:textId="77777777" w:rsidR="009F683C" w:rsidRPr="003E34E2" w:rsidRDefault="009F683C" w:rsidP="00E671D9">
            <w:pPr>
              <w:jc w:val="left"/>
              <w:rPr>
                <w:sz w:val="18"/>
                <w:szCs w:val="18"/>
                <w:lang w:val="es-MX"/>
              </w:rPr>
            </w:pPr>
            <w:r w:rsidRPr="003E34E2">
              <w:rPr>
                <w:sz w:val="18"/>
                <w:szCs w:val="18"/>
                <w:lang w:val="es-MX"/>
              </w:rPr>
              <w:t>t de eq. de CO</w:t>
            </w:r>
            <w:r w:rsidRPr="003E34E2">
              <w:rPr>
                <w:sz w:val="18"/>
                <w:szCs w:val="18"/>
                <w:vertAlign w:val="subscript"/>
                <w:lang w:val="es-MX"/>
              </w:rPr>
              <w:t>2</w:t>
            </w:r>
          </w:p>
        </w:tc>
        <w:tc>
          <w:tcPr>
            <w:tcW w:w="697" w:type="pct"/>
            <w:tcBorders>
              <w:left w:val="single" w:sz="4" w:space="0" w:color="auto"/>
              <w:right w:val="single" w:sz="4" w:space="0" w:color="auto"/>
            </w:tcBorders>
          </w:tcPr>
          <w:p w14:paraId="41BBEFE7" w14:textId="77777777" w:rsidR="009F683C" w:rsidRPr="003E34E2" w:rsidRDefault="009F683C" w:rsidP="00E671D9">
            <w:pPr>
              <w:jc w:val="right"/>
              <w:rPr>
                <w:sz w:val="18"/>
                <w:szCs w:val="18"/>
                <w:lang w:val="es-MX"/>
              </w:rPr>
            </w:pPr>
            <w:r w:rsidRPr="003E34E2">
              <w:rPr>
                <w:sz w:val="18"/>
                <w:szCs w:val="18"/>
                <w:lang w:val="es-MX"/>
              </w:rPr>
              <w:t>n/a</w:t>
            </w:r>
          </w:p>
        </w:tc>
      </w:tr>
    </w:tbl>
    <w:p w14:paraId="31A40237" w14:textId="77777777" w:rsidR="009F683C" w:rsidRPr="003E34E2" w:rsidRDefault="009F683C" w:rsidP="00E671D9">
      <w:pPr>
        <w:rPr>
          <w:sz w:val="18"/>
          <w:szCs w:val="18"/>
          <w:lang w:val="es-MX"/>
        </w:rPr>
      </w:pPr>
    </w:p>
    <w:tbl>
      <w:tblPr>
        <w:tblStyle w:val="TableGrid10"/>
        <w:tblpPr w:leftFromText="180" w:rightFromText="180" w:vertAnchor="text" w:horzAnchor="margin" w:tblpXSpec="center" w:tblpY="62"/>
        <w:tblW w:w="5000" w:type="pct"/>
        <w:tblBorders>
          <w:insideV w:val="none" w:sz="0" w:space="0" w:color="auto"/>
        </w:tblBorders>
        <w:tblLook w:val="01E0" w:firstRow="1" w:lastRow="1" w:firstColumn="1" w:lastColumn="1" w:noHBand="0" w:noVBand="0"/>
      </w:tblPr>
      <w:tblGrid>
        <w:gridCol w:w="4224"/>
        <w:gridCol w:w="2162"/>
        <w:gridCol w:w="1662"/>
        <w:gridCol w:w="1302"/>
      </w:tblGrid>
      <w:tr w:rsidR="009F683C" w:rsidRPr="003E34E2" w14:paraId="75FACBC7" w14:textId="77777777" w:rsidTr="003E34E2">
        <w:trPr>
          <w:trHeight w:val="267"/>
        </w:trPr>
        <w:tc>
          <w:tcPr>
            <w:tcW w:w="2259" w:type="pct"/>
            <w:vMerge w:val="restart"/>
            <w:tcBorders>
              <w:right w:val="single" w:sz="4" w:space="0" w:color="auto"/>
            </w:tcBorders>
          </w:tcPr>
          <w:p w14:paraId="7BF5B6EB" w14:textId="77777777" w:rsidR="009F683C" w:rsidRPr="003E34E2" w:rsidRDefault="009F683C" w:rsidP="00E671D9">
            <w:pPr>
              <w:jc w:val="left"/>
              <w:rPr>
                <w:i/>
                <w:sz w:val="18"/>
                <w:szCs w:val="18"/>
                <w:lang w:val="es-MX"/>
              </w:rPr>
            </w:pPr>
            <w:r w:rsidRPr="003E34E2">
              <w:rPr>
                <w:b/>
                <w:caps/>
                <w:sz w:val="18"/>
                <w:szCs w:val="18"/>
                <w:lang w:val="es-MX"/>
              </w:rPr>
              <w:t>ASIGNACIONES DEL PLAN ADMINISTRATIVO DEL AÑO EN CURSO</w:t>
            </w:r>
          </w:p>
        </w:tc>
        <w:tc>
          <w:tcPr>
            <w:tcW w:w="1156" w:type="pct"/>
            <w:tcBorders>
              <w:left w:val="single" w:sz="4" w:space="0" w:color="auto"/>
              <w:right w:val="single" w:sz="4" w:space="0" w:color="auto"/>
            </w:tcBorders>
          </w:tcPr>
          <w:p w14:paraId="1C774564" w14:textId="77777777" w:rsidR="009F683C" w:rsidRPr="003E34E2" w:rsidRDefault="009F683C" w:rsidP="00E671D9">
            <w:pPr>
              <w:jc w:val="center"/>
              <w:rPr>
                <w:b/>
                <w:i/>
                <w:sz w:val="18"/>
                <w:szCs w:val="18"/>
                <w:lang w:val="es-MX"/>
              </w:rPr>
            </w:pPr>
            <w:r w:rsidRPr="003E34E2">
              <w:rPr>
                <w:b/>
                <w:sz w:val="18"/>
                <w:szCs w:val="18"/>
                <w:lang w:val="es-MX"/>
              </w:rPr>
              <w:t>Financiación $EUA</w:t>
            </w:r>
          </w:p>
        </w:tc>
        <w:tc>
          <w:tcPr>
            <w:tcW w:w="1586" w:type="pct"/>
            <w:gridSpan w:val="2"/>
            <w:tcBorders>
              <w:left w:val="single" w:sz="4" w:space="0" w:color="auto"/>
            </w:tcBorders>
          </w:tcPr>
          <w:p w14:paraId="26ADD616" w14:textId="77777777" w:rsidR="009F683C" w:rsidRPr="003E34E2" w:rsidRDefault="009F683C" w:rsidP="00E671D9">
            <w:pPr>
              <w:jc w:val="center"/>
              <w:rPr>
                <w:b/>
                <w:i/>
                <w:sz w:val="18"/>
                <w:szCs w:val="18"/>
                <w:lang w:val="es-MX"/>
              </w:rPr>
            </w:pPr>
            <w:r w:rsidRPr="003E34E2">
              <w:rPr>
                <w:b/>
                <w:sz w:val="18"/>
                <w:szCs w:val="18"/>
                <w:lang w:val="es-MX"/>
              </w:rPr>
              <w:t xml:space="preserve">Eliminación </w:t>
            </w:r>
          </w:p>
        </w:tc>
      </w:tr>
      <w:tr w:rsidR="009F683C" w:rsidRPr="003E34E2" w14:paraId="00C9B86F" w14:textId="77777777" w:rsidTr="003E34E2">
        <w:trPr>
          <w:trHeight w:val="95"/>
        </w:trPr>
        <w:tc>
          <w:tcPr>
            <w:tcW w:w="2259" w:type="pct"/>
            <w:vMerge/>
            <w:tcBorders>
              <w:right w:val="single" w:sz="4" w:space="0" w:color="auto"/>
            </w:tcBorders>
          </w:tcPr>
          <w:p w14:paraId="31687D91" w14:textId="77777777" w:rsidR="009F683C" w:rsidRPr="003E34E2" w:rsidRDefault="009F683C" w:rsidP="00E671D9">
            <w:pPr>
              <w:rPr>
                <w:sz w:val="18"/>
                <w:szCs w:val="18"/>
                <w:lang w:val="es-MX"/>
              </w:rPr>
            </w:pPr>
          </w:p>
        </w:tc>
        <w:tc>
          <w:tcPr>
            <w:tcW w:w="1156" w:type="pct"/>
            <w:vMerge w:val="restart"/>
            <w:tcBorders>
              <w:left w:val="single" w:sz="4" w:space="0" w:color="auto"/>
              <w:right w:val="single" w:sz="4" w:space="0" w:color="auto"/>
            </w:tcBorders>
          </w:tcPr>
          <w:p w14:paraId="10A5E94A" w14:textId="77777777" w:rsidR="009F683C" w:rsidRPr="003E34E2" w:rsidRDefault="009F683C" w:rsidP="00E671D9">
            <w:pPr>
              <w:jc w:val="right"/>
              <w:rPr>
                <w:sz w:val="18"/>
                <w:szCs w:val="18"/>
                <w:lang w:val="es-MX"/>
              </w:rPr>
            </w:pPr>
            <w:r w:rsidRPr="003E34E2">
              <w:rPr>
                <w:sz w:val="18"/>
                <w:szCs w:val="18"/>
                <w:lang w:val="es-MX"/>
              </w:rPr>
              <w:t>1.605.000</w:t>
            </w:r>
          </w:p>
        </w:tc>
        <w:tc>
          <w:tcPr>
            <w:tcW w:w="889" w:type="pct"/>
            <w:tcBorders>
              <w:left w:val="single" w:sz="4" w:space="0" w:color="auto"/>
            </w:tcBorders>
          </w:tcPr>
          <w:p w14:paraId="47F3658B" w14:textId="77777777" w:rsidR="009F683C" w:rsidRPr="003E34E2" w:rsidRDefault="009F683C" w:rsidP="00E671D9">
            <w:pPr>
              <w:jc w:val="left"/>
              <w:rPr>
                <w:sz w:val="18"/>
                <w:szCs w:val="18"/>
                <w:lang w:val="es-MX"/>
              </w:rPr>
            </w:pPr>
            <w:r w:rsidRPr="003E34E2">
              <w:rPr>
                <w:sz w:val="18"/>
                <w:szCs w:val="18"/>
                <w:lang w:val="es-MX"/>
              </w:rPr>
              <w:t>t</w:t>
            </w:r>
          </w:p>
        </w:tc>
        <w:tc>
          <w:tcPr>
            <w:tcW w:w="697" w:type="pct"/>
            <w:tcBorders>
              <w:left w:val="single" w:sz="4" w:space="0" w:color="auto"/>
            </w:tcBorders>
          </w:tcPr>
          <w:p w14:paraId="5F8B5F09" w14:textId="77777777" w:rsidR="009F683C" w:rsidRPr="003E34E2" w:rsidRDefault="009F683C" w:rsidP="00E671D9">
            <w:pPr>
              <w:jc w:val="right"/>
              <w:rPr>
                <w:sz w:val="18"/>
                <w:szCs w:val="18"/>
                <w:lang w:val="es-MX"/>
              </w:rPr>
            </w:pPr>
            <w:r w:rsidRPr="003E34E2">
              <w:rPr>
                <w:sz w:val="18"/>
                <w:szCs w:val="18"/>
                <w:lang w:val="es-MX"/>
              </w:rPr>
              <w:t>150,00</w:t>
            </w:r>
          </w:p>
        </w:tc>
      </w:tr>
      <w:tr w:rsidR="009F683C" w:rsidRPr="003E34E2" w14:paraId="4955804C" w14:textId="77777777" w:rsidTr="003E34E2">
        <w:trPr>
          <w:trHeight w:val="94"/>
        </w:trPr>
        <w:tc>
          <w:tcPr>
            <w:tcW w:w="2259" w:type="pct"/>
            <w:vMerge/>
            <w:tcBorders>
              <w:right w:val="single" w:sz="4" w:space="0" w:color="auto"/>
            </w:tcBorders>
          </w:tcPr>
          <w:p w14:paraId="55B53DD5" w14:textId="77777777" w:rsidR="009F683C" w:rsidRPr="003E34E2" w:rsidRDefault="009F683C" w:rsidP="00E671D9">
            <w:pPr>
              <w:rPr>
                <w:sz w:val="18"/>
                <w:szCs w:val="18"/>
                <w:lang w:val="es-MX"/>
              </w:rPr>
            </w:pPr>
          </w:p>
        </w:tc>
        <w:tc>
          <w:tcPr>
            <w:tcW w:w="1156" w:type="pct"/>
            <w:vMerge/>
            <w:tcBorders>
              <w:left w:val="single" w:sz="4" w:space="0" w:color="auto"/>
              <w:right w:val="single" w:sz="4" w:space="0" w:color="auto"/>
            </w:tcBorders>
          </w:tcPr>
          <w:p w14:paraId="25120779" w14:textId="77777777" w:rsidR="009F683C" w:rsidRPr="003E34E2" w:rsidRDefault="009F683C" w:rsidP="00E671D9">
            <w:pPr>
              <w:jc w:val="right"/>
              <w:rPr>
                <w:sz w:val="18"/>
                <w:szCs w:val="18"/>
                <w:lang w:val="es-MX"/>
              </w:rPr>
            </w:pPr>
          </w:p>
        </w:tc>
        <w:tc>
          <w:tcPr>
            <w:tcW w:w="889" w:type="pct"/>
            <w:tcBorders>
              <w:left w:val="single" w:sz="4" w:space="0" w:color="auto"/>
            </w:tcBorders>
          </w:tcPr>
          <w:p w14:paraId="3FB56BE6" w14:textId="77777777" w:rsidR="009F683C" w:rsidRPr="003E34E2" w:rsidRDefault="009F683C" w:rsidP="00E671D9">
            <w:pPr>
              <w:jc w:val="left"/>
              <w:rPr>
                <w:sz w:val="18"/>
                <w:szCs w:val="18"/>
                <w:lang w:val="es-MX"/>
              </w:rPr>
            </w:pPr>
            <w:r w:rsidRPr="003E34E2">
              <w:rPr>
                <w:sz w:val="18"/>
                <w:szCs w:val="18"/>
                <w:lang w:val="es-MX"/>
              </w:rPr>
              <w:t>t de eq. de CO</w:t>
            </w:r>
            <w:r w:rsidRPr="003E34E2">
              <w:rPr>
                <w:sz w:val="18"/>
                <w:szCs w:val="18"/>
                <w:vertAlign w:val="subscript"/>
                <w:lang w:val="es-MX"/>
              </w:rPr>
              <w:t>2</w:t>
            </w:r>
          </w:p>
        </w:tc>
        <w:tc>
          <w:tcPr>
            <w:tcW w:w="697" w:type="pct"/>
            <w:tcBorders>
              <w:left w:val="single" w:sz="4" w:space="0" w:color="auto"/>
            </w:tcBorders>
            <w:vAlign w:val="center"/>
          </w:tcPr>
          <w:p w14:paraId="2DF92036" w14:textId="77777777" w:rsidR="009F683C" w:rsidRPr="003E34E2" w:rsidRDefault="009F683C" w:rsidP="00E671D9">
            <w:pPr>
              <w:jc w:val="right"/>
              <w:rPr>
                <w:sz w:val="18"/>
                <w:szCs w:val="18"/>
                <w:lang w:val="es-MX"/>
              </w:rPr>
            </w:pPr>
            <w:r w:rsidRPr="003E34E2">
              <w:rPr>
                <w:sz w:val="18"/>
                <w:szCs w:val="18"/>
                <w:lang w:val="es-MX"/>
              </w:rPr>
              <w:t>214.500</w:t>
            </w:r>
          </w:p>
        </w:tc>
      </w:tr>
    </w:tbl>
    <w:p w14:paraId="7027C4CA" w14:textId="77777777" w:rsidR="009F683C" w:rsidRPr="003E34E2" w:rsidRDefault="009F683C" w:rsidP="00E671D9">
      <w:pPr>
        <w:rPr>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4682"/>
        <w:gridCol w:w="1619"/>
        <w:gridCol w:w="1885"/>
      </w:tblGrid>
      <w:tr w:rsidR="002D2A50" w:rsidRPr="003E34E2" w14:paraId="5FF57AB7" w14:textId="77777777" w:rsidTr="002D2A50">
        <w:trPr>
          <w:trHeight w:val="254"/>
          <w:jc w:val="center"/>
        </w:trPr>
        <w:tc>
          <w:tcPr>
            <w:tcW w:w="3992" w:type="pct"/>
            <w:gridSpan w:val="3"/>
            <w:tcBorders>
              <w:top w:val="single" w:sz="4" w:space="0" w:color="auto"/>
              <w:left w:val="single" w:sz="4" w:space="0" w:color="auto"/>
              <w:bottom w:val="single" w:sz="4" w:space="0" w:color="auto"/>
              <w:right w:val="single" w:sz="4" w:space="0" w:color="auto"/>
            </w:tcBorders>
          </w:tcPr>
          <w:p w14:paraId="40B569C7"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b/>
                <w:sz w:val="18"/>
                <w:szCs w:val="18"/>
                <w:lang w:val="es-MX"/>
              </w:rPr>
            </w:pPr>
            <w:r w:rsidRPr="003E34E2">
              <w:rPr>
                <w:b/>
                <w:sz w:val="18"/>
                <w:szCs w:val="18"/>
                <w:lang w:val="es-MX"/>
              </w:rPr>
              <w:t>TÍTULO DEL PROYECTO:</w:t>
            </w:r>
          </w:p>
        </w:tc>
        <w:tc>
          <w:tcPr>
            <w:tcW w:w="1008" w:type="pct"/>
            <w:tcBorders>
              <w:top w:val="single" w:sz="4" w:space="0" w:color="auto"/>
              <w:left w:val="single" w:sz="4" w:space="0" w:color="auto"/>
              <w:bottom w:val="single" w:sz="4" w:space="0" w:color="auto"/>
              <w:right w:val="single" w:sz="4" w:space="0" w:color="auto"/>
            </w:tcBorders>
          </w:tcPr>
          <w:p w14:paraId="0AA7BC75"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b/>
                <w:sz w:val="18"/>
                <w:szCs w:val="18"/>
                <w:lang w:val="es-MX"/>
              </w:rPr>
            </w:pPr>
            <w:r w:rsidRPr="003E34E2">
              <w:rPr>
                <w:b/>
                <w:sz w:val="18"/>
                <w:szCs w:val="18"/>
                <w:lang w:val="es-MX"/>
              </w:rPr>
              <w:t>MCMC Egipto</w:t>
            </w:r>
          </w:p>
        </w:tc>
      </w:tr>
      <w:tr w:rsidR="009F683C" w:rsidRPr="003E34E2" w14:paraId="3129674E" w14:textId="77777777" w:rsidTr="008651FB">
        <w:trPr>
          <w:trHeight w:val="243"/>
          <w:jc w:val="center"/>
        </w:trPr>
        <w:tc>
          <w:tcPr>
            <w:tcW w:w="3126" w:type="pct"/>
            <w:gridSpan w:val="2"/>
            <w:vMerge w:val="restart"/>
            <w:tcBorders>
              <w:top w:val="single" w:sz="4" w:space="0" w:color="auto"/>
              <w:left w:val="single" w:sz="4" w:space="0" w:color="auto"/>
              <w:right w:val="single" w:sz="4" w:space="0" w:color="auto"/>
            </w:tcBorders>
            <w:vAlign w:val="center"/>
          </w:tcPr>
          <w:p w14:paraId="6771B0BE" w14:textId="77777777" w:rsidR="009F683C"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 xml:space="preserve">HFC-134a usado en la empresa </w:t>
            </w:r>
          </w:p>
        </w:tc>
        <w:tc>
          <w:tcPr>
            <w:tcW w:w="866" w:type="pct"/>
            <w:tcBorders>
              <w:top w:val="single" w:sz="4" w:space="0" w:color="auto"/>
              <w:left w:val="single" w:sz="4" w:space="0" w:color="auto"/>
              <w:bottom w:val="single" w:sz="4" w:space="0" w:color="auto"/>
              <w:right w:val="single" w:sz="4" w:space="0" w:color="auto"/>
            </w:tcBorders>
          </w:tcPr>
          <w:p w14:paraId="0F96694E"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w:t>
            </w:r>
          </w:p>
        </w:tc>
        <w:tc>
          <w:tcPr>
            <w:tcW w:w="1008" w:type="pct"/>
            <w:tcBorders>
              <w:top w:val="single" w:sz="4" w:space="0" w:color="auto"/>
              <w:left w:val="single" w:sz="4" w:space="0" w:color="auto"/>
              <w:bottom w:val="single" w:sz="4" w:space="0" w:color="auto"/>
              <w:right w:val="single" w:sz="4" w:space="0" w:color="auto"/>
            </w:tcBorders>
          </w:tcPr>
          <w:p w14:paraId="1852879E" w14:textId="77777777" w:rsidR="009F683C"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n/a</w:t>
            </w:r>
          </w:p>
        </w:tc>
      </w:tr>
      <w:tr w:rsidR="009F683C" w:rsidRPr="003E34E2" w14:paraId="45392F10" w14:textId="77777777" w:rsidTr="008651FB">
        <w:trPr>
          <w:trHeight w:val="243"/>
          <w:jc w:val="center"/>
        </w:trPr>
        <w:tc>
          <w:tcPr>
            <w:tcW w:w="3126" w:type="pct"/>
            <w:gridSpan w:val="2"/>
            <w:vMerge/>
            <w:tcBorders>
              <w:left w:val="single" w:sz="4" w:space="0" w:color="auto"/>
              <w:bottom w:val="single" w:sz="4" w:space="0" w:color="auto"/>
              <w:right w:val="single" w:sz="4" w:space="0" w:color="auto"/>
            </w:tcBorders>
          </w:tcPr>
          <w:p w14:paraId="1C6CE9F0"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866" w:type="pct"/>
            <w:tcBorders>
              <w:top w:val="single" w:sz="4" w:space="0" w:color="auto"/>
              <w:left w:val="single" w:sz="4" w:space="0" w:color="auto"/>
              <w:bottom w:val="single" w:sz="4" w:space="0" w:color="auto"/>
              <w:right w:val="single" w:sz="4" w:space="0" w:color="auto"/>
            </w:tcBorders>
          </w:tcPr>
          <w:p w14:paraId="1957646C"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 de eq. de CO</w:t>
            </w:r>
            <w:r w:rsidRPr="003E34E2">
              <w:rPr>
                <w:sz w:val="18"/>
                <w:szCs w:val="18"/>
                <w:vertAlign w:val="subscript"/>
                <w:lang w:val="es-MX"/>
              </w:rPr>
              <w:t>2</w:t>
            </w:r>
          </w:p>
        </w:tc>
        <w:tc>
          <w:tcPr>
            <w:tcW w:w="1008" w:type="pct"/>
            <w:tcBorders>
              <w:top w:val="single" w:sz="4" w:space="0" w:color="auto"/>
              <w:left w:val="single" w:sz="4" w:space="0" w:color="auto"/>
              <w:bottom w:val="single" w:sz="4" w:space="0" w:color="auto"/>
              <w:right w:val="single" w:sz="4" w:space="0" w:color="auto"/>
            </w:tcBorders>
          </w:tcPr>
          <w:p w14:paraId="48B43A9B" w14:textId="77777777" w:rsidR="009F683C"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n/a</w:t>
            </w:r>
          </w:p>
        </w:tc>
      </w:tr>
      <w:tr w:rsidR="009F683C" w:rsidRPr="003E34E2" w14:paraId="1ED9DAA2" w14:textId="77777777" w:rsidTr="008651FB">
        <w:trPr>
          <w:trHeight w:val="254"/>
          <w:jc w:val="center"/>
        </w:trPr>
        <w:tc>
          <w:tcPr>
            <w:tcW w:w="3126" w:type="pct"/>
            <w:gridSpan w:val="2"/>
            <w:vMerge w:val="restart"/>
            <w:tcBorders>
              <w:top w:val="single" w:sz="4" w:space="0" w:color="auto"/>
              <w:left w:val="single" w:sz="4" w:space="0" w:color="auto"/>
              <w:right w:val="single" w:sz="4" w:space="0" w:color="auto"/>
            </w:tcBorders>
            <w:vAlign w:val="center"/>
          </w:tcPr>
          <w:p w14:paraId="3DCF6216" w14:textId="77777777" w:rsidR="009F683C"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HFC-134a que se eliminará por medio de este proyecto (indirectamente)</w:t>
            </w:r>
          </w:p>
        </w:tc>
        <w:tc>
          <w:tcPr>
            <w:tcW w:w="866" w:type="pct"/>
            <w:tcBorders>
              <w:top w:val="single" w:sz="4" w:space="0" w:color="auto"/>
              <w:left w:val="single" w:sz="4" w:space="0" w:color="auto"/>
              <w:bottom w:val="single" w:sz="4" w:space="0" w:color="auto"/>
              <w:right w:val="single" w:sz="4" w:space="0" w:color="auto"/>
            </w:tcBorders>
          </w:tcPr>
          <w:p w14:paraId="57F2C7B3"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w:t>
            </w:r>
          </w:p>
        </w:tc>
        <w:tc>
          <w:tcPr>
            <w:tcW w:w="1008" w:type="pct"/>
            <w:tcBorders>
              <w:top w:val="single" w:sz="4" w:space="0" w:color="auto"/>
              <w:left w:val="single" w:sz="4" w:space="0" w:color="auto"/>
              <w:bottom w:val="single" w:sz="4" w:space="0" w:color="auto"/>
              <w:right w:val="single" w:sz="4" w:space="0" w:color="auto"/>
            </w:tcBorders>
          </w:tcPr>
          <w:p w14:paraId="17E3F279"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150,00</w:t>
            </w:r>
          </w:p>
        </w:tc>
      </w:tr>
      <w:tr w:rsidR="009F683C" w:rsidRPr="003E34E2" w14:paraId="5F90A443" w14:textId="77777777" w:rsidTr="008651FB">
        <w:trPr>
          <w:trHeight w:val="254"/>
          <w:jc w:val="center"/>
        </w:trPr>
        <w:tc>
          <w:tcPr>
            <w:tcW w:w="3126" w:type="pct"/>
            <w:gridSpan w:val="2"/>
            <w:vMerge/>
            <w:tcBorders>
              <w:left w:val="single" w:sz="4" w:space="0" w:color="auto"/>
              <w:bottom w:val="single" w:sz="4" w:space="0" w:color="auto"/>
              <w:right w:val="single" w:sz="4" w:space="0" w:color="auto"/>
            </w:tcBorders>
          </w:tcPr>
          <w:p w14:paraId="26A5480D"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866" w:type="pct"/>
            <w:tcBorders>
              <w:top w:val="single" w:sz="4" w:space="0" w:color="auto"/>
              <w:left w:val="single" w:sz="4" w:space="0" w:color="auto"/>
              <w:bottom w:val="single" w:sz="4" w:space="0" w:color="auto"/>
              <w:right w:val="single" w:sz="4" w:space="0" w:color="auto"/>
            </w:tcBorders>
          </w:tcPr>
          <w:p w14:paraId="2DC9F457"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 de eq. de CO</w:t>
            </w:r>
            <w:r w:rsidRPr="003E34E2">
              <w:rPr>
                <w:sz w:val="18"/>
                <w:szCs w:val="18"/>
                <w:vertAlign w:val="subscript"/>
                <w:lang w:val="es-MX"/>
              </w:rPr>
              <w:t>2</w:t>
            </w:r>
          </w:p>
        </w:tc>
        <w:tc>
          <w:tcPr>
            <w:tcW w:w="1008" w:type="pct"/>
            <w:tcBorders>
              <w:top w:val="single" w:sz="4" w:space="0" w:color="auto"/>
              <w:left w:val="single" w:sz="4" w:space="0" w:color="auto"/>
              <w:bottom w:val="single" w:sz="4" w:space="0" w:color="auto"/>
              <w:right w:val="single" w:sz="4" w:space="0" w:color="auto"/>
            </w:tcBorders>
            <w:vAlign w:val="center"/>
          </w:tcPr>
          <w:p w14:paraId="37AF6A60" w14:textId="77777777" w:rsidR="009F683C" w:rsidRPr="003E34E2" w:rsidRDefault="009F683C" w:rsidP="00E671D9">
            <w:pPr>
              <w:jc w:val="right"/>
              <w:rPr>
                <w:sz w:val="18"/>
                <w:szCs w:val="18"/>
                <w:lang w:val="es-MX"/>
              </w:rPr>
            </w:pPr>
            <w:r w:rsidRPr="003E34E2">
              <w:rPr>
                <w:sz w:val="18"/>
                <w:szCs w:val="18"/>
                <w:lang w:val="es-MX"/>
              </w:rPr>
              <w:t>214.500</w:t>
            </w:r>
          </w:p>
        </w:tc>
      </w:tr>
      <w:tr w:rsidR="009F683C" w:rsidRPr="003E34E2" w14:paraId="18D2A9D9" w14:textId="77777777" w:rsidTr="008651FB">
        <w:trPr>
          <w:trHeight w:val="254"/>
          <w:jc w:val="center"/>
        </w:trPr>
        <w:tc>
          <w:tcPr>
            <w:tcW w:w="3126" w:type="pct"/>
            <w:gridSpan w:val="2"/>
            <w:vMerge w:val="restart"/>
            <w:tcBorders>
              <w:top w:val="single" w:sz="4" w:space="0" w:color="auto"/>
              <w:left w:val="single" w:sz="4" w:space="0" w:color="auto"/>
              <w:right w:val="single" w:sz="4" w:space="0" w:color="auto"/>
            </w:tcBorders>
            <w:vAlign w:val="center"/>
          </w:tcPr>
          <w:p w14:paraId="4AFA91CE" w14:textId="77777777" w:rsidR="009F683C" w:rsidRPr="003E34E2" w:rsidRDefault="00FD4CC6"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Alternativa al HFC-134a que se incorporará: R-600a (indirectamente)</w:t>
            </w:r>
          </w:p>
        </w:tc>
        <w:tc>
          <w:tcPr>
            <w:tcW w:w="866" w:type="pct"/>
            <w:tcBorders>
              <w:top w:val="single" w:sz="4" w:space="0" w:color="auto"/>
              <w:left w:val="single" w:sz="4" w:space="0" w:color="auto"/>
              <w:bottom w:val="single" w:sz="4" w:space="0" w:color="auto"/>
              <w:right w:val="single" w:sz="4" w:space="0" w:color="auto"/>
            </w:tcBorders>
          </w:tcPr>
          <w:p w14:paraId="09B86228"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w:t>
            </w:r>
          </w:p>
        </w:tc>
        <w:tc>
          <w:tcPr>
            <w:tcW w:w="1008" w:type="pct"/>
            <w:tcBorders>
              <w:top w:val="single" w:sz="4" w:space="0" w:color="auto"/>
              <w:left w:val="single" w:sz="4" w:space="0" w:color="auto"/>
              <w:bottom w:val="single" w:sz="4" w:space="0" w:color="auto"/>
              <w:right w:val="single" w:sz="4" w:space="0" w:color="auto"/>
            </w:tcBorders>
          </w:tcPr>
          <w:p w14:paraId="019A559A"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75,00</w:t>
            </w:r>
          </w:p>
        </w:tc>
      </w:tr>
      <w:tr w:rsidR="009F683C" w:rsidRPr="003E34E2" w14:paraId="26BA4D2A" w14:textId="77777777" w:rsidTr="008651FB">
        <w:trPr>
          <w:trHeight w:val="254"/>
          <w:jc w:val="center"/>
        </w:trPr>
        <w:tc>
          <w:tcPr>
            <w:tcW w:w="3126" w:type="pct"/>
            <w:gridSpan w:val="2"/>
            <w:vMerge/>
            <w:tcBorders>
              <w:left w:val="single" w:sz="4" w:space="0" w:color="auto"/>
              <w:bottom w:val="single" w:sz="4" w:space="0" w:color="auto"/>
              <w:right w:val="single" w:sz="4" w:space="0" w:color="auto"/>
            </w:tcBorders>
            <w:vAlign w:val="center"/>
          </w:tcPr>
          <w:p w14:paraId="64CAA673"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866" w:type="pct"/>
            <w:tcBorders>
              <w:top w:val="single" w:sz="4" w:space="0" w:color="auto"/>
              <w:left w:val="single" w:sz="4" w:space="0" w:color="auto"/>
              <w:bottom w:val="single" w:sz="4" w:space="0" w:color="auto"/>
              <w:right w:val="single" w:sz="4" w:space="0" w:color="auto"/>
            </w:tcBorders>
          </w:tcPr>
          <w:p w14:paraId="4D606D18"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t de eq. de CO</w:t>
            </w:r>
            <w:r w:rsidRPr="003E34E2">
              <w:rPr>
                <w:sz w:val="18"/>
                <w:szCs w:val="18"/>
                <w:vertAlign w:val="subscript"/>
                <w:lang w:val="es-MX"/>
              </w:rPr>
              <w:t>2</w:t>
            </w:r>
          </w:p>
        </w:tc>
        <w:tc>
          <w:tcPr>
            <w:tcW w:w="1008" w:type="pct"/>
            <w:tcBorders>
              <w:top w:val="single" w:sz="4" w:space="0" w:color="auto"/>
              <w:left w:val="single" w:sz="4" w:space="0" w:color="auto"/>
              <w:bottom w:val="single" w:sz="4" w:space="0" w:color="auto"/>
              <w:right w:val="single" w:sz="4" w:space="0" w:color="auto"/>
            </w:tcBorders>
          </w:tcPr>
          <w:p w14:paraId="074615AD" w14:textId="77777777" w:rsidR="009F683C" w:rsidRPr="003E34E2" w:rsidRDefault="002C566B"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225</w:t>
            </w:r>
          </w:p>
        </w:tc>
      </w:tr>
      <w:tr w:rsidR="009F683C" w:rsidRPr="003E34E2" w14:paraId="61D0F4C2" w14:textId="77777777" w:rsidTr="008651FB">
        <w:trPr>
          <w:trHeight w:val="266"/>
          <w:jc w:val="center"/>
        </w:trPr>
        <w:tc>
          <w:tcPr>
            <w:tcW w:w="3126" w:type="pct"/>
            <w:gridSpan w:val="2"/>
            <w:tcBorders>
              <w:top w:val="single" w:sz="4" w:space="0" w:color="auto"/>
              <w:left w:val="single" w:sz="4" w:space="0" w:color="auto"/>
              <w:bottom w:val="single" w:sz="4" w:space="0" w:color="auto"/>
              <w:right w:val="single" w:sz="4" w:space="0" w:color="auto"/>
            </w:tcBorders>
          </w:tcPr>
          <w:p w14:paraId="542F0A64"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Beneficio para el clima</w:t>
            </w:r>
          </w:p>
        </w:tc>
        <w:tc>
          <w:tcPr>
            <w:tcW w:w="866" w:type="pct"/>
            <w:tcBorders>
              <w:top w:val="single" w:sz="4" w:space="0" w:color="auto"/>
              <w:left w:val="single" w:sz="4" w:space="0" w:color="auto"/>
              <w:bottom w:val="single" w:sz="4" w:space="0" w:color="auto"/>
              <w:right w:val="single" w:sz="4" w:space="0" w:color="auto"/>
            </w:tcBorders>
          </w:tcPr>
          <w:p w14:paraId="2BAE78C5" w14:textId="77777777" w:rsidR="009F683C" w:rsidRPr="003E34E2" w:rsidRDefault="009F683C" w:rsidP="00E671D9">
            <w:pPr>
              <w:rPr>
                <w:sz w:val="18"/>
                <w:szCs w:val="18"/>
                <w:lang w:val="es-MX"/>
              </w:rPr>
            </w:pPr>
            <w:r w:rsidRPr="003E34E2">
              <w:rPr>
                <w:sz w:val="18"/>
                <w:szCs w:val="18"/>
                <w:lang w:val="es-MX"/>
              </w:rPr>
              <w:t>t de eq. de CO</w:t>
            </w:r>
            <w:r w:rsidRPr="003E34E2">
              <w:rPr>
                <w:sz w:val="18"/>
                <w:szCs w:val="18"/>
                <w:vertAlign w:val="subscript"/>
                <w:lang w:val="es-MX"/>
              </w:rPr>
              <w:t>2</w:t>
            </w:r>
          </w:p>
        </w:tc>
        <w:tc>
          <w:tcPr>
            <w:tcW w:w="1008" w:type="pct"/>
            <w:tcBorders>
              <w:top w:val="single" w:sz="4" w:space="0" w:color="auto"/>
              <w:left w:val="single" w:sz="4" w:space="0" w:color="auto"/>
              <w:bottom w:val="single" w:sz="4" w:space="0" w:color="auto"/>
              <w:right w:val="single" w:sz="4" w:space="0" w:color="auto"/>
            </w:tcBorders>
            <w:vAlign w:val="center"/>
          </w:tcPr>
          <w:p w14:paraId="5F5BDA42" w14:textId="77777777" w:rsidR="009F683C" w:rsidRPr="003E34E2" w:rsidRDefault="009F683C" w:rsidP="00E671D9">
            <w:pPr>
              <w:jc w:val="right"/>
              <w:rPr>
                <w:sz w:val="18"/>
                <w:szCs w:val="18"/>
                <w:lang w:val="es-MX"/>
              </w:rPr>
            </w:pPr>
            <w:r w:rsidRPr="003E34E2">
              <w:rPr>
                <w:sz w:val="18"/>
                <w:szCs w:val="18"/>
                <w:lang w:val="es-MX"/>
              </w:rPr>
              <w:t>214.500</w:t>
            </w:r>
          </w:p>
        </w:tc>
      </w:tr>
      <w:tr w:rsidR="002D2A50" w:rsidRPr="003E34E2" w14:paraId="498CE011" w14:textId="77777777" w:rsidTr="002D2A50">
        <w:trPr>
          <w:trHeight w:val="266"/>
          <w:jc w:val="center"/>
        </w:trPr>
        <w:tc>
          <w:tcPr>
            <w:tcW w:w="3992" w:type="pct"/>
            <w:gridSpan w:val="3"/>
            <w:tcBorders>
              <w:top w:val="single" w:sz="4" w:space="0" w:color="auto"/>
              <w:left w:val="single" w:sz="4" w:space="0" w:color="auto"/>
              <w:bottom w:val="single" w:sz="4" w:space="0" w:color="auto"/>
              <w:right w:val="single" w:sz="4" w:space="0" w:color="auto"/>
            </w:tcBorders>
          </w:tcPr>
          <w:p w14:paraId="284AAE10" w14:textId="77777777" w:rsidR="002D2A50" w:rsidRPr="003E34E2" w:rsidRDefault="002D2A50" w:rsidP="00E671D9">
            <w:pPr>
              <w:rPr>
                <w:sz w:val="18"/>
                <w:szCs w:val="18"/>
                <w:lang w:val="es-MX"/>
              </w:rPr>
            </w:pPr>
            <w:r w:rsidRPr="003E34E2">
              <w:rPr>
                <w:sz w:val="18"/>
                <w:szCs w:val="18"/>
                <w:lang w:val="es-MX"/>
              </w:rPr>
              <w:t>Duración del proyecto (meses):</w:t>
            </w:r>
          </w:p>
        </w:tc>
        <w:tc>
          <w:tcPr>
            <w:tcW w:w="1008" w:type="pct"/>
            <w:tcBorders>
              <w:top w:val="single" w:sz="4" w:space="0" w:color="auto"/>
              <w:left w:val="single" w:sz="4" w:space="0" w:color="auto"/>
              <w:bottom w:val="single" w:sz="4" w:space="0" w:color="auto"/>
              <w:right w:val="single" w:sz="4" w:space="0" w:color="auto"/>
            </w:tcBorders>
          </w:tcPr>
          <w:p w14:paraId="540471C1" w14:textId="77777777" w:rsidR="002D2A50" w:rsidRPr="003E34E2" w:rsidRDefault="002D2A50" w:rsidP="00E671D9">
            <w:pPr>
              <w:jc w:val="right"/>
              <w:rPr>
                <w:sz w:val="18"/>
                <w:szCs w:val="18"/>
                <w:lang w:val="es-MX"/>
              </w:rPr>
            </w:pPr>
            <w:r w:rsidRPr="003E34E2">
              <w:rPr>
                <w:sz w:val="18"/>
                <w:szCs w:val="18"/>
                <w:lang w:val="es-MX"/>
              </w:rPr>
              <w:t>24</w:t>
            </w:r>
          </w:p>
        </w:tc>
      </w:tr>
      <w:tr w:rsidR="002D2A50" w:rsidRPr="003E34E2" w14:paraId="5B02CDD9" w14:textId="77777777" w:rsidTr="002D2A50">
        <w:trPr>
          <w:trHeight w:val="266"/>
          <w:jc w:val="center"/>
        </w:trPr>
        <w:tc>
          <w:tcPr>
            <w:tcW w:w="3992" w:type="pct"/>
            <w:gridSpan w:val="3"/>
            <w:tcBorders>
              <w:top w:val="single" w:sz="4" w:space="0" w:color="auto"/>
              <w:left w:val="single" w:sz="4" w:space="0" w:color="auto"/>
              <w:bottom w:val="single" w:sz="4" w:space="0" w:color="auto"/>
              <w:right w:val="single" w:sz="4" w:space="0" w:color="auto"/>
            </w:tcBorders>
          </w:tcPr>
          <w:p w14:paraId="3C7CB5AE" w14:textId="77777777" w:rsidR="002D2A50" w:rsidRPr="003E34E2" w:rsidRDefault="002D2A50" w:rsidP="00E671D9">
            <w:pPr>
              <w:rPr>
                <w:sz w:val="18"/>
                <w:szCs w:val="18"/>
                <w:lang w:val="es-MX"/>
              </w:rPr>
            </w:pPr>
            <w:r w:rsidRPr="003E34E2">
              <w:rPr>
                <w:sz w:val="18"/>
                <w:szCs w:val="18"/>
                <w:lang w:val="es-MX"/>
              </w:rPr>
              <w:t>Cantidad inicial solicitada ($EUA)</w:t>
            </w:r>
          </w:p>
        </w:tc>
        <w:tc>
          <w:tcPr>
            <w:tcW w:w="1008" w:type="pct"/>
            <w:tcBorders>
              <w:top w:val="single" w:sz="4" w:space="0" w:color="auto"/>
              <w:left w:val="single" w:sz="4" w:space="0" w:color="auto"/>
              <w:bottom w:val="single" w:sz="4" w:space="0" w:color="auto"/>
              <w:right w:val="single" w:sz="4" w:space="0" w:color="auto"/>
            </w:tcBorders>
          </w:tcPr>
          <w:p w14:paraId="1752B552" w14:textId="77777777" w:rsidR="002D2A50" w:rsidRPr="003E34E2" w:rsidRDefault="00FD4CC6" w:rsidP="00E671D9">
            <w:pPr>
              <w:jc w:val="right"/>
              <w:rPr>
                <w:sz w:val="18"/>
                <w:szCs w:val="18"/>
                <w:lang w:val="es-MX"/>
              </w:rPr>
            </w:pPr>
            <w:r w:rsidRPr="003E34E2">
              <w:rPr>
                <w:sz w:val="18"/>
                <w:szCs w:val="18"/>
                <w:lang w:val="es-MX"/>
              </w:rPr>
              <w:t>1.661.662</w:t>
            </w:r>
          </w:p>
        </w:tc>
      </w:tr>
      <w:tr w:rsidR="00076FA6" w:rsidRPr="003E34E2" w14:paraId="71ED3D1A" w14:textId="77777777" w:rsidTr="00076FA6">
        <w:trPr>
          <w:trHeight w:val="254"/>
          <w:jc w:val="center"/>
        </w:trPr>
        <w:tc>
          <w:tcPr>
            <w:tcW w:w="5000" w:type="pct"/>
            <w:gridSpan w:val="4"/>
            <w:tcBorders>
              <w:top w:val="single" w:sz="4" w:space="0" w:color="auto"/>
              <w:left w:val="single" w:sz="4" w:space="0" w:color="auto"/>
              <w:bottom w:val="single" w:sz="4" w:space="0" w:color="auto"/>
              <w:right w:val="single" w:sz="4" w:space="0" w:color="auto"/>
            </w:tcBorders>
          </w:tcPr>
          <w:p w14:paraId="33662D86" w14:textId="66885F92" w:rsidR="00076FA6" w:rsidRPr="003E34E2" w:rsidRDefault="00076FA6" w:rsidP="00076FA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highlight w:val="yellow"/>
                <w:lang w:val="es-MX"/>
              </w:rPr>
            </w:pPr>
            <w:r w:rsidRPr="003E34E2">
              <w:rPr>
                <w:sz w:val="18"/>
                <w:szCs w:val="18"/>
                <w:lang w:val="es-MX"/>
              </w:rPr>
              <w:t>Costo final del proyecto ($EUA)</w:t>
            </w:r>
          </w:p>
        </w:tc>
      </w:tr>
      <w:tr w:rsidR="002D2A50" w:rsidRPr="003E34E2" w14:paraId="1AE3AEE2" w14:textId="77777777" w:rsidTr="002D2A50">
        <w:trPr>
          <w:trHeight w:val="243"/>
          <w:jc w:val="center"/>
        </w:trPr>
        <w:tc>
          <w:tcPr>
            <w:tcW w:w="622" w:type="pct"/>
            <w:tcBorders>
              <w:top w:val="single" w:sz="4" w:space="0" w:color="auto"/>
              <w:left w:val="single" w:sz="4" w:space="0" w:color="auto"/>
              <w:bottom w:val="single" w:sz="4" w:space="0" w:color="auto"/>
              <w:right w:val="nil"/>
            </w:tcBorders>
          </w:tcPr>
          <w:p w14:paraId="354DFCF7"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3370" w:type="pct"/>
            <w:gridSpan w:val="2"/>
            <w:tcBorders>
              <w:top w:val="single" w:sz="4" w:space="0" w:color="auto"/>
              <w:left w:val="nil"/>
              <w:bottom w:val="single" w:sz="4" w:space="0" w:color="auto"/>
              <w:right w:val="single" w:sz="4" w:space="0" w:color="auto"/>
            </w:tcBorders>
          </w:tcPr>
          <w:p w14:paraId="0BEE6693"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Costos adicionales de capital</w:t>
            </w:r>
          </w:p>
        </w:tc>
        <w:tc>
          <w:tcPr>
            <w:tcW w:w="1008" w:type="pct"/>
            <w:tcBorders>
              <w:top w:val="single" w:sz="4" w:space="0" w:color="auto"/>
              <w:left w:val="single" w:sz="4" w:space="0" w:color="auto"/>
              <w:bottom w:val="single" w:sz="4" w:space="0" w:color="auto"/>
              <w:right w:val="single" w:sz="4" w:space="0" w:color="auto"/>
            </w:tcBorders>
          </w:tcPr>
          <w:p w14:paraId="53E1DCE2" w14:textId="77777777" w:rsidR="002D2A50" w:rsidRPr="003E34E2" w:rsidRDefault="00F10D7B"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 xml:space="preserve">3.020.000 </w:t>
            </w:r>
          </w:p>
        </w:tc>
      </w:tr>
      <w:tr w:rsidR="002D2A50" w:rsidRPr="003E34E2" w14:paraId="017DF17B" w14:textId="77777777" w:rsidTr="002D2A50">
        <w:trPr>
          <w:trHeight w:val="243"/>
          <w:jc w:val="center"/>
        </w:trPr>
        <w:tc>
          <w:tcPr>
            <w:tcW w:w="622" w:type="pct"/>
            <w:tcBorders>
              <w:top w:val="single" w:sz="4" w:space="0" w:color="auto"/>
              <w:left w:val="single" w:sz="4" w:space="0" w:color="auto"/>
              <w:bottom w:val="single" w:sz="4" w:space="0" w:color="auto"/>
              <w:right w:val="nil"/>
            </w:tcBorders>
          </w:tcPr>
          <w:p w14:paraId="2BB8D358"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3370" w:type="pct"/>
            <w:gridSpan w:val="2"/>
            <w:tcBorders>
              <w:top w:val="single" w:sz="4" w:space="0" w:color="auto"/>
              <w:left w:val="nil"/>
              <w:bottom w:val="single" w:sz="4" w:space="0" w:color="auto"/>
              <w:right w:val="single" w:sz="4" w:space="0" w:color="auto"/>
            </w:tcBorders>
          </w:tcPr>
          <w:p w14:paraId="6C909622"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Imprevistos (10%)</w:t>
            </w:r>
          </w:p>
        </w:tc>
        <w:tc>
          <w:tcPr>
            <w:tcW w:w="1008" w:type="pct"/>
            <w:tcBorders>
              <w:top w:val="single" w:sz="4" w:space="0" w:color="auto"/>
              <w:left w:val="single" w:sz="4" w:space="0" w:color="auto"/>
              <w:bottom w:val="single" w:sz="4" w:space="0" w:color="auto"/>
              <w:right w:val="single" w:sz="4" w:space="0" w:color="auto"/>
            </w:tcBorders>
          </w:tcPr>
          <w:p w14:paraId="01DC74EA" w14:textId="77777777" w:rsidR="002D2A50" w:rsidRPr="003E34E2" w:rsidRDefault="00F10D7B"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302.000</w:t>
            </w:r>
          </w:p>
        </w:tc>
      </w:tr>
      <w:tr w:rsidR="002D2A50" w:rsidRPr="003E34E2" w14:paraId="3F6233D7" w14:textId="77777777" w:rsidTr="002D2A50">
        <w:trPr>
          <w:trHeight w:val="254"/>
          <w:jc w:val="center"/>
        </w:trPr>
        <w:tc>
          <w:tcPr>
            <w:tcW w:w="622" w:type="pct"/>
            <w:tcBorders>
              <w:top w:val="single" w:sz="4" w:space="0" w:color="auto"/>
              <w:left w:val="single" w:sz="4" w:space="0" w:color="auto"/>
              <w:bottom w:val="single" w:sz="4" w:space="0" w:color="auto"/>
              <w:right w:val="nil"/>
            </w:tcBorders>
          </w:tcPr>
          <w:p w14:paraId="57A59F33"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3370" w:type="pct"/>
            <w:gridSpan w:val="2"/>
            <w:tcBorders>
              <w:top w:val="single" w:sz="4" w:space="0" w:color="auto"/>
              <w:left w:val="nil"/>
              <w:bottom w:val="single" w:sz="4" w:space="0" w:color="auto"/>
              <w:right w:val="single" w:sz="4" w:space="0" w:color="auto"/>
            </w:tcBorders>
          </w:tcPr>
          <w:p w14:paraId="07D95C1D"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Costos de explotación adicionales</w:t>
            </w:r>
          </w:p>
        </w:tc>
        <w:tc>
          <w:tcPr>
            <w:tcW w:w="1008" w:type="pct"/>
            <w:tcBorders>
              <w:top w:val="single" w:sz="4" w:space="0" w:color="auto"/>
              <w:left w:val="single" w:sz="4" w:space="0" w:color="auto"/>
              <w:bottom w:val="single" w:sz="4" w:space="0" w:color="auto"/>
              <w:right w:val="single" w:sz="4" w:space="0" w:color="auto"/>
            </w:tcBorders>
          </w:tcPr>
          <w:p w14:paraId="38AF7D2F" w14:textId="77777777" w:rsidR="002D2A50" w:rsidRPr="003E34E2" w:rsidRDefault="00386BF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0</w:t>
            </w:r>
          </w:p>
        </w:tc>
      </w:tr>
      <w:tr w:rsidR="002D2A50" w:rsidRPr="003E34E2" w14:paraId="0C8A4C54" w14:textId="77777777" w:rsidTr="002D2A50">
        <w:trPr>
          <w:trHeight w:val="254"/>
          <w:jc w:val="center"/>
        </w:trPr>
        <w:tc>
          <w:tcPr>
            <w:tcW w:w="622" w:type="pct"/>
            <w:tcBorders>
              <w:top w:val="single" w:sz="4" w:space="0" w:color="auto"/>
              <w:left w:val="single" w:sz="4" w:space="0" w:color="auto"/>
              <w:bottom w:val="single" w:sz="4" w:space="0" w:color="auto"/>
              <w:right w:val="nil"/>
            </w:tcBorders>
          </w:tcPr>
          <w:p w14:paraId="356B88B0"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3370" w:type="pct"/>
            <w:gridSpan w:val="2"/>
            <w:tcBorders>
              <w:top w:val="single" w:sz="4" w:space="0" w:color="auto"/>
              <w:left w:val="nil"/>
              <w:bottom w:val="single" w:sz="4" w:space="0" w:color="auto"/>
              <w:right w:val="single" w:sz="4" w:space="0" w:color="auto"/>
            </w:tcBorders>
          </w:tcPr>
          <w:p w14:paraId="796789A5" w14:textId="77777777" w:rsidR="002D2A50" w:rsidRPr="003E34E2" w:rsidRDefault="00FD4CC6"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 xml:space="preserve">Costo total del proyecto </w:t>
            </w:r>
          </w:p>
        </w:tc>
        <w:tc>
          <w:tcPr>
            <w:tcW w:w="1008" w:type="pct"/>
            <w:tcBorders>
              <w:top w:val="single" w:sz="4" w:space="0" w:color="auto"/>
              <w:left w:val="single" w:sz="4" w:space="0" w:color="auto"/>
              <w:bottom w:val="single" w:sz="4" w:space="0" w:color="auto"/>
              <w:right w:val="single" w:sz="4" w:space="0" w:color="auto"/>
            </w:tcBorders>
          </w:tcPr>
          <w:p w14:paraId="14188A9C" w14:textId="77777777" w:rsidR="002D2A50" w:rsidRPr="003E34E2" w:rsidRDefault="00F10D7B"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3.322.000</w:t>
            </w:r>
          </w:p>
        </w:tc>
      </w:tr>
      <w:tr w:rsidR="002D2A50" w:rsidRPr="003E34E2" w14:paraId="48BCB65C" w14:textId="77777777" w:rsidTr="002D2A50">
        <w:trPr>
          <w:trHeight w:val="266"/>
          <w:jc w:val="center"/>
        </w:trPr>
        <w:tc>
          <w:tcPr>
            <w:tcW w:w="3992" w:type="pct"/>
            <w:gridSpan w:val="3"/>
            <w:tcBorders>
              <w:top w:val="single" w:sz="4" w:space="0" w:color="auto"/>
              <w:left w:val="single" w:sz="4" w:space="0" w:color="auto"/>
              <w:bottom w:val="single" w:sz="4" w:space="0" w:color="auto"/>
              <w:right w:val="single" w:sz="4" w:space="0" w:color="auto"/>
            </w:tcBorders>
          </w:tcPr>
          <w:p w14:paraId="309EFB33" w14:textId="77777777" w:rsidR="002D2A50" w:rsidRPr="003E34E2" w:rsidRDefault="002D2A50" w:rsidP="00E671D9">
            <w:pPr>
              <w:widowControl w:val="0"/>
              <w:tabs>
                <w:tab w:val="center" w:pos="4320"/>
                <w:tab w:val="right" w:pos="8640"/>
                <w:tab w:val="left" w:pos="9000"/>
              </w:tabs>
              <w:jc w:val="left"/>
              <w:rPr>
                <w:snapToGrid w:val="0"/>
                <w:sz w:val="18"/>
                <w:szCs w:val="18"/>
                <w:lang w:val="es-MX"/>
              </w:rPr>
            </w:pPr>
            <w:r w:rsidRPr="003E34E2">
              <w:rPr>
                <w:sz w:val="18"/>
                <w:szCs w:val="18"/>
                <w:lang w:val="es-MX"/>
              </w:rPr>
              <w:t>Participación local (%)</w:t>
            </w:r>
          </w:p>
        </w:tc>
        <w:tc>
          <w:tcPr>
            <w:tcW w:w="1008" w:type="pct"/>
            <w:tcBorders>
              <w:top w:val="single" w:sz="4" w:space="0" w:color="auto"/>
              <w:left w:val="single" w:sz="4" w:space="0" w:color="auto"/>
              <w:bottom w:val="single" w:sz="4" w:space="0" w:color="auto"/>
              <w:right w:val="single" w:sz="4" w:space="0" w:color="auto"/>
            </w:tcBorders>
          </w:tcPr>
          <w:p w14:paraId="5E178E58" w14:textId="77777777" w:rsidR="002D2A50" w:rsidRPr="003E34E2" w:rsidRDefault="002D2A50" w:rsidP="00E671D9">
            <w:pPr>
              <w:widowControl w:val="0"/>
              <w:tabs>
                <w:tab w:val="center" w:pos="4320"/>
                <w:tab w:val="right" w:pos="8640"/>
                <w:tab w:val="left" w:pos="9000"/>
              </w:tabs>
              <w:jc w:val="right"/>
              <w:rPr>
                <w:sz w:val="18"/>
                <w:szCs w:val="18"/>
                <w:lang w:val="es-MX"/>
              </w:rPr>
            </w:pPr>
            <w:r w:rsidRPr="003E34E2">
              <w:rPr>
                <w:sz w:val="18"/>
                <w:szCs w:val="18"/>
                <w:lang w:val="es-MX"/>
              </w:rPr>
              <w:t>89,39</w:t>
            </w:r>
          </w:p>
        </w:tc>
      </w:tr>
      <w:tr w:rsidR="002D2A50" w:rsidRPr="003E34E2" w14:paraId="6B0D5FAC" w14:textId="77777777" w:rsidTr="002D2A50">
        <w:trPr>
          <w:trHeight w:val="243"/>
          <w:jc w:val="center"/>
        </w:trPr>
        <w:tc>
          <w:tcPr>
            <w:tcW w:w="3992" w:type="pct"/>
            <w:gridSpan w:val="3"/>
            <w:tcBorders>
              <w:top w:val="single" w:sz="4" w:space="0" w:color="auto"/>
              <w:left w:val="single" w:sz="4" w:space="0" w:color="auto"/>
              <w:bottom w:val="single" w:sz="4" w:space="0" w:color="auto"/>
              <w:right w:val="single" w:sz="4" w:space="0" w:color="auto"/>
            </w:tcBorders>
          </w:tcPr>
          <w:p w14:paraId="0AACD2F3" w14:textId="77777777" w:rsidR="002D2A50" w:rsidRPr="003E34E2" w:rsidRDefault="002D2A5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Componente exportación fuera del Art. 5 (%)</w:t>
            </w:r>
          </w:p>
        </w:tc>
        <w:tc>
          <w:tcPr>
            <w:tcW w:w="1008" w:type="pct"/>
            <w:tcBorders>
              <w:top w:val="single" w:sz="4" w:space="0" w:color="auto"/>
              <w:left w:val="single" w:sz="4" w:space="0" w:color="auto"/>
              <w:bottom w:val="single" w:sz="4" w:space="0" w:color="auto"/>
              <w:right w:val="single" w:sz="4" w:space="0" w:color="auto"/>
            </w:tcBorders>
          </w:tcPr>
          <w:p w14:paraId="23255A7E" w14:textId="77777777" w:rsidR="002D2A50" w:rsidRPr="003E34E2" w:rsidRDefault="002D2A50" w:rsidP="0038702D">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7,00</w:t>
            </w:r>
          </w:p>
        </w:tc>
      </w:tr>
      <w:tr w:rsidR="00F10D7B" w:rsidRPr="003E34E2" w14:paraId="3A07C207" w14:textId="77777777" w:rsidTr="002D2A50">
        <w:trPr>
          <w:trHeight w:val="243"/>
          <w:jc w:val="center"/>
        </w:trPr>
        <w:tc>
          <w:tcPr>
            <w:tcW w:w="3992" w:type="pct"/>
            <w:gridSpan w:val="3"/>
            <w:tcBorders>
              <w:top w:val="single" w:sz="4" w:space="0" w:color="auto"/>
              <w:left w:val="single" w:sz="4" w:space="0" w:color="auto"/>
              <w:bottom w:val="single" w:sz="4" w:space="0" w:color="auto"/>
              <w:right w:val="single" w:sz="4" w:space="0" w:color="auto"/>
            </w:tcBorders>
          </w:tcPr>
          <w:p w14:paraId="7B1C49C2" w14:textId="77777777" w:rsidR="00F10D7B" w:rsidRPr="003E34E2" w:rsidDel="003D27ED" w:rsidRDefault="00F10D7B"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Cofinanciación</w:t>
            </w:r>
          </w:p>
        </w:tc>
        <w:tc>
          <w:tcPr>
            <w:tcW w:w="1008" w:type="pct"/>
            <w:tcBorders>
              <w:top w:val="single" w:sz="4" w:space="0" w:color="auto"/>
              <w:left w:val="single" w:sz="4" w:space="0" w:color="auto"/>
              <w:bottom w:val="single" w:sz="4" w:space="0" w:color="auto"/>
              <w:right w:val="single" w:sz="4" w:space="0" w:color="auto"/>
            </w:tcBorders>
          </w:tcPr>
          <w:p w14:paraId="0746967C" w14:textId="77777777" w:rsidR="00F10D7B" w:rsidRPr="003E34E2" w:rsidRDefault="00F10D7B" w:rsidP="0038702D">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1.664.000</w:t>
            </w:r>
          </w:p>
        </w:tc>
      </w:tr>
      <w:tr w:rsidR="00253EEE" w:rsidRPr="003E34E2" w14:paraId="2DFC000E" w14:textId="77777777" w:rsidTr="002D2A50">
        <w:trPr>
          <w:trHeight w:val="254"/>
          <w:jc w:val="center"/>
        </w:trPr>
        <w:tc>
          <w:tcPr>
            <w:tcW w:w="3992" w:type="pct"/>
            <w:gridSpan w:val="3"/>
            <w:tcBorders>
              <w:top w:val="single" w:sz="4" w:space="0" w:color="auto"/>
              <w:left w:val="single" w:sz="4" w:space="0" w:color="auto"/>
              <w:bottom w:val="single" w:sz="4" w:space="0" w:color="auto"/>
              <w:right w:val="single" w:sz="4" w:space="0" w:color="auto"/>
            </w:tcBorders>
          </w:tcPr>
          <w:p w14:paraId="56AB5C1C" w14:textId="77777777" w:rsidR="00253EEE" w:rsidRPr="003E34E2" w:rsidRDefault="00253EEE"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Subvención solicitada ($EUA)</w:t>
            </w:r>
          </w:p>
        </w:tc>
        <w:tc>
          <w:tcPr>
            <w:tcW w:w="1008" w:type="pct"/>
            <w:tcBorders>
              <w:top w:val="single" w:sz="4" w:space="0" w:color="auto"/>
              <w:left w:val="single" w:sz="4" w:space="0" w:color="auto"/>
              <w:bottom w:val="single" w:sz="4" w:space="0" w:color="auto"/>
              <w:right w:val="single" w:sz="4" w:space="0" w:color="auto"/>
            </w:tcBorders>
          </w:tcPr>
          <w:p w14:paraId="06F988A6" w14:textId="77777777" w:rsidR="00253EEE" w:rsidRPr="003E34E2" w:rsidRDefault="00386BF0" w:rsidP="00F10D7B">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 xml:space="preserve">1.305.536 </w:t>
            </w:r>
          </w:p>
        </w:tc>
      </w:tr>
      <w:tr w:rsidR="009F683C" w:rsidRPr="003E34E2" w14:paraId="242A4904" w14:textId="77777777" w:rsidTr="008651FB">
        <w:trPr>
          <w:trHeight w:val="254"/>
          <w:jc w:val="center"/>
        </w:trPr>
        <w:tc>
          <w:tcPr>
            <w:tcW w:w="3126" w:type="pct"/>
            <w:gridSpan w:val="2"/>
            <w:vMerge w:val="restart"/>
            <w:tcBorders>
              <w:top w:val="single" w:sz="4" w:space="0" w:color="auto"/>
              <w:left w:val="single" w:sz="4" w:space="0" w:color="auto"/>
              <w:right w:val="single" w:sz="4" w:space="0" w:color="auto"/>
            </w:tcBorders>
            <w:vAlign w:val="center"/>
          </w:tcPr>
          <w:p w14:paraId="379AD1F5"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 xml:space="preserve">Relación de costo a eficacia </w:t>
            </w:r>
          </w:p>
        </w:tc>
        <w:tc>
          <w:tcPr>
            <w:tcW w:w="866" w:type="pct"/>
            <w:tcBorders>
              <w:top w:val="single" w:sz="4" w:space="0" w:color="auto"/>
              <w:left w:val="single" w:sz="4" w:space="0" w:color="auto"/>
              <w:bottom w:val="single" w:sz="4" w:space="0" w:color="auto"/>
              <w:right w:val="single" w:sz="4" w:space="0" w:color="auto"/>
            </w:tcBorders>
          </w:tcPr>
          <w:p w14:paraId="497578AC" w14:textId="77777777" w:rsidR="009F683C" w:rsidRPr="003E34E2" w:rsidRDefault="00270ACD"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r w:rsidRPr="003E34E2">
              <w:rPr>
                <w:sz w:val="18"/>
                <w:szCs w:val="18"/>
                <w:lang w:val="es-MX"/>
              </w:rPr>
              <w:t>$EUA/kg</w:t>
            </w:r>
          </w:p>
        </w:tc>
        <w:tc>
          <w:tcPr>
            <w:tcW w:w="1008" w:type="pct"/>
            <w:tcBorders>
              <w:top w:val="single" w:sz="4" w:space="0" w:color="auto"/>
              <w:left w:val="single" w:sz="4" w:space="0" w:color="auto"/>
              <w:bottom w:val="single" w:sz="4" w:space="0" w:color="auto"/>
              <w:right w:val="single" w:sz="4" w:space="0" w:color="auto"/>
            </w:tcBorders>
          </w:tcPr>
          <w:p w14:paraId="3AA34211" w14:textId="77777777" w:rsidR="009F683C" w:rsidRPr="003E34E2" w:rsidRDefault="00386BF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n/a</w:t>
            </w:r>
          </w:p>
        </w:tc>
      </w:tr>
      <w:tr w:rsidR="009F683C" w:rsidRPr="003E34E2" w14:paraId="232C07C2" w14:textId="77777777" w:rsidTr="00253EEE">
        <w:trPr>
          <w:trHeight w:val="269"/>
          <w:jc w:val="center"/>
        </w:trPr>
        <w:tc>
          <w:tcPr>
            <w:tcW w:w="3126" w:type="pct"/>
            <w:gridSpan w:val="2"/>
            <w:vMerge/>
            <w:tcBorders>
              <w:left w:val="single" w:sz="4" w:space="0" w:color="auto"/>
              <w:bottom w:val="single" w:sz="4" w:space="0" w:color="auto"/>
              <w:right w:val="single" w:sz="4" w:space="0" w:color="auto"/>
            </w:tcBorders>
          </w:tcPr>
          <w:p w14:paraId="053FD2D5" w14:textId="77777777" w:rsidR="009F683C" w:rsidRPr="003E34E2" w:rsidRDefault="009F683C"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es-MX"/>
              </w:rPr>
            </w:pPr>
          </w:p>
        </w:tc>
        <w:tc>
          <w:tcPr>
            <w:tcW w:w="866" w:type="pct"/>
            <w:tcBorders>
              <w:top w:val="single" w:sz="4" w:space="0" w:color="auto"/>
              <w:left w:val="single" w:sz="4" w:space="0" w:color="auto"/>
              <w:bottom w:val="single" w:sz="4" w:space="0" w:color="auto"/>
              <w:right w:val="single" w:sz="4" w:space="0" w:color="auto"/>
            </w:tcBorders>
          </w:tcPr>
          <w:p w14:paraId="7C87E794" w14:textId="77777777" w:rsidR="009F683C" w:rsidRPr="003E34E2" w:rsidRDefault="00270ACD"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18"/>
                <w:szCs w:val="18"/>
                <w:lang w:val="fr-CA"/>
              </w:rPr>
            </w:pPr>
            <w:r w:rsidRPr="003E34E2">
              <w:rPr>
                <w:sz w:val="18"/>
                <w:szCs w:val="18"/>
                <w:lang w:val="fr-CA"/>
              </w:rPr>
              <w:t>$EUA/t eq. de CO</w:t>
            </w:r>
            <w:r w:rsidRPr="003E34E2">
              <w:rPr>
                <w:sz w:val="18"/>
                <w:szCs w:val="18"/>
                <w:vertAlign w:val="subscript"/>
                <w:lang w:val="fr-CA"/>
              </w:rPr>
              <w:t>2</w:t>
            </w:r>
          </w:p>
        </w:tc>
        <w:tc>
          <w:tcPr>
            <w:tcW w:w="1008" w:type="pct"/>
            <w:tcBorders>
              <w:top w:val="single" w:sz="4" w:space="0" w:color="auto"/>
              <w:left w:val="single" w:sz="4" w:space="0" w:color="auto"/>
              <w:bottom w:val="single" w:sz="4" w:space="0" w:color="auto"/>
              <w:right w:val="single" w:sz="4" w:space="0" w:color="auto"/>
            </w:tcBorders>
          </w:tcPr>
          <w:p w14:paraId="04CC0D6F" w14:textId="77777777" w:rsidR="009F683C" w:rsidRPr="003E34E2" w:rsidRDefault="00386BF0"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n/a</w:t>
            </w:r>
          </w:p>
        </w:tc>
      </w:tr>
      <w:tr w:rsidR="00076FA6" w:rsidRPr="003E34E2" w14:paraId="1A54AA40" w14:textId="77777777" w:rsidTr="00076FA6">
        <w:trPr>
          <w:trHeight w:val="243"/>
          <w:jc w:val="center"/>
        </w:trPr>
        <w:tc>
          <w:tcPr>
            <w:tcW w:w="3992" w:type="pct"/>
            <w:gridSpan w:val="3"/>
            <w:tcBorders>
              <w:top w:val="single" w:sz="4" w:space="0" w:color="auto"/>
              <w:left w:val="single" w:sz="4" w:space="0" w:color="auto"/>
              <w:bottom w:val="single" w:sz="4" w:space="0" w:color="auto"/>
              <w:right w:val="single" w:sz="4" w:space="0" w:color="auto"/>
            </w:tcBorders>
          </w:tcPr>
          <w:p w14:paraId="0871A31D" w14:textId="38797C8F" w:rsidR="00076FA6" w:rsidRPr="003E34E2" w:rsidRDefault="00076FA6" w:rsidP="00076FA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18"/>
                <w:szCs w:val="18"/>
                <w:lang w:val="es-MX"/>
              </w:rPr>
            </w:pPr>
            <w:r w:rsidRPr="003E34E2">
              <w:rPr>
                <w:sz w:val="18"/>
                <w:szCs w:val="18"/>
                <w:lang w:val="es-MX"/>
              </w:rPr>
              <w:t xml:space="preserve">Gastos de apoyo al organismo de ejecución ($EUA) </w:t>
            </w:r>
          </w:p>
        </w:tc>
        <w:tc>
          <w:tcPr>
            <w:tcW w:w="1008" w:type="pct"/>
            <w:tcBorders>
              <w:top w:val="single" w:sz="4" w:space="0" w:color="auto"/>
              <w:left w:val="single" w:sz="4" w:space="0" w:color="auto"/>
              <w:bottom w:val="single" w:sz="4" w:space="0" w:color="auto"/>
              <w:right w:val="single" w:sz="4" w:space="0" w:color="auto"/>
            </w:tcBorders>
          </w:tcPr>
          <w:p w14:paraId="0A8B3A9F" w14:textId="77777777" w:rsidR="00076FA6" w:rsidRPr="003E34E2" w:rsidRDefault="00076FA6" w:rsidP="00F10D7B">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18"/>
                <w:szCs w:val="18"/>
                <w:lang w:val="es-MX"/>
              </w:rPr>
            </w:pPr>
            <w:r w:rsidRPr="003E34E2">
              <w:rPr>
                <w:sz w:val="18"/>
                <w:szCs w:val="18"/>
                <w:lang w:val="es-MX"/>
              </w:rPr>
              <w:t xml:space="preserve">91.388 </w:t>
            </w:r>
          </w:p>
        </w:tc>
      </w:tr>
      <w:tr w:rsidR="00076FA6" w:rsidRPr="003E34E2" w14:paraId="07CBED44" w14:textId="77777777" w:rsidTr="00076FA6">
        <w:trPr>
          <w:trHeight w:val="254"/>
          <w:jc w:val="center"/>
        </w:trPr>
        <w:tc>
          <w:tcPr>
            <w:tcW w:w="3992" w:type="pct"/>
            <w:gridSpan w:val="3"/>
            <w:tcBorders>
              <w:top w:val="single" w:sz="4" w:space="0" w:color="auto"/>
              <w:left w:val="single" w:sz="4" w:space="0" w:color="auto"/>
              <w:bottom w:val="single" w:sz="4" w:space="0" w:color="auto"/>
              <w:right w:val="single" w:sz="4" w:space="0" w:color="auto"/>
            </w:tcBorders>
          </w:tcPr>
          <w:p w14:paraId="4555CBF3" w14:textId="2F6D0385" w:rsidR="00076FA6" w:rsidRPr="003E34E2" w:rsidRDefault="00076FA6" w:rsidP="00076FA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bCs/>
                <w:sz w:val="18"/>
                <w:szCs w:val="18"/>
                <w:lang w:val="es-MX"/>
              </w:rPr>
            </w:pPr>
            <w:r w:rsidRPr="003E34E2">
              <w:rPr>
                <w:bCs/>
                <w:sz w:val="18"/>
                <w:szCs w:val="18"/>
                <w:lang w:val="es-MX"/>
              </w:rPr>
              <w:t>Costo total del proyecto para el Fondo Multilateral ($EUA)</w:t>
            </w:r>
          </w:p>
        </w:tc>
        <w:tc>
          <w:tcPr>
            <w:tcW w:w="1008" w:type="pct"/>
            <w:tcBorders>
              <w:top w:val="single" w:sz="4" w:space="0" w:color="auto"/>
              <w:left w:val="single" w:sz="4" w:space="0" w:color="auto"/>
              <w:bottom w:val="single" w:sz="4" w:space="0" w:color="auto"/>
              <w:right w:val="single" w:sz="4" w:space="0" w:color="auto"/>
            </w:tcBorders>
          </w:tcPr>
          <w:p w14:paraId="077DFFD3" w14:textId="77777777" w:rsidR="00076FA6" w:rsidRPr="003E34E2" w:rsidRDefault="00076FA6" w:rsidP="00F10D7B">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bCs/>
                <w:sz w:val="18"/>
                <w:szCs w:val="18"/>
                <w:lang w:val="es-MX"/>
              </w:rPr>
            </w:pPr>
            <w:r w:rsidRPr="003E34E2">
              <w:rPr>
                <w:bCs/>
                <w:sz w:val="18"/>
                <w:szCs w:val="18"/>
                <w:lang w:val="es-MX"/>
              </w:rPr>
              <w:t xml:space="preserve">1.396.923 </w:t>
            </w:r>
          </w:p>
        </w:tc>
      </w:tr>
      <w:tr w:rsidR="00076FA6" w:rsidRPr="003E34E2" w:rsidDel="009F683C" w14:paraId="221F5FE6" w14:textId="77777777" w:rsidTr="00076FA6">
        <w:trPr>
          <w:trHeight w:val="254"/>
          <w:jc w:val="center"/>
        </w:trPr>
        <w:tc>
          <w:tcPr>
            <w:tcW w:w="3992" w:type="pct"/>
            <w:gridSpan w:val="3"/>
            <w:tcBorders>
              <w:top w:val="single" w:sz="4" w:space="0" w:color="auto"/>
              <w:left w:val="single" w:sz="4" w:space="0" w:color="auto"/>
              <w:bottom w:val="single" w:sz="4" w:space="0" w:color="auto"/>
              <w:right w:val="single" w:sz="4" w:space="0" w:color="auto"/>
            </w:tcBorders>
          </w:tcPr>
          <w:p w14:paraId="56AEF243" w14:textId="5916EE3A" w:rsidR="00076FA6" w:rsidRPr="003E34E2" w:rsidRDefault="00076FA6" w:rsidP="00076FA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bCs/>
                <w:sz w:val="18"/>
                <w:szCs w:val="18"/>
                <w:lang w:val="es-MX"/>
              </w:rPr>
            </w:pPr>
            <w:r w:rsidRPr="003E34E2">
              <w:rPr>
                <w:bCs/>
                <w:sz w:val="18"/>
                <w:szCs w:val="18"/>
                <w:lang w:val="es-MX"/>
              </w:rPr>
              <w:t>Estado de financiación de contraparte (S/N)</w:t>
            </w:r>
          </w:p>
        </w:tc>
        <w:tc>
          <w:tcPr>
            <w:tcW w:w="1008" w:type="pct"/>
            <w:tcBorders>
              <w:top w:val="single" w:sz="4" w:space="0" w:color="auto"/>
              <w:left w:val="single" w:sz="4" w:space="0" w:color="auto"/>
              <w:bottom w:val="single" w:sz="4" w:space="0" w:color="auto"/>
              <w:right w:val="single" w:sz="4" w:space="0" w:color="auto"/>
            </w:tcBorders>
          </w:tcPr>
          <w:p w14:paraId="1090E7F5" w14:textId="77777777" w:rsidR="00076FA6" w:rsidRPr="003E34E2" w:rsidDel="009F683C" w:rsidRDefault="00076FA6"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bCs/>
                <w:sz w:val="18"/>
                <w:szCs w:val="18"/>
                <w:lang w:val="es-MX"/>
              </w:rPr>
            </w:pPr>
            <w:r w:rsidRPr="003E34E2">
              <w:rPr>
                <w:bCs/>
                <w:sz w:val="18"/>
                <w:szCs w:val="18"/>
                <w:lang w:val="es-MX"/>
              </w:rPr>
              <w:t>Sí</w:t>
            </w:r>
          </w:p>
        </w:tc>
      </w:tr>
      <w:tr w:rsidR="00076FA6" w:rsidRPr="003E34E2" w14:paraId="25828568" w14:textId="77777777" w:rsidTr="00076FA6">
        <w:trPr>
          <w:trHeight w:val="254"/>
          <w:jc w:val="center"/>
        </w:trPr>
        <w:tc>
          <w:tcPr>
            <w:tcW w:w="3992" w:type="pct"/>
            <w:gridSpan w:val="3"/>
            <w:tcBorders>
              <w:top w:val="single" w:sz="4" w:space="0" w:color="auto"/>
              <w:left w:val="single" w:sz="4" w:space="0" w:color="auto"/>
              <w:bottom w:val="single" w:sz="4" w:space="0" w:color="auto"/>
              <w:right w:val="single" w:sz="4" w:space="0" w:color="auto"/>
            </w:tcBorders>
          </w:tcPr>
          <w:p w14:paraId="508AF840" w14:textId="759813BE" w:rsidR="00076FA6" w:rsidRPr="003E34E2" w:rsidRDefault="00076FA6" w:rsidP="00076FA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bCs/>
                <w:sz w:val="18"/>
                <w:szCs w:val="18"/>
                <w:lang w:val="es-MX"/>
              </w:rPr>
            </w:pPr>
            <w:r w:rsidRPr="003E34E2">
              <w:rPr>
                <w:bCs/>
                <w:sz w:val="18"/>
                <w:szCs w:val="18"/>
                <w:lang w:val="es-MX"/>
              </w:rPr>
              <w:t>Inclusión de hitos de la supervisión del proyecto (S/N)</w:t>
            </w:r>
          </w:p>
        </w:tc>
        <w:tc>
          <w:tcPr>
            <w:tcW w:w="1008" w:type="pct"/>
            <w:tcBorders>
              <w:top w:val="single" w:sz="4" w:space="0" w:color="auto"/>
              <w:left w:val="single" w:sz="4" w:space="0" w:color="auto"/>
              <w:bottom w:val="single" w:sz="4" w:space="0" w:color="auto"/>
              <w:right w:val="single" w:sz="4" w:space="0" w:color="auto"/>
            </w:tcBorders>
          </w:tcPr>
          <w:p w14:paraId="7E628B2F" w14:textId="77777777" w:rsidR="00076FA6" w:rsidRPr="003E34E2" w:rsidRDefault="00076FA6" w:rsidP="00E671D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bCs/>
                <w:sz w:val="18"/>
                <w:szCs w:val="18"/>
                <w:lang w:val="es-MX"/>
              </w:rPr>
            </w:pPr>
            <w:r w:rsidRPr="003E34E2">
              <w:rPr>
                <w:bCs/>
                <w:sz w:val="18"/>
                <w:szCs w:val="18"/>
                <w:lang w:val="es-MX"/>
              </w:rPr>
              <w:t>Sí</w:t>
            </w:r>
          </w:p>
        </w:tc>
      </w:tr>
    </w:tbl>
    <w:p w14:paraId="1B44C006" w14:textId="77777777" w:rsidR="008C5738" w:rsidRPr="003E34E2" w:rsidRDefault="008C5738" w:rsidP="00E671D9">
      <w:pPr>
        <w:pStyle w:val="StyleHeader4Para4Left0Firstline0"/>
        <w:numPr>
          <w:ilvl w:val="0"/>
          <w:numId w:val="0"/>
        </w:numPr>
        <w:spacing w:after="0"/>
        <w:rPr>
          <w:sz w:val="18"/>
          <w:szCs w:val="18"/>
          <w:lang w:val="es-MX"/>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3589"/>
      </w:tblGrid>
      <w:tr w:rsidR="009F683C" w:rsidRPr="003E34E2" w14:paraId="31ABB516" w14:textId="77777777" w:rsidTr="000F4856">
        <w:trPr>
          <w:trHeight w:val="89"/>
          <w:jc w:val="center"/>
        </w:trPr>
        <w:tc>
          <w:tcPr>
            <w:tcW w:w="5845" w:type="dxa"/>
            <w:tcBorders>
              <w:top w:val="single" w:sz="4" w:space="0" w:color="auto"/>
              <w:left w:val="single" w:sz="4" w:space="0" w:color="auto"/>
              <w:bottom w:val="single" w:sz="4" w:space="0" w:color="auto"/>
              <w:right w:val="single" w:sz="4" w:space="0" w:color="auto"/>
            </w:tcBorders>
          </w:tcPr>
          <w:p w14:paraId="37876678" w14:textId="77777777" w:rsidR="009F683C" w:rsidRPr="003E34E2" w:rsidRDefault="009F683C" w:rsidP="00E671D9">
            <w:pPr>
              <w:rPr>
                <w:b/>
                <w:sz w:val="18"/>
                <w:szCs w:val="18"/>
                <w:lang w:val="es-MX"/>
              </w:rPr>
            </w:pPr>
            <w:r w:rsidRPr="003E34E2">
              <w:rPr>
                <w:b/>
                <w:sz w:val="18"/>
                <w:szCs w:val="18"/>
                <w:lang w:val="es-MX"/>
              </w:rPr>
              <w:t>RECOMENDACIÓN DE LA SECRETARÍA</w:t>
            </w:r>
          </w:p>
        </w:tc>
        <w:tc>
          <w:tcPr>
            <w:tcW w:w="3589" w:type="dxa"/>
            <w:tcBorders>
              <w:top w:val="single" w:sz="4" w:space="0" w:color="auto"/>
              <w:left w:val="single" w:sz="4" w:space="0" w:color="auto"/>
              <w:bottom w:val="single" w:sz="4" w:space="0" w:color="auto"/>
              <w:right w:val="single" w:sz="4" w:space="0" w:color="auto"/>
            </w:tcBorders>
          </w:tcPr>
          <w:p w14:paraId="6072DD96" w14:textId="77777777" w:rsidR="009F683C" w:rsidRPr="003E34E2" w:rsidRDefault="007D7CE0" w:rsidP="00E671D9">
            <w:pPr>
              <w:jc w:val="right"/>
              <w:rPr>
                <w:sz w:val="18"/>
                <w:szCs w:val="18"/>
                <w:lang w:val="es-MX"/>
              </w:rPr>
            </w:pPr>
            <w:r w:rsidRPr="003E34E2">
              <w:rPr>
                <w:sz w:val="18"/>
                <w:szCs w:val="18"/>
                <w:lang w:val="es-MX"/>
              </w:rPr>
              <w:t>Consideración individual</w:t>
            </w:r>
          </w:p>
        </w:tc>
      </w:tr>
    </w:tbl>
    <w:p w14:paraId="234ECE8E" w14:textId="39F4C14A" w:rsidR="00AE35D2" w:rsidRPr="001B4F7A" w:rsidRDefault="00AE35D2" w:rsidP="00E671D9">
      <w:pPr>
        <w:spacing w:after="240"/>
        <w:jc w:val="center"/>
        <w:outlineLvl w:val="0"/>
        <w:rPr>
          <w:b/>
          <w:lang w:val="es-MX"/>
        </w:rPr>
      </w:pPr>
      <w:r w:rsidRPr="001B4F7A">
        <w:rPr>
          <w:b/>
          <w:lang w:val="es-MX"/>
        </w:rPr>
        <w:lastRenderedPageBreak/>
        <w:t>DESCRIPCIÓN DEL PROYECTO</w:t>
      </w:r>
    </w:p>
    <w:p w14:paraId="2156F4F4" w14:textId="77777777" w:rsidR="009B55A3" w:rsidRPr="001B4F7A" w:rsidRDefault="00AE35D2" w:rsidP="00BD7909">
      <w:pPr>
        <w:pStyle w:val="Heading1"/>
        <w:rPr>
          <w:u w:val="single"/>
          <w:lang w:val="es-MX"/>
        </w:rPr>
      </w:pPr>
      <w:r w:rsidRPr="001B4F7A">
        <w:rPr>
          <w:lang w:val="es-MX"/>
        </w:rPr>
        <w:t>En nombre del Gobierno de Egipto, la ONUDI presentó una propuesta de proyecto para convertir la fabricación de compresores de refrigeración de Misr Compressor Manufacturing Co. (MCMC) de HFC</w:t>
      </w:r>
      <w:r w:rsidRPr="001B4F7A">
        <w:rPr>
          <w:lang w:val="es-MX"/>
        </w:rPr>
        <w:noBreakHyphen/>
        <w:t>134a a R</w:t>
      </w:r>
      <w:r w:rsidRPr="001B4F7A">
        <w:rPr>
          <w:lang w:val="es-MX"/>
        </w:rPr>
        <w:noBreakHyphen/>
        <w:t xml:space="preserve">600a, con un coste total de 1.852.600 $EUA, como se presentó originalmente, y una solicitud de financiación asociada de 1.781.158 $EUA del Fondo Multilateral, que consta de 1.608.662 $EUA, más gastos de apoyo al organismo de 112.606 $EUA para la ONUDI, y 53.000 $EUA, más gastos de apoyo al organismo de 6.890 $EUA para el PNUMA. La ONUDI presentó esta propuesta de proyecto sin recibir financiación de preparación del Fondo Multilateral. </w:t>
      </w:r>
    </w:p>
    <w:p w14:paraId="2000068A" w14:textId="77777777" w:rsidR="00FD4CC6" w:rsidRPr="001B4F7A" w:rsidRDefault="00FD4CC6" w:rsidP="009B55A3">
      <w:pPr>
        <w:pStyle w:val="Heading1"/>
        <w:numPr>
          <w:ilvl w:val="0"/>
          <w:numId w:val="0"/>
        </w:numPr>
        <w:rPr>
          <w:u w:val="single"/>
          <w:lang w:val="es-MX"/>
        </w:rPr>
      </w:pPr>
      <w:r w:rsidRPr="001B4F7A">
        <w:rPr>
          <w:u w:val="single"/>
          <w:lang w:val="es-MX"/>
        </w:rPr>
        <w:t>Objetivo del proyecto</w:t>
      </w:r>
    </w:p>
    <w:p w14:paraId="3C07A411" w14:textId="774CD29E" w:rsidR="00FD4CC6" w:rsidRPr="001B4F7A" w:rsidRDefault="003F7A3E" w:rsidP="00E671D9">
      <w:pPr>
        <w:pStyle w:val="Heading1"/>
        <w:rPr>
          <w:lang w:val="es-MX"/>
        </w:rPr>
      </w:pPr>
      <w:r w:rsidRPr="001B4F7A">
        <w:rPr>
          <w:lang w:val="es-MX"/>
        </w:rPr>
        <w:t>El proyecto convertirá la producción de compresores para equipos de refrigeración domésticos y comerciales autónomos que funcionan con HFC</w:t>
      </w:r>
      <w:r w:rsidRPr="001B4F7A">
        <w:rPr>
          <w:lang w:val="es-MX"/>
        </w:rPr>
        <w:noBreakHyphen/>
        <w:t>134a como refrigerante en producción de compresores que funcionan con R</w:t>
      </w:r>
      <w:r w:rsidRPr="001B4F7A">
        <w:rPr>
          <w:lang w:val="es-MX"/>
        </w:rPr>
        <w:noBreakHyphen/>
        <w:t>600A. Dado que aproximadamente el 84 por ciento de los compresores fabricados por MCMC son para el mercado local, el proyecto apoyará a las empresas locales de fabricación de equipos de refrigeración al convertir sus líneas de producción del HFC</w:t>
      </w:r>
      <w:r w:rsidRPr="001B4F7A">
        <w:rPr>
          <w:lang w:val="es-MX"/>
        </w:rPr>
        <w:noBreakHyphen/>
        <w:t>134a al refrigerante R</w:t>
      </w:r>
      <w:r w:rsidRPr="001B4F7A">
        <w:rPr>
          <w:lang w:val="es-MX"/>
        </w:rPr>
        <w:noBreakHyphen/>
        <w:t>600a.</w:t>
      </w:r>
    </w:p>
    <w:p w14:paraId="0C2DE20B" w14:textId="77777777" w:rsidR="00AE35D2" w:rsidRPr="001B4F7A" w:rsidRDefault="00177E51" w:rsidP="00E671D9">
      <w:pPr>
        <w:rPr>
          <w:u w:val="single"/>
          <w:lang w:val="es-MX"/>
        </w:rPr>
      </w:pPr>
      <w:r w:rsidRPr="001B4F7A">
        <w:rPr>
          <w:u w:val="single"/>
          <w:lang w:val="es-MX"/>
        </w:rPr>
        <w:t>Antecedentes sectoriales</w:t>
      </w:r>
    </w:p>
    <w:p w14:paraId="57456682" w14:textId="77777777" w:rsidR="00AE35D2" w:rsidRPr="001B4F7A" w:rsidRDefault="00AE35D2" w:rsidP="00E671D9">
      <w:pPr>
        <w:rPr>
          <w:lang w:val="es-MX"/>
        </w:rPr>
      </w:pPr>
    </w:p>
    <w:p w14:paraId="1C7A7101" w14:textId="29D983B8" w:rsidR="003C5D0C" w:rsidRPr="001B4F7A" w:rsidRDefault="009E7648" w:rsidP="00BD7909">
      <w:pPr>
        <w:pStyle w:val="Heading1"/>
        <w:rPr>
          <w:bCs/>
          <w:lang w:val="es-MX"/>
        </w:rPr>
      </w:pPr>
      <w:r w:rsidRPr="001B4F7A">
        <w:rPr>
          <w:lang w:val="es-MX"/>
        </w:rPr>
        <w:t xml:space="preserve">La información preliminar reunida durante la preparación del proyecto indica que el sector de refrigeración de Egipto consta de más de 10 empresas locales que fabrican aparatos de refrigeración tanto domésticos como comerciales autónomos, incluyendo refrigeradores, congeladores, dispensadores de agua y otros aparatos pequeños. Estos equipos utilizan HFC-134a como refrigerante, con un consumo estimado de más de 150 toneladas (t). La demanda para estos equipos aumentará rápidamente en los próximos años debido al plan de desarrollo en curso para construir varias ciudades y asentamientos nuevos en todo el país; con un posible aumento del consumo de HFC-134a que puede llegar a 300 t. </w:t>
      </w:r>
    </w:p>
    <w:p w14:paraId="204DFCCC" w14:textId="7DD8B191" w:rsidR="00177E51" w:rsidRPr="001B4F7A" w:rsidRDefault="009E7648" w:rsidP="00BD7909">
      <w:pPr>
        <w:pStyle w:val="Heading1"/>
        <w:rPr>
          <w:bCs/>
          <w:lang w:val="es-MX"/>
        </w:rPr>
      </w:pPr>
      <w:r w:rsidRPr="001B4F7A">
        <w:rPr>
          <w:lang w:val="es-MX"/>
        </w:rPr>
        <w:t xml:space="preserve">La demanda anual del mercado de compresores en el sector de refrigeración doméstico y comercial autónomo es de aproximadamente tres millones de unidades, de las cuales un millón y medio se importan de China, un millón se importan de Brasil, y el resto lo suministra principalmente MCMC. </w:t>
      </w:r>
    </w:p>
    <w:p w14:paraId="6AE7D1E2" w14:textId="04355989" w:rsidR="009E7648" w:rsidRPr="001B4F7A" w:rsidRDefault="009E7648" w:rsidP="009E7648">
      <w:pPr>
        <w:pStyle w:val="Heading1"/>
        <w:rPr>
          <w:lang w:val="es-MX"/>
        </w:rPr>
      </w:pPr>
      <w:r w:rsidRPr="001B4F7A">
        <w:rPr>
          <w:lang w:val="es-MX"/>
        </w:rPr>
        <w:t>Esta información se verificará y actualizará aún más durante la preparación de un plan sectorial para la eliminación del HFC</w:t>
      </w:r>
      <w:r w:rsidRPr="001B4F7A">
        <w:rPr>
          <w:lang w:val="es-MX"/>
        </w:rPr>
        <w:noBreakHyphen/>
        <w:t>134 en el sector de refrigeración autónomo y comercial autónomo.</w:t>
      </w:r>
    </w:p>
    <w:p w14:paraId="5A6BB8A5" w14:textId="77777777" w:rsidR="00AE35D2" w:rsidRPr="001B4F7A" w:rsidRDefault="00AE35D2" w:rsidP="00E671D9">
      <w:pPr>
        <w:keepNext/>
        <w:rPr>
          <w:u w:val="single"/>
          <w:lang w:val="es-MX"/>
        </w:rPr>
      </w:pPr>
      <w:r w:rsidRPr="001B4F7A">
        <w:rPr>
          <w:u w:val="single"/>
          <w:lang w:val="es-MX"/>
        </w:rPr>
        <w:t>Antecedentes de la empresa</w:t>
      </w:r>
    </w:p>
    <w:p w14:paraId="7197815B" w14:textId="77777777" w:rsidR="00AE35D2" w:rsidRPr="001B4F7A" w:rsidRDefault="00AE35D2" w:rsidP="00E671D9">
      <w:pPr>
        <w:rPr>
          <w:lang w:val="es-MX"/>
        </w:rPr>
      </w:pPr>
    </w:p>
    <w:p w14:paraId="5C4A8415" w14:textId="77777777" w:rsidR="006F47B0" w:rsidRPr="001B4F7A" w:rsidRDefault="00CC2F06" w:rsidP="00E671D9">
      <w:pPr>
        <w:pStyle w:val="Heading1"/>
        <w:rPr>
          <w:lang w:val="es-MX"/>
        </w:rPr>
      </w:pPr>
      <w:r w:rsidRPr="001B4F7A">
        <w:rPr>
          <w:lang w:val="es-MX"/>
        </w:rPr>
        <w:t xml:space="preserve">MCMC, con domicilio social en 1988, es el único fabricante de compresores herméticos para electrodomésticos y equipos de refrigeración comercial en África y en Oriente Próximo. El porcentaje de propiedad de MCMC por países que operan al amparo del Artículo 5 asciende al 89,39 por ciento, en tanto que la Corporación Financiera Internacional (CFI) posee el 10,61 por ciento restante de las acciones de la empresa. El siete por ciento de las exportaciones de la empresa se destina a países que no operan al amparo del Artículo 5. </w:t>
      </w:r>
    </w:p>
    <w:p w14:paraId="31B9F591" w14:textId="12D2787E" w:rsidR="000B5A38" w:rsidRPr="001B4F7A" w:rsidRDefault="006F47B0" w:rsidP="00E671D9">
      <w:pPr>
        <w:pStyle w:val="Heading1"/>
        <w:rPr>
          <w:lang w:val="es-MX"/>
        </w:rPr>
      </w:pPr>
      <w:r w:rsidRPr="001B4F7A">
        <w:rPr>
          <w:lang w:val="es-MX"/>
        </w:rPr>
        <w:t>MCMC produce una amplia gama de compresores de baja presión de evaporación (LBP) y de media/alta presión de evaporación (HMBP) y de unidades de condensación desde 1/8 CV hasta 1/3 CV, con la marca ZMC. La capacidad de producción máxima anual es de dos millones de unidades en dos líneas, aunque esa capacidad no se utiliza en su totalidad. En la 8ª reunión, el Gobierno de Egipto presentó una propuesta para la conversión del proceso de fabricación de MCMC de compresores que funcionan con CFC</w:t>
      </w:r>
      <w:r w:rsidRPr="001B4F7A">
        <w:rPr>
          <w:lang w:val="es-MX"/>
        </w:rPr>
        <w:noBreakHyphen/>
        <w:t>12 a compresores que funcionan con HFC</w:t>
      </w:r>
      <w:r w:rsidRPr="001B4F7A">
        <w:rPr>
          <w:lang w:val="es-MX"/>
        </w:rPr>
        <w:noBreakHyphen/>
        <w:t>134a (EGY/REF/08/INV/08).</w:t>
      </w:r>
      <w:r w:rsidR="00791D4B" w:rsidRPr="001B4F7A">
        <w:rPr>
          <w:rStyle w:val="FootnoteReference"/>
          <w:lang w:val="es-MX"/>
        </w:rPr>
        <w:footnoteReference w:id="2"/>
      </w:r>
      <w:r w:rsidRPr="001B4F7A">
        <w:rPr>
          <w:lang w:val="es-MX"/>
        </w:rPr>
        <w:t xml:space="preserve"> La fabricación de </w:t>
      </w:r>
      <w:r w:rsidRPr="001B4F7A">
        <w:rPr>
          <w:lang w:val="es-MX"/>
        </w:rPr>
        <w:lastRenderedPageBreak/>
        <w:t>compresores que funcionan con HFC</w:t>
      </w:r>
      <w:r w:rsidRPr="001B4F7A">
        <w:rPr>
          <w:lang w:val="es-MX"/>
        </w:rPr>
        <w:noBreakHyphen/>
        <w:t>134a</w:t>
      </w:r>
      <w:r w:rsidRPr="001B4F7A">
        <w:rPr>
          <w:lang w:val="es-MX"/>
        </w:rPr>
        <w:noBreakHyphen/>
        <w:t xml:space="preserve"> comenzó en 1997. Los compresores que funcionan con HFC</w:t>
      </w:r>
      <w:r w:rsidRPr="001B4F7A">
        <w:rPr>
          <w:lang w:val="es-MX"/>
        </w:rPr>
        <w:noBreakHyphen/>
        <w:t xml:space="preserve">134a tienen una carga media de refrigerante de unos 150 g para aparatos residenciales, de unos 200 g para aparatos comerciales y de unos 50 g para los dispensadores de agua. MCMC planea optimizar sus compresores, teniendo en cuenta el índice de eficiencia energética y el coeficiente de rendimiento. </w:t>
      </w:r>
    </w:p>
    <w:p w14:paraId="460E90A5" w14:textId="2FC0506C" w:rsidR="00AE35D2" w:rsidRPr="001B4F7A" w:rsidRDefault="00702DCB" w:rsidP="00E671D9">
      <w:pPr>
        <w:pStyle w:val="Heading1"/>
        <w:rPr>
          <w:lang w:val="es-MX"/>
        </w:rPr>
      </w:pPr>
      <w:r w:rsidRPr="001B4F7A">
        <w:rPr>
          <w:lang w:val="es-MX"/>
        </w:rPr>
        <w:t>Desde 1996 hasta 2000, MCMC también produjo aproximadamente 200.000 compresores que funcionaban con R</w:t>
      </w:r>
      <w:r w:rsidRPr="001B4F7A">
        <w:rPr>
          <w:lang w:val="es-MX"/>
        </w:rPr>
        <w:noBreakHyphen/>
        <w:t>600a, principalmente para refrigeradores domésticos que se exportaron a Europa; dichos compresores se fabricaron según el diseño y el proceso de fabricación actualmente empleados para los compresores que funcionan con HFC</w:t>
      </w:r>
      <w:r w:rsidRPr="001B4F7A">
        <w:rPr>
          <w:lang w:val="es-MX"/>
        </w:rPr>
        <w:noBreakHyphen/>
        <w:t>134a. Posteriormente, MCMC discontinuó el producto debido a su obsolescencia (era un diseño con 25 años de antigüedad) y los altos costes de producción. Desde 2000, ambas líneas de fabricación únicamente producen compresores que funcionan con HFC</w:t>
      </w:r>
      <w:r w:rsidRPr="001B4F7A">
        <w:rPr>
          <w:lang w:val="es-MX"/>
        </w:rPr>
        <w:noBreakHyphen/>
        <w:t>134a. En el Cuadro 1 se presenta un resumen de la producción de MCMC.</w:t>
      </w:r>
    </w:p>
    <w:p w14:paraId="37CFE308" w14:textId="77777777" w:rsidR="00AE35D2" w:rsidRPr="001B4F7A" w:rsidRDefault="00AE35D2" w:rsidP="00E671D9">
      <w:pPr>
        <w:outlineLvl w:val="0"/>
        <w:rPr>
          <w:lang w:val="es-MX"/>
        </w:rPr>
      </w:pPr>
      <w:r w:rsidRPr="001B4F7A">
        <w:rPr>
          <w:b/>
          <w:lang w:val="es-MX"/>
        </w:rPr>
        <w:t>Cuadro 1. Unidades de compresores que funcionan con HFC-134a fabricados por MCMC entre 2015 y 2020</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193"/>
        <w:gridCol w:w="1196"/>
        <w:gridCol w:w="1194"/>
        <w:gridCol w:w="1196"/>
        <w:gridCol w:w="1194"/>
        <w:gridCol w:w="1366"/>
        <w:gridCol w:w="1082"/>
      </w:tblGrid>
      <w:tr w:rsidR="00803ACF" w:rsidRPr="001B4F7A" w14:paraId="704B453B" w14:textId="77777777" w:rsidTr="003E34E2">
        <w:trPr>
          <w:tblHeader/>
          <w:jc w:val="center"/>
        </w:trPr>
        <w:tc>
          <w:tcPr>
            <w:tcW w:w="500" w:type="pct"/>
            <w:vMerge w:val="restart"/>
            <w:shd w:val="clear" w:color="auto" w:fill="auto"/>
            <w:noWrap/>
            <w:vAlign w:val="center"/>
            <w:hideMark/>
          </w:tcPr>
          <w:p w14:paraId="3D45829F" w14:textId="77777777" w:rsidR="00803ACF" w:rsidRPr="001B4F7A" w:rsidRDefault="00803ACF" w:rsidP="00BC2E9D">
            <w:pPr>
              <w:jc w:val="center"/>
              <w:rPr>
                <w:b/>
                <w:bCs/>
                <w:sz w:val="20"/>
                <w:szCs w:val="20"/>
                <w:lang w:val="es-MX"/>
              </w:rPr>
            </w:pPr>
            <w:r w:rsidRPr="001B4F7A">
              <w:rPr>
                <w:b/>
                <w:bCs/>
                <w:sz w:val="20"/>
                <w:szCs w:val="20"/>
                <w:lang w:val="es-MX"/>
              </w:rPr>
              <w:t>Año</w:t>
            </w:r>
          </w:p>
        </w:tc>
        <w:tc>
          <w:tcPr>
            <w:tcW w:w="1277" w:type="pct"/>
            <w:gridSpan w:val="2"/>
            <w:shd w:val="clear" w:color="auto" w:fill="auto"/>
            <w:noWrap/>
            <w:vAlign w:val="center"/>
            <w:hideMark/>
          </w:tcPr>
          <w:p w14:paraId="2EB0EA00" w14:textId="77777777" w:rsidR="00803ACF" w:rsidRPr="001B4F7A" w:rsidRDefault="00803ACF" w:rsidP="00BC2E9D">
            <w:pPr>
              <w:jc w:val="center"/>
              <w:rPr>
                <w:b/>
                <w:bCs/>
                <w:sz w:val="20"/>
                <w:szCs w:val="20"/>
                <w:lang w:val="es-MX"/>
              </w:rPr>
            </w:pPr>
            <w:r w:rsidRPr="001B4F7A">
              <w:rPr>
                <w:b/>
                <w:bCs/>
                <w:sz w:val="20"/>
                <w:szCs w:val="20"/>
                <w:lang w:val="es-MX"/>
              </w:rPr>
              <w:t>Refrigeración doméstica</w:t>
            </w:r>
          </w:p>
        </w:tc>
        <w:tc>
          <w:tcPr>
            <w:tcW w:w="1277" w:type="pct"/>
            <w:gridSpan w:val="2"/>
            <w:shd w:val="clear" w:color="auto" w:fill="auto"/>
            <w:noWrap/>
            <w:vAlign w:val="center"/>
            <w:hideMark/>
          </w:tcPr>
          <w:p w14:paraId="540DCC7A" w14:textId="77777777" w:rsidR="00803ACF" w:rsidRPr="001B4F7A" w:rsidRDefault="00803ACF" w:rsidP="00BC2E9D">
            <w:pPr>
              <w:jc w:val="center"/>
              <w:rPr>
                <w:b/>
                <w:bCs/>
                <w:sz w:val="20"/>
                <w:szCs w:val="20"/>
                <w:lang w:val="es-MX"/>
              </w:rPr>
            </w:pPr>
            <w:r w:rsidRPr="001B4F7A">
              <w:rPr>
                <w:b/>
                <w:bCs/>
                <w:sz w:val="20"/>
                <w:szCs w:val="20"/>
                <w:lang w:val="es-MX"/>
              </w:rPr>
              <w:t>Refrigeración comercial</w:t>
            </w:r>
          </w:p>
        </w:tc>
        <w:tc>
          <w:tcPr>
            <w:tcW w:w="1368" w:type="pct"/>
            <w:gridSpan w:val="2"/>
            <w:vAlign w:val="center"/>
          </w:tcPr>
          <w:p w14:paraId="306A534A" w14:textId="77777777" w:rsidR="00803ACF" w:rsidRPr="001B4F7A" w:rsidRDefault="008557D9" w:rsidP="00BC2E9D">
            <w:pPr>
              <w:jc w:val="center"/>
              <w:rPr>
                <w:b/>
                <w:bCs/>
                <w:sz w:val="20"/>
                <w:szCs w:val="20"/>
                <w:lang w:val="es-MX"/>
              </w:rPr>
            </w:pPr>
            <w:r w:rsidRPr="001B4F7A">
              <w:rPr>
                <w:b/>
                <w:color w:val="000000"/>
                <w:sz w:val="20"/>
                <w:szCs w:val="20"/>
                <w:lang w:val="es-MX"/>
              </w:rPr>
              <w:t>Total (doméstica y comercial)</w:t>
            </w:r>
          </w:p>
        </w:tc>
        <w:tc>
          <w:tcPr>
            <w:tcW w:w="578" w:type="pct"/>
            <w:vMerge w:val="restart"/>
            <w:vAlign w:val="center"/>
          </w:tcPr>
          <w:p w14:paraId="7A0A1818" w14:textId="77777777" w:rsidR="00803ACF" w:rsidRPr="001B4F7A" w:rsidRDefault="00803ACF" w:rsidP="00E671D9">
            <w:pPr>
              <w:jc w:val="center"/>
              <w:rPr>
                <w:b/>
                <w:bCs/>
                <w:sz w:val="20"/>
                <w:szCs w:val="20"/>
                <w:lang w:val="es-MX"/>
              </w:rPr>
            </w:pPr>
            <w:r w:rsidRPr="001B4F7A">
              <w:rPr>
                <w:b/>
                <w:bCs/>
                <w:sz w:val="20"/>
                <w:szCs w:val="20"/>
                <w:lang w:val="es-MX"/>
              </w:rPr>
              <w:t xml:space="preserve">Total </w:t>
            </w:r>
          </w:p>
        </w:tc>
      </w:tr>
      <w:tr w:rsidR="008557D9" w:rsidRPr="001B4F7A" w14:paraId="69D75A5B" w14:textId="77777777" w:rsidTr="003E34E2">
        <w:trPr>
          <w:jc w:val="center"/>
        </w:trPr>
        <w:tc>
          <w:tcPr>
            <w:tcW w:w="500" w:type="pct"/>
            <w:vMerge/>
            <w:shd w:val="clear" w:color="auto" w:fill="auto"/>
            <w:noWrap/>
          </w:tcPr>
          <w:p w14:paraId="12ABD3A9" w14:textId="77777777" w:rsidR="00803ACF" w:rsidRPr="001B4F7A" w:rsidRDefault="00803ACF" w:rsidP="00E671D9">
            <w:pPr>
              <w:jc w:val="left"/>
              <w:rPr>
                <w:b/>
                <w:bCs/>
                <w:sz w:val="20"/>
                <w:szCs w:val="20"/>
                <w:lang w:val="es-MX"/>
              </w:rPr>
            </w:pPr>
          </w:p>
        </w:tc>
        <w:tc>
          <w:tcPr>
            <w:tcW w:w="638" w:type="pct"/>
            <w:shd w:val="clear" w:color="auto" w:fill="auto"/>
            <w:noWrap/>
          </w:tcPr>
          <w:p w14:paraId="64E3AB2C" w14:textId="77777777" w:rsidR="00803ACF" w:rsidRPr="001B4F7A" w:rsidRDefault="00803ACF" w:rsidP="00E671D9">
            <w:pPr>
              <w:jc w:val="center"/>
              <w:rPr>
                <w:b/>
                <w:sz w:val="20"/>
                <w:szCs w:val="20"/>
                <w:lang w:val="es-MX"/>
              </w:rPr>
            </w:pPr>
            <w:r w:rsidRPr="001B4F7A">
              <w:rPr>
                <w:b/>
                <w:sz w:val="20"/>
                <w:szCs w:val="20"/>
                <w:lang w:val="es-MX"/>
              </w:rPr>
              <w:t>Línea 1</w:t>
            </w:r>
          </w:p>
        </w:tc>
        <w:tc>
          <w:tcPr>
            <w:tcW w:w="639" w:type="pct"/>
            <w:shd w:val="clear" w:color="auto" w:fill="auto"/>
          </w:tcPr>
          <w:p w14:paraId="0D2A9A58" w14:textId="77777777" w:rsidR="00803ACF" w:rsidRPr="001B4F7A" w:rsidRDefault="00803ACF" w:rsidP="00E671D9">
            <w:pPr>
              <w:jc w:val="center"/>
              <w:rPr>
                <w:b/>
                <w:sz w:val="20"/>
                <w:szCs w:val="20"/>
                <w:lang w:val="es-MX"/>
              </w:rPr>
            </w:pPr>
            <w:r w:rsidRPr="001B4F7A">
              <w:rPr>
                <w:b/>
                <w:sz w:val="20"/>
                <w:szCs w:val="20"/>
                <w:lang w:val="es-MX"/>
              </w:rPr>
              <w:t>Línea 2</w:t>
            </w:r>
          </w:p>
        </w:tc>
        <w:tc>
          <w:tcPr>
            <w:tcW w:w="638" w:type="pct"/>
            <w:shd w:val="clear" w:color="auto" w:fill="auto"/>
            <w:noWrap/>
          </w:tcPr>
          <w:p w14:paraId="366FCFE7" w14:textId="77777777" w:rsidR="00803ACF" w:rsidRPr="001B4F7A" w:rsidRDefault="00803ACF" w:rsidP="00E671D9">
            <w:pPr>
              <w:jc w:val="center"/>
              <w:rPr>
                <w:b/>
                <w:sz w:val="20"/>
                <w:szCs w:val="20"/>
                <w:lang w:val="es-MX"/>
              </w:rPr>
            </w:pPr>
            <w:r w:rsidRPr="001B4F7A">
              <w:rPr>
                <w:b/>
                <w:sz w:val="20"/>
                <w:szCs w:val="20"/>
                <w:lang w:val="es-MX"/>
              </w:rPr>
              <w:t>Línea 1</w:t>
            </w:r>
          </w:p>
        </w:tc>
        <w:tc>
          <w:tcPr>
            <w:tcW w:w="639" w:type="pct"/>
            <w:shd w:val="clear" w:color="auto" w:fill="auto"/>
          </w:tcPr>
          <w:p w14:paraId="7A8791A7" w14:textId="77777777" w:rsidR="00803ACF" w:rsidRPr="001B4F7A" w:rsidRDefault="00803ACF" w:rsidP="00E671D9">
            <w:pPr>
              <w:jc w:val="center"/>
              <w:rPr>
                <w:b/>
                <w:sz w:val="20"/>
                <w:szCs w:val="20"/>
                <w:lang w:val="es-MX"/>
              </w:rPr>
            </w:pPr>
            <w:r w:rsidRPr="001B4F7A">
              <w:rPr>
                <w:b/>
                <w:sz w:val="20"/>
                <w:szCs w:val="20"/>
                <w:lang w:val="es-MX"/>
              </w:rPr>
              <w:t>Línea 2</w:t>
            </w:r>
          </w:p>
        </w:tc>
        <w:tc>
          <w:tcPr>
            <w:tcW w:w="638" w:type="pct"/>
          </w:tcPr>
          <w:p w14:paraId="3DEBB179" w14:textId="77777777" w:rsidR="00803ACF" w:rsidRPr="001B4F7A" w:rsidRDefault="00803ACF" w:rsidP="00E671D9">
            <w:pPr>
              <w:jc w:val="center"/>
              <w:rPr>
                <w:b/>
                <w:sz w:val="20"/>
                <w:szCs w:val="20"/>
                <w:lang w:val="es-MX"/>
              </w:rPr>
            </w:pPr>
            <w:r w:rsidRPr="001B4F7A">
              <w:rPr>
                <w:b/>
                <w:sz w:val="20"/>
                <w:szCs w:val="20"/>
                <w:lang w:val="es-MX"/>
              </w:rPr>
              <w:t>Local</w:t>
            </w:r>
          </w:p>
        </w:tc>
        <w:tc>
          <w:tcPr>
            <w:tcW w:w="729" w:type="pct"/>
          </w:tcPr>
          <w:p w14:paraId="160447E6" w14:textId="77777777" w:rsidR="00803ACF" w:rsidRPr="001B4F7A" w:rsidRDefault="00803ACF" w:rsidP="00E671D9">
            <w:pPr>
              <w:jc w:val="center"/>
              <w:rPr>
                <w:b/>
                <w:sz w:val="20"/>
                <w:szCs w:val="20"/>
                <w:lang w:val="es-MX"/>
              </w:rPr>
            </w:pPr>
            <w:r w:rsidRPr="001B4F7A">
              <w:rPr>
                <w:b/>
                <w:sz w:val="20"/>
                <w:szCs w:val="20"/>
                <w:lang w:val="es-MX"/>
              </w:rPr>
              <w:t>Exportación</w:t>
            </w:r>
          </w:p>
        </w:tc>
        <w:tc>
          <w:tcPr>
            <w:tcW w:w="578" w:type="pct"/>
            <w:vMerge/>
          </w:tcPr>
          <w:p w14:paraId="3D470D55" w14:textId="77777777" w:rsidR="00803ACF" w:rsidRPr="001B4F7A" w:rsidRDefault="00803ACF" w:rsidP="00E671D9">
            <w:pPr>
              <w:jc w:val="center"/>
              <w:rPr>
                <w:b/>
                <w:sz w:val="20"/>
                <w:szCs w:val="20"/>
                <w:lang w:val="es-MX"/>
              </w:rPr>
            </w:pPr>
          </w:p>
        </w:tc>
      </w:tr>
      <w:tr w:rsidR="008557D9" w:rsidRPr="001B4F7A" w14:paraId="4668ED1A" w14:textId="77777777" w:rsidTr="003E34E2">
        <w:trPr>
          <w:jc w:val="center"/>
        </w:trPr>
        <w:tc>
          <w:tcPr>
            <w:tcW w:w="500" w:type="pct"/>
            <w:shd w:val="clear" w:color="auto" w:fill="auto"/>
            <w:noWrap/>
            <w:vAlign w:val="center"/>
            <w:hideMark/>
          </w:tcPr>
          <w:p w14:paraId="05B24528" w14:textId="77777777" w:rsidR="00803ACF" w:rsidRPr="001B4F7A" w:rsidRDefault="00803ACF" w:rsidP="00E671D9">
            <w:pPr>
              <w:jc w:val="center"/>
              <w:rPr>
                <w:bCs/>
                <w:sz w:val="20"/>
                <w:szCs w:val="20"/>
                <w:lang w:val="es-MX"/>
              </w:rPr>
            </w:pPr>
            <w:r w:rsidRPr="001B4F7A">
              <w:rPr>
                <w:bCs/>
                <w:sz w:val="20"/>
                <w:szCs w:val="20"/>
                <w:lang w:val="es-MX"/>
              </w:rPr>
              <w:t>2015</w:t>
            </w:r>
          </w:p>
        </w:tc>
        <w:tc>
          <w:tcPr>
            <w:tcW w:w="638" w:type="pct"/>
            <w:shd w:val="clear" w:color="auto" w:fill="FFFFFF"/>
            <w:noWrap/>
            <w:tcMar>
              <w:left w:w="115" w:type="dxa"/>
              <w:right w:w="173" w:type="dxa"/>
            </w:tcMar>
            <w:vAlign w:val="center"/>
            <w:hideMark/>
          </w:tcPr>
          <w:p w14:paraId="2313B8D2" w14:textId="77777777" w:rsidR="00803ACF" w:rsidRPr="001B4F7A" w:rsidRDefault="00803ACF" w:rsidP="00E671D9">
            <w:pPr>
              <w:jc w:val="right"/>
              <w:rPr>
                <w:sz w:val="20"/>
                <w:szCs w:val="20"/>
                <w:lang w:val="es-MX"/>
              </w:rPr>
            </w:pPr>
            <w:r w:rsidRPr="001B4F7A">
              <w:rPr>
                <w:sz w:val="20"/>
                <w:szCs w:val="20"/>
                <w:lang w:val="es-MX"/>
              </w:rPr>
              <w:t>161.540</w:t>
            </w:r>
          </w:p>
        </w:tc>
        <w:tc>
          <w:tcPr>
            <w:tcW w:w="639" w:type="pct"/>
            <w:shd w:val="clear" w:color="auto" w:fill="FFFFFF"/>
            <w:noWrap/>
            <w:tcMar>
              <w:left w:w="115" w:type="dxa"/>
              <w:right w:w="173" w:type="dxa"/>
            </w:tcMar>
            <w:vAlign w:val="center"/>
            <w:hideMark/>
          </w:tcPr>
          <w:p w14:paraId="46A606FD" w14:textId="77777777" w:rsidR="00803ACF" w:rsidRPr="001B4F7A" w:rsidRDefault="00803ACF" w:rsidP="00E671D9">
            <w:pPr>
              <w:jc w:val="right"/>
              <w:rPr>
                <w:sz w:val="20"/>
                <w:szCs w:val="20"/>
                <w:lang w:val="es-MX"/>
              </w:rPr>
            </w:pPr>
            <w:r w:rsidRPr="001B4F7A">
              <w:rPr>
                <w:sz w:val="20"/>
                <w:szCs w:val="20"/>
                <w:lang w:val="es-MX"/>
              </w:rPr>
              <w:t>161.543</w:t>
            </w:r>
          </w:p>
        </w:tc>
        <w:tc>
          <w:tcPr>
            <w:tcW w:w="638" w:type="pct"/>
            <w:shd w:val="clear" w:color="auto" w:fill="FFFFFF"/>
            <w:noWrap/>
            <w:tcMar>
              <w:left w:w="115" w:type="dxa"/>
              <w:right w:w="173" w:type="dxa"/>
            </w:tcMar>
            <w:vAlign w:val="center"/>
            <w:hideMark/>
          </w:tcPr>
          <w:p w14:paraId="6A66E250" w14:textId="77777777" w:rsidR="00803ACF" w:rsidRPr="001B4F7A" w:rsidRDefault="00803ACF" w:rsidP="00E671D9">
            <w:pPr>
              <w:jc w:val="right"/>
              <w:rPr>
                <w:sz w:val="20"/>
                <w:szCs w:val="20"/>
                <w:lang w:val="es-MX"/>
              </w:rPr>
            </w:pPr>
            <w:r w:rsidRPr="001B4F7A">
              <w:rPr>
                <w:sz w:val="20"/>
                <w:szCs w:val="20"/>
                <w:lang w:val="es-MX"/>
              </w:rPr>
              <w:t>69.233</w:t>
            </w:r>
          </w:p>
        </w:tc>
        <w:tc>
          <w:tcPr>
            <w:tcW w:w="639" w:type="pct"/>
            <w:shd w:val="clear" w:color="auto" w:fill="FFFFFF"/>
            <w:noWrap/>
            <w:tcMar>
              <w:left w:w="115" w:type="dxa"/>
              <w:right w:w="173" w:type="dxa"/>
            </w:tcMar>
            <w:vAlign w:val="center"/>
            <w:hideMark/>
          </w:tcPr>
          <w:p w14:paraId="0804FF11" w14:textId="77777777" w:rsidR="00803ACF" w:rsidRPr="001B4F7A" w:rsidRDefault="00803ACF" w:rsidP="00E671D9">
            <w:pPr>
              <w:jc w:val="right"/>
              <w:rPr>
                <w:sz w:val="20"/>
                <w:szCs w:val="20"/>
                <w:lang w:val="es-MX"/>
              </w:rPr>
            </w:pPr>
            <w:r w:rsidRPr="001B4F7A">
              <w:rPr>
                <w:sz w:val="20"/>
                <w:szCs w:val="20"/>
                <w:lang w:val="es-MX"/>
              </w:rPr>
              <w:t>69.233</w:t>
            </w:r>
          </w:p>
        </w:tc>
        <w:tc>
          <w:tcPr>
            <w:tcW w:w="638" w:type="pct"/>
            <w:shd w:val="clear" w:color="000000" w:fill="FFFFFF"/>
            <w:tcMar>
              <w:left w:w="115" w:type="dxa"/>
              <w:right w:w="173" w:type="dxa"/>
            </w:tcMar>
            <w:vAlign w:val="center"/>
          </w:tcPr>
          <w:p w14:paraId="42B9E726" w14:textId="77777777" w:rsidR="00803ACF" w:rsidRPr="001B4F7A" w:rsidRDefault="00803ACF" w:rsidP="00E671D9">
            <w:pPr>
              <w:jc w:val="right"/>
              <w:rPr>
                <w:color w:val="000000"/>
                <w:sz w:val="20"/>
                <w:szCs w:val="20"/>
                <w:lang w:val="es-MX"/>
              </w:rPr>
            </w:pPr>
            <w:r w:rsidRPr="001B4F7A">
              <w:rPr>
                <w:color w:val="000000"/>
                <w:sz w:val="20"/>
                <w:szCs w:val="20"/>
                <w:lang w:val="es-MX"/>
              </w:rPr>
              <w:t>301.766</w:t>
            </w:r>
          </w:p>
        </w:tc>
        <w:tc>
          <w:tcPr>
            <w:tcW w:w="729" w:type="pct"/>
            <w:shd w:val="clear" w:color="000000" w:fill="FFFFFF"/>
            <w:tcMar>
              <w:left w:w="115" w:type="dxa"/>
              <w:right w:w="173" w:type="dxa"/>
            </w:tcMar>
            <w:vAlign w:val="center"/>
          </w:tcPr>
          <w:p w14:paraId="70E56A94" w14:textId="77777777" w:rsidR="00803ACF" w:rsidRPr="001B4F7A" w:rsidRDefault="00803ACF" w:rsidP="00E671D9">
            <w:pPr>
              <w:jc w:val="right"/>
              <w:rPr>
                <w:color w:val="000000"/>
                <w:sz w:val="20"/>
                <w:szCs w:val="20"/>
                <w:lang w:val="es-MX"/>
              </w:rPr>
            </w:pPr>
            <w:r w:rsidRPr="001B4F7A">
              <w:rPr>
                <w:color w:val="000000"/>
                <w:sz w:val="20"/>
                <w:szCs w:val="20"/>
                <w:lang w:val="es-MX"/>
              </w:rPr>
              <w:t>159.783</w:t>
            </w:r>
          </w:p>
        </w:tc>
        <w:tc>
          <w:tcPr>
            <w:tcW w:w="578" w:type="pct"/>
            <w:shd w:val="clear" w:color="000000" w:fill="FFFFFF"/>
            <w:tcMar>
              <w:left w:w="115" w:type="dxa"/>
              <w:right w:w="173" w:type="dxa"/>
            </w:tcMar>
            <w:vAlign w:val="center"/>
          </w:tcPr>
          <w:p w14:paraId="2C369E70" w14:textId="77777777" w:rsidR="00803ACF" w:rsidRPr="001B4F7A" w:rsidRDefault="00803ACF" w:rsidP="00E671D9">
            <w:pPr>
              <w:jc w:val="right"/>
              <w:rPr>
                <w:sz w:val="20"/>
                <w:szCs w:val="20"/>
                <w:lang w:val="es-MX"/>
              </w:rPr>
            </w:pPr>
            <w:r w:rsidRPr="001B4F7A">
              <w:rPr>
                <w:color w:val="000000"/>
                <w:sz w:val="20"/>
                <w:szCs w:val="20"/>
                <w:lang w:val="es-MX"/>
              </w:rPr>
              <w:t>461.549</w:t>
            </w:r>
          </w:p>
        </w:tc>
      </w:tr>
      <w:tr w:rsidR="008557D9" w:rsidRPr="001B4F7A" w14:paraId="7069E7EB" w14:textId="77777777" w:rsidTr="003E34E2">
        <w:trPr>
          <w:jc w:val="center"/>
        </w:trPr>
        <w:tc>
          <w:tcPr>
            <w:tcW w:w="500" w:type="pct"/>
            <w:shd w:val="clear" w:color="auto" w:fill="auto"/>
            <w:noWrap/>
            <w:vAlign w:val="center"/>
            <w:hideMark/>
          </w:tcPr>
          <w:p w14:paraId="425CE40C" w14:textId="77777777" w:rsidR="00803ACF" w:rsidRPr="001B4F7A" w:rsidRDefault="00803ACF" w:rsidP="00E671D9">
            <w:pPr>
              <w:jc w:val="center"/>
              <w:rPr>
                <w:bCs/>
                <w:sz w:val="20"/>
                <w:szCs w:val="20"/>
                <w:lang w:val="es-MX"/>
              </w:rPr>
            </w:pPr>
            <w:r w:rsidRPr="001B4F7A">
              <w:rPr>
                <w:bCs/>
                <w:sz w:val="20"/>
                <w:szCs w:val="20"/>
                <w:lang w:val="es-MX"/>
              </w:rPr>
              <w:t>2016</w:t>
            </w:r>
          </w:p>
        </w:tc>
        <w:tc>
          <w:tcPr>
            <w:tcW w:w="638" w:type="pct"/>
            <w:shd w:val="clear" w:color="auto" w:fill="FFFFFF"/>
            <w:noWrap/>
            <w:tcMar>
              <w:left w:w="115" w:type="dxa"/>
              <w:right w:w="173" w:type="dxa"/>
            </w:tcMar>
            <w:vAlign w:val="center"/>
            <w:hideMark/>
          </w:tcPr>
          <w:p w14:paraId="00A585E4" w14:textId="77777777" w:rsidR="00803ACF" w:rsidRPr="001B4F7A" w:rsidRDefault="00803ACF" w:rsidP="00E671D9">
            <w:pPr>
              <w:jc w:val="right"/>
              <w:rPr>
                <w:sz w:val="20"/>
                <w:szCs w:val="20"/>
                <w:lang w:val="es-MX"/>
              </w:rPr>
            </w:pPr>
            <w:r w:rsidRPr="001B4F7A">
              <w:rPr>
                <w:sz w:val="20"/>
                <w:szCs w:val="20"/>
                <w:lang w:val="es-MX"/>
              </w:rPr>
              <w:t>170.740</w:t>
            </w:r>
          </w:p>
        </w:tc>
        <w:tc>
          <w:tcPr>
            <w:tcW w:w="639" w:type="pct"/>
            <w:shd w:val="clear" w:color="auto" w:fill="FFFFFF"/>
            <w:noWrap/>
            <w:tcMar>
              <w:left w:w="115" w:type="dxa"/>
              <w:right w:w="173" w:type="dxa"/>
            </w:tcMar>
            <w:vAlign w:val="center"/>
            <w:hideMark/>
          </w:tcPr>
          <w:p w14:paraId="690E3406" w14:textId="77777777" w:rsidR="00803ACF" w:rsidRPr="001B4F7A" w:rsidRDefault="00803ACF" w:rsidP="00E671D9">
            <w:pPr>
              <w:jc w:val="right"/>
              <w:rPr>
                <w:sz w:val="20"/>
                <w:szCs w:val="20"/>
                <w:lang w:val="es-MX"/>
              </w:rPr>
            </w:pPr>
            <w:r w:rsidRPr="001B4F7A">
              <w:rPr>
                <w:sz w:val="20"/>
                <w:szCs w:val="20"/>
                <w:lang w:val="es-MX"/>
              </w:rPr>
              <w:t>170.739</w:t>
            </w:r>
          </w:p>
        </w:tc>
        <w:tc>
          <w:tcPr>
            <w:tcW w:w="638" w:type="pct"/>
            <w:shd w:val="clear" w:color="auto" w:fill="FFFFFF"/>
            <w:noWrap/>
            <w:tcMar>
              <w:left w:w="115" w:type="dxa"/>
              <w:right w:w="173" w:type="dxa"/>
            </w:tcMar>
            <w:vAlign w:val="center"/>
            <w:hideMark/>
          </w:tcPr>
          <w:p w14:paraId="60EEACDC" w14:textId="77777777" w:rsidR="00803ACF" w:rsidRPr="001B4F7A" w:rsidRDefault="00803ACF" w:rsidP="00E671D9">
            <w:pPr>
              <w:jc w:val="right"/>
              <w:rPr>
                <w:sz w:val="20"/>
                <w:szCs w:val="20"/>
                <w:lang w:val="es-MX"/>
              </w:rPr>
            </w:pPr>
            <w:r w:rsidRPr="001B4F7A">
              <w:rPr>
                <w:sz w:val="20"/>
                <w:szCs w:val="20"/>
                <w:lang w:val="es-MX"/>
              </w:rPr>
              <w:t>73.175</w:t>
            </w:r>
          </w:p>
        </w:tc>
        <w:tc>
          <w:tcPr>
            <w:tcW w:w="639" w:type="pct"/>
            <w:shd w:val="clear" w:color="auto" w:fill="FFFFFF"/>
            <w:noWrap/>
            <w:tcMar>
              <w:left w:w="115" w:type="dxa"/>
              <w:right w:w="173" w:type="dxa"/>
            </w:tcMar>
            <w:vAlign w:val="center"/>
            <w:hideMark/>
          </w:tcPr>
          <w:p w14:paraId="3F6A61B1" w14:textId="77777777" w:rsidR="00803ACF" w:rsidRPr="001B4F7A" w:rsidRDefault="00803ACF" w:rsidP="00E671D9">
            <w:pPr>
              <w:jc w:val="right"/>
              <w:rPr>
                <w:sz w:val="20"/>
                <w:szCs w:val="20"/>
                <w:lang w:val="es-MX"/>
              </w:rPr>
            </w:pPr>
            <w:r w:rsidRPr="001B4F7A">
              <w:rPr>
                <w:sz w:val="20"/>
                <w:szCs w:val="20"/>
                <w:lang w:val="es-MX"/>
              </w:rPr>
              <w:t>73.174</w:t>
            </w:r>
          </w:p>
        </w:tc>
        <w:tc>
          <w:tcPr>
            <w:tcW w:w="638" w:type="pct"/>
            <w:shd w:val="clear" w:color="000000" w:fill="FFFFFF"/>
            <w:tcMar>
              <w:left w:w="115" w:type="dxa"/>
              <w:right w:w="173" w:type="dxa"/>
            </w:tcMar>
            <w:vAlign w:val="center"/>
          </w:tcPr>
          <w:p w14:paraId="6F32A11C" w14:textId="77777777" w:rsidR="00803ACF" w:rsidRPr="001B4F7A" w:rsidRDefault="00803ACF" w:rsidP="00E671D9">
            <w:pPr>
              <w:jc w:val="right"/>
              <w:rPr>
                <w:color w:val="000000"/>
                <w:sz w:val="20"/>
                <w:szCs w:val="20"/>
                <w:lang w:val="es-MX"/>
              </w:rPr>
            </w:pPr>
            <w:r w:rsidRPr="001B4F7A">
              <w:rPr>
                <w:color w:val="000000"/>
                <w:sz w:val="20"/>
                <w:szCs w:val="20"/>
                <w:lang w:val="es-MX"/>
              </w:rPr>
              <w:t>363.144</w:t>
            </w:r>
          </w:p>
        </w:tc>
        <w:tc>
          <w:tcPr>
            <w:tcW w:w="729" w:type="pct"/>
            <w:shd w:val="clear" w:color="000000" w:fill="FFFFFF"/>
            <w:tcMar>
              <w:left w:w="115" w:type="dxa"/>
              <w:right w:w="173" w:type="dxa"/>
            </w:tcMar>
            <w:vAlign w:val="center"/>
          </w:tcPr>
          <w:p w14:paraId="045B98E6" w14:textId="77777777" w:rsidR="00803ACF" w:rsidRPr="001B4F7A" w:rsidRDefault="00803ACF" w:rsidP="00E671D9">
            <w:pPr>
              <w:jc w:val="right"/>
              <w:rPr>
                <w:color w:val="000000"/>
                <w:sz w:val="20"/>
                <w:szCs w:val="20"/>
                <w:lang w:val="es-MX"/>
              </w:rPr>
            </w:pPr>
            <w:r w:rsidRPr="001B4F7A">
              <w:rPr>
                <w:color w:val="000000"/>
                <w:sz w:val="20"/>
                <w:szCs w:val="20"/>
                <w:lang w:val="es-MX"/>
              </w:rPr>
              <w:t>124.684</w:t>
            </w:r>
          </w:p>
        </w:tc>
        <w:tc>
          <w:tcPr>
            <w:tcW w:w="578" w:type="pct"/>
            <w:shd w:val="clear" w:color="000000" w:fill="FFFFFF"/>
            <w:tcMar>
              <w:left w:w="115" w:type="dxa"/>
              <w:right w:w="173" w:type="dxa"/>
            </w:tcMar>
            <w:vAlign w:val="center"/>
          </w:tcPr>
          <w:p w14:paraId="49056E6B" w14:textId="77777777" w:rsidR="00803ACF" w:rsidRPr="001B4F7A" w:rsidRDefault="00803ACF" w:rsidP="00E671D9">
            <w:pPr>
              <w:jc w:val="right"/>
              <w:rPr>
                <w:sz w:val="20"/>
                <w:szCs w:val="20"/>
                <w:lang w:val="es-MX"/>
              </w:rPr>
            </w:pPr>
            <w:r w:rsidRPr="001B4F7A">
              <w:rPr>
                <w:color w:val="000000"/>
                <w:sz w:val="20"/>
                <w:szCs w:val="20"/>
                <w:lang w:val="es-MX"/>
              </w:rPr>
              <w:t>487.828</w:t>
            </w:r>
          </w:p>
        </w:tc>
      </w:tr>
      <w:tr w:rsidR="008557D9" w:rsidRPr="001B4F7A" w14:paraId="09C6DE59" w14:textId="77777777" w:rsidTr="003E34E2">
        <w:trPr>
          <w:jc w:val="center"/>
        </w:trPr>
        <w:tc>
          <w:tcPr>
            <w:tcW w:w="500" w:type="pct"/>
            <w:shd w:val="clear" w:color="auto" w:fill="auto"/>
            <w:noWrap/>
            <w:vAlign w:val="center"/>
            <w:hideMark/>
          </w:tcPr>
          <w:p w14:paraId="29F3158A" w14:textId="77777777" w:rsidR="00803ACF" w:rsidRPr="001B4F7A" w:rsidRDefault="00803ACF" w:rsidP="00E671D9">
            <w:pPr>
              <w:jc w:val="center"/>
              <w:rPr>
                <w:bCs/>
                <w:sz w:val="20"/>
                <w:szCs w:val="20"/>
                <w:lang w:val="es-MX"/>
              </w:rPr>
            </w:pPr>
            <w:r w:rsidRPr="001B4F7A">
              <w:rPr>
                <w:bCs/>
                <w:sz w:val="20"/>
                <w:szCs w:val="20"/>
                <w:lang w:val="es-MX"/>
              </w:rPr>
              <w:t>2017</w:t>
            </w:r>
          </w:p>
        </w:tc>
        <w:tc>
          <w:tcPr>
            <w:tcW w:w="638" w:type="pct"/>
            <w:shd w:val="clear" w:color="auto" w:fill="FFFFFF"/>
            <w:noWrap/>
            <w:tcMar>
              <w:left w:w="115" w:type="dxa"/>
              <w:right w:w="173" w:type="dxa"/>
            </w:tcMar>
            <w:vAlign w:val="center"/>
            <w:hideMark/>
          </w:tcPr>
          <w:p w14:paraId="6D8E09A6" w14:textId="77777777" w:rsidR="00803ACF" w:rsidRPr="001B4F7A" w:rsidRDefault="00803ACF" w:rsidP="00E671D9">
            <w:pPr>
              <w:jc w:val="right"/>
              <w:rPr>
                <w:sz w:val="20"/>
                <w:szCs w:val="20"/>
                <w:lang w:val="es-MX"/>
              </w:rPr>
            </w:pPr>
            <w:r w:rsidRPr="001B4F7A">
              <w:rPr>
                <w:sz w:val="20"/>
                <w:szCs w:val="20"/>
                <w:lang w:val="es-MX"/>
              </w:rPr>
              <w:t>121.497</w:t>
            </w:r>
          </w:p>
        </w:tc>
        <w:tc>
          <w:tcPr>
            <w:tcW w:w="639" w:type="pct"/>
            <w:shd w:val="clear" w:color="auto" w:fill="FFFFFF"/>
            <w:noWrap/>
            <w:tcMar>
              <w:left w:w="115" w:type="dxa"/>
              <w:right w:w="173" w:type="dxa"/>
            </w:tcMar>
            <w:vAlign w:val="center"/>
            <w:hideMark/>
          </w:tcPr>
          <w:p w14:paraId="7D15202F" w14:textId="77777777" w:rsidR="00803ACF" w:rsidRPr="001B4F7A" w:rsidRDefault="00803ACF" w:rsidP="00E671D9">
            <w:pPr>
              <w:jc w:val="right"/>
              <w:rPr>
                <w:sz w:val="20"/>
                <w:szCs w:val="20"/>
                <w:lang w:val="es-MX"/>
              </w:rPr>
            </w:pPr>
            <w:r w:rsidRPr="001B4F7A">
              <w:rPr>
                <w:sz w:val="20"/>
                <w:szCs w:val="20"/>
                <w:lang w:val="es-MX"/>
              </w:rPr>
              <w:t>121.497</w:t>
            </w:r>
          </w:p>
        </w:tc>
        <w:tc>
          <w:tcPr>
            <w:tcW w:w="638" w:type="pct"/>
            <w:shd w:val="clear" w:color="auto" w:fill="FFFFFF"/>
            <w:noWrap/>
            <w:tcMar>
              <w:left w:w="115" w:type="dxa"/>
              <w:right w:w="173" w:type="dxa"/>
            </w:tcMar>
            <w:vAlign w:val="center"/>
            <w:hideMark/>
          </w:tcPr>
          <w:p w14:paraId="2E80A715" w14:textId="77777777" w:rsidR="00803ACF" w:rsidRPr="001B4F7A" w:rsidRDefault="00803ACF" w:rsidP="00E671D9">
            <w:pPr>
              <w:jc w:val="right"/>
              <w:rPr>
                <w:sz w:val="20"/>
                <w:szCs w:val="20"/>
                <w:lang w:val="es-MX"/>
              </w:rPr>
            </w:pPr>
            <w:r w:rsidRPr="001B4F7A">
              <w:rPr>
                <w:sz w:val="20"/>
                <w:szCs w:val="20"/>
                <w:lang w:val="es-MX"/>
              </w:rPr>
              <w:t>52.070</w:t>
            </w:r>
          </w:p>
        </w:tc>
        <w:tc>
          <w:tcPr>
            <w:tcW w:w="639" w:type="pct"/>
            <w:shd w:val="clear" w:color="auto" w:fill="FFFFFF"/>
            <w:noWrap/>
            <w:tcMar>
              <w:left w:w="115" w:type="dxa"/>
              <w:right w:w="173" w:type="dxa"/>
            </w:tcMar>
            <w:vAlign w:val="center"/>
            <w:hideMark/>
          </w:tcPr>
          <w:p w14:paraId="18969BC9" w14:textId="77777777" w:rsidR="00803ACF" w:rsidRPr="001B4F7A" w:rsidRDefault="00803ACF" w:rsidP="00E671D9">
            <w:pPr>
              <w:jc w:val="right"/>
              <w:rPr>
                <w:sz w:val="20"/>
                <w:szCs w:val="20"/>
                <w:lang w:val="es-MX"/>
              </w:rPr>
            </w:pPr>
            <w:r w:rsidRPr="001B4F7A">
              <w:rPr>
                <w:sz w:val="20"/>
                <w:szCs w:val="20"/>
                <w:lang w:val="es-MX"/>
              </w:rPr>
              <w:t>52.070</w:t>
            </w:r>
          </w:p>
        </w:tc>
        <w:tc>
          <w:tcPr>
            <w:tcW w:w="638" w:type="pct"/>
            <w:shd w:val="clear" w:color="000000" w:fill="FFFFFF"/>
            <w:tcMar>
              <w:left w:w="115" w:type="dxa"/>
              <w:right w:w="173" w:type="dxa"/>
            </w:tcMar>
            <w:vAlign w:val="center"/>
          </w:tcPr>
          <w:p w14:paraId="64E3289D" w14:textId="77777777" w:rsidR="00803ACF" w:rsidRPr="001B4F7A" w:rsidRDefault="00803ACF" w:rsidP="00E671D9">
            <w:pPr>
              <w:jc w:val="right"/>
              <w:rPr>
                <w:color w:val="000000"/>
                <w:sz w:val="20"/>
                <w:szCs w:val="20"/>
                <w:lang w:val="es-MX"/>
              </w:rPr>
            </w:pPr>
            <w:r w:rsidRPr="001B4F7A">
              <w:rPr>
                <w:color w:val="000000"/>
                <w:sz w:val="20"/>
                <w:szCs w:val="20"/>
                <w:lang w:val="es-MX"/>
              </w:rPr>
              <w:t>282.609</w:t>
            </w:r>
          </w:p>
        </w:tc>
        <w:tc>
          <w:tcPr>
            <w:tcW w:w="729" w:type="pct"/>
            <w:shd w:val="clear" w:color="000000" w:fill="FFFFFF"/>
            <w:tcMar>
              <w:left w:w="115" w:type="dxa"/>
              <w:right w:w="173" w:type="dxa"/>
            </w:tcMar>
            <w:vAlign w:val="center"/>
          </w:tcPr>
          <w:p w14:paraId="7999EA85" w14:textId="77777777" w:rsidR="00803ACF" w:rsidRPr="001B4F7A" w:rsidRDefault="00803ACF" w:rsidP="00E671D9">
            <w:pPr>
              <w:jc w:val="right"/>
              <w:rPr>
                <w:color w:val="000000"/>
                <w:sz w:val="20"/>
                <w:szCs w:val="20"/>
                <w:lang w:val="es-MX"/>
              </w:rPr>
            </w:pPr>
            <w:r w:rsidRPr="001B4F7A">
              <w:rPr>
                <w:color w:val="000000"/>
                <w:sz w:val="20"/>
                <w:szCs w:val="20"/>
                <w:lang w:val="es-MX"/>
              </w:rPr>
              <w:t>64.525</w:t>
            </w:r>
          </w:p>
        </w:tc>
        <w:tc>
          <w:tcPr>
            <w:tcW w:w="578" w:type="pct"/>
            <w:shd w:val="clear" w:color="000000" w:fill="FFFFFF"/>
            <w:tcMar>
              <w:left w:w="115" w:type="dxa"/>
              <w:right w:w="173" w:type="dxa"/>
            </w:tcMar>
            <w:vAlign w:val="center"/>
          </w:tcPr>
          <w:p w14:paraId="20C6E834" w14:textId="77777777" w:rsidR="00803ACF" w:rsidRPr="001B4F7A" w:rsidRDefault="00803ACF" w:rsidP="00E671D9">
            <w:pPr>
              <w:jc w:val="right"/>
              <w:rPr>
                <w:sz w:val="20"/>
                <w:szCs w:val="20"/>
                <w:lang w:val="es-MX"/>
              </w:rPr>
            </w:pPr>
            <w:r w:rsidRPr="001B4F7A">
              <w:rPr>
                <w:color w:val="000000"/>
                <w:sz w:val="20"/>
                <w:szCs w:val="20"/>
                <w:lang w:val="es-MX"/>
              </w:rPr>
              <w:t>347.134</w:t>
            </w:r>
          </w:p>
        </w:tc>
      </w:tr>
      <w:tr w:rsidR="008557D9" w:rsidRPr="001B4F7A" w14:paraId="073E98B6" w14:textId="77777777" w:rsidTr="003E34E2">
        <w:trPr>
          <w:jc w:val="center"/>
        </w:trPr>
        <w:tc>
          <w:tcPr>
            <w:tcW w:w="500" w:type="pct"/>
            <w:shd w:val="clear" w:color="auto" w:fill="auto"/>
            <w:noWrap/>
            <w:vAlign w:val="center"/>
            <w:hideMark/>
          </w:tcPr>
          <w:p w14:paraId="2D4CAC70" w14:textId="77777777" w:rsidR="00803ACF" w:rsidRPr="001B4F7A" w:rsidRDefault="00803ACF" w:rsidP="00E671D9">
            <w:pPr>
              <w:jc w:val="center"/>
              <w:rPr>
                <w:bCs/>
                <w:sz w:val="20"/>
                <w:szCs w:val="20"/>
                <w:lang w:val="es-MX"/>
              </w:rPr>
            </w:pPr>
            <w:r w:rsidRPr="001B4F7A">
              <w:rPr>
                <w:bCs/>
                <w:sz w:val="20"/>
                <w:szCs w:val="20"/>
                <w:lang w:val="es-MX"/>
              </w:rPr>
              <w:t>2018</w:t>
            </w:r>
          </w:p>
        </w:tc>
        <w:tc>
          <w:tcPr>
            <w:tcW w:w="638" w:type="pct"/>
            <w:shd w:val="clear" w:color="auto" w:fill="FFFFFF"/>
            <w:noWrap/>
            <w:tcMar>
              <w:left w:w="115" w:type="dxa"/>
              <w:right w:w="173" w:type="dxa"/>
            </w:tcMar>
            <w:vAlign w:val="center"/>
            <w:hideMark/>
          </w:tcPr>
          <w:p w14:paraId="71800FB0" w14:textId="77777777" w:rsidR="00803ACF" w:rsidRPr="001B4F7A" w:rsidRDefault="00803ACF" w:rsidP="00E671D9">
            <w:pPr>
              <w:jc w:val="right"/>
              <w:rPr>
                <w:sz w:val="20"/>
                <w:szCs w:val="20"/>
                <w:lang w:val="es-MX"/>
              </w:rPr>
            </w:pPr>
            <w:r w:rsidRPr="001B4F7A">
              <w:rPr>
                <w:sz w:val="20"/>
                <w:szCs w:val="20"/>
                <w:lang w:val="es-MX"/>
              </w:rPr>
              <w:t>134.050</w:t>
            </w:r>
          </w:p>
        </w:tc>
        <w:tc>
          <w:tcPr>
            <w:tcW w:w="639" w:type="pct"/>
            <w:shd w:val="clear" w:color="auto" w:fill="FFFFFF"/>
            <w:noWrap/>
            <w:tcMar>
              <w:left w:w="115" w:type="dxa"/>
              <w:right w:w="173" w:type="dxa"/>
            </w:tcMar>
            <w:vAlign w:val="center"/>
            <w:hideMark/>
          </w:tcPr>
          <w:p w14:paraId="58E6CC52" w14:textId="77777777" w:rsidR="00803ACF" w:rsidRPr="001B4F7A" w:rsidRDefault="00803ACF" w:rsidP="00E671D9">
            <w:pPr>
              <w:jc w:val="right"/>
              <w:rPr>
                <w:sz w:val="20"/>
                <w:szCs w:val="20"/>
                <w:lang w:val="es-MX"/>
              </w:rPr>
            </w:pPr>
            <w:r w:rsidRPr="001B4F7A">
              <w:rPr>
                <w:sz w:val="20"/>
                <w:szCs w:val="20"/>
                <w:lang w:val="es-MX"/>
              </w:rPr>
              <w:t>134.050</w:t>
            </w:r>
          </w:p>
        </w:tc>
        <w:tc>
          <w:tcPr>
            <w:tcW w:w="638" w:type="pct"/>
            <w:shd w:val="clear" w:color="auto" w:fill="FFFFFF"/>
            <w:noWrap/>
            <w:tcMar>
              <w:left w:w="115" w:type="dxa"/>
              <w:right w:w="173" w:type="dxa"/>
            </w:tcMar>
            <w:vAlign w:val="center"/>
            <w:hideMark/>
          </w:tcPr>
          <w:p w14:paraId="29394985" w14:textId="77777777" w:rsidR="00803ACF" w:rsidRPr="001B4F7A" w:rsidRDefault="00803ACF" w:rsidP="00E671D9">
            <w:pPr>
              <w:jc w:val="right"/>
              <w:rPr>
                <w:sz w:val="20"/>
                <w:szCs w:val="20"/>
                <w:lang w:val="es-MX"/>
              </w:rPr>
            </w:pPr>
            <w:r w:rsidRPr="001B4F7A">
              <w:rPr>
                <w:sz w:val="20"/>
                <w:szCs w:val="20"/>
                <w:lang w:val="es-MX"/>
              </w:rPr>
              <w:t>57.450</w:t>
            </w:r>
          </w:p>
        </w:tc>
        <w:tc>
          <w:tcPr>
            <w:tcW w:w="639" w:type="pct"/>
            <w:shd w:val="clear" w:color="auto" w:fill="FFFFFF"/>
            <w:noWrap/>
            <w:tcMar>
              <w:left w:w="115" w:type="dxa"/>
              <w:right w:w="173" w:type="dxa"/>
            </w:tcMar>
            <w:vAlign w:val="center"/>
            <w:hideMark/>
          </w:tcPr>
          <w:p w14:paraId="15C64418" w14:textId="77777777" w:rsidR="00803ACF" w:rsidRPr="001B4F7A" w:rsidRDefault="00803ACF" w:rsidP="00E671D9">
            <w:pPr>
              <w:jc w:val="right"/>
              <w:rPr>
                <w:sz w:val="20"/>
                <w:szCs w:val="20"/>
                <w:lang w:val="es-MX"/>
              </w:rPr>
            </w:pPr>
            <w:r w:rsidRPr="001B4F7A">
              <w:rPr>
                <w:sz w:val="20"/>
                <w:szCs w:val="20"/>
                <w:lang w:val="es-MX"/>
              </w:rPr>
              <w:t>57.450</w:t>
            </w:r>
          </w:p>
        </w:tc>
        <w:tc>
          <w:tcPr>
            <w:tcW w:w="638" w:type="pct"/>
            <w:shd w:val="clear" w:color="000000" w:fill="FFFFFF"/>
            <w:tcMar>
              <w:left w:w="115" w:type="dxa"/>
              <w:right w:w="173" w:type="dxa"/>
            </w:tcMar>
            <w:vAlign w:val="center"/>
          </w:tcPr>
          <w:p w14:paraId="722EF8D9" w14:textId="77777777" w:rsidR="00803ACF" w:rsidRPr="001B4F7A" w:rsidRDefault="00803ACF" w:rsidP="00E671D9">
            <w:pPr>
              <w:jc w:val="right"/>
              <w:rPr>
                <w:color w:val="000000"/>
                <w:sz w:val="20"/>
                <w:szCs w:val="20"/>
                <w:lang w:val="es-MX"/>
              </w:rPr>
            </w:pPr>
            <w:r w:rsidRPr="001B4F7A">
              <w:rPr>
                <w:color w:val="000000"/>
                <w:sz w:val="20"/>
                <w:szCs w:val="20"/>
                <w:lang w:val="es-MX"/>
              </w:rPr>
              <w:t>303.000</w:t>
            </w:r>
          </w:p>
        </w:tc>
        <w:tc>
          <w:tcPr>
            <w:tcW w:w="729" w:type="pct"/>
            <w:shd w:val="clear" w:color="000000" w:fill="FFFFFF"/>
            <w:tcMar>
              <w:left w:w="115" w:type="dxa"/>
              <w:right w:w="173" w:type="dxa"/>
            </w:tcMar>
            <w:vAlign w:val="center"/>
          </w:tcPr>
          <w:p w14:paraId="0F0D9C83" w14:textId="77777777" w:rsidR="00803ACF" w:rsidRPr="001B4F7A" w:rsidRDefault="00803ACF" w:rsidP="00E671D9">
            <w:pPr>
              <w:jc w:val="right"/>
              <w:rPr>
                <w:color w:val="000000"/>
                <w:sz w:val="20"/>
                <w:szCs w:val="20"/>
                <w:lang w:val="es-MX"/>
              </w:rPr>
            </w:pPr>
            <w:r w:rsidRPr="001B4F7A">
              <w:rPr>
                <w:color w:val="000000"/>
                <w:sz w:val="20"/>
                <w:szCs w:val="20"/>
                <w:lang w:val="es-MX"/>
              </w:rPr>
              <w:t>80.000</w:t>
            </w:r>
          </w:p>
        </w:tc>
        <w:tc>
          <w:tcPr>
            <w:tcW w:w="578" w:type="pct"/>
            <w:shd w:val="clear" w:color="000000" w:fill="FFFFFF"/>
            <w:tcMar>
              <w:left w:w="115" w:type="dxa"/>
              <w:right w:w="173" w:type="dxa"/>
            </w:tcMar>
            <w:vAlign w:val="center"/>
          </w:tcPr>
          <w:p w14:paraId="183A14D9" w14:textId="77777777" w:rsidR="00803ACF" w:rsidRPr="001B4F7A" w:rsidRDefault="00803ACF" w:rsidP="00E671D9">
            <w:pPr>
              <w:jc w:val="right"/>
              <w:rPr>
                <w:sz w:val="20"/>
                <w:szCs w:val="20"/>
                <w:lang w:val="es-MX"/>
              </w:rPr>
            </w:pPr>
            <w:r w:rsidRPr="001B4F7A">
              <w:rPr>
                <w:color w:val="000000"/>
                <w:sz w:val="20"/>
                <w:szCs w:val="20"/>
                <w:lang w:val="es-MX"/>
              </w:rPr>
              <w:t>383.000</w:t>
            </w:r>
          </w:p>
        </w:tc>
      </w:tr>
      <w:tr w:rsidR="008557D9" w:rsidRPr="001B4F7A" w14:paraId="117CA76F" w14:textId="77777777" w:rsidTr="003E34E2">
        <w:trPr>
          <w:jc w:val="center"/>
        </w:trPr>
        <w:tc>
          <w:tcPr>
            <w:tcW w:w="500" w:type="pct"/>
            <w:shd w:val="clear" w:color="auto" w:fill="auto"/>
            <w:noWrap/>
            <w:vAlign w:val="center"/>
          </w:tcPr>
          <w:p w14:paraId="0775235C" w14:textId="77777777" w:rsidR="00803ACF" w:rsidRPr="001B4F7A" w:rsidRDefault="00803ACF" w:rsidP="00E671D9">
            <w:pPr>
              <w:jc w:val="center"/>
              <w:rPr>
                <w:bCs/>
                <w:sz w:val="20"/>
                <w:szCs w:val="20"/>
                <w:lang w:val="es-MX"/>
              </w:rPr>
            </w:pPr>
            <w:r w:rsidRPr="001B4F7A">
              <w:rPr>
                <w:bCs/>
                <w:sz w:val="20"/>
                <w:szCs w:val="20"/>
                <w:lang w:val="es-MX"/>
              </w:rPr>
              <w:t>2019</w:t>
            </w:r>
          </w:p>
        </w:tc>
        <w:tc>
          <w:tcPr>
            <w:tcW w:w="638" w:type="pct"/>
            <w:shd w:val="clear" w:color="auto" w:fill="FFFFFF"/>
            <w:noWrap/>
            <w:tcMar>
              <w:left w:w="115" w:type="dxa"/>
              <w:right w:w="173" w:type="dxa"/>
            </w:tcMar>
            <w:vAlign w:val="center"/>
          </w:tcPr>
          <w:p w14:paraId="33DA3E77" w14:textId="77777777" w:rsidR="00803ACF" w:rsidRPr="001B4F7A" w:rsidRDefault="00803ACF" w:rsidP="00E671D9">
            <w:pPr>
              <w:jc w:val="right"/>
              <w:rPr>
                <w:sz w:val="20"/>
                <w:szCs w:val="20"/>
                <w:lang w:val="es-MX"/>
              </w:rPr>
            </w:pPr>
            <w:r w:rsidRPr="001B4F7A">
              <w:rPr>
                <w:sz w:val="20"/>
                <w:szCs w:val="20"/>
                <w:lang w:val="es-MX"/>
              </w:rPr>
              <w:t>121.800</w:t>
            </w:r>
          </w:p>
        </w:tc>
        <w:tc>
          <w:tcPr>
            <w:tcW w:w="639" w:type="pct"/>
            <w:shd w:val="clear" w:color="auto" w:fill="FFFFFF"/>
            <w:noWrap/>
            <w:tcMar>
              <w:left w:w="115" w:type="dxa"/>
              <w:right w:w="173" w:type="dxa"/>
            </w:tcMar>
            <w:vAlign w:val="center"/>
          </w:tcPr>
          <w:p w14:paraId="569B1DFE" w14:textId="77777777" w:rsidR="00803ACF" w:rsidRPr="001B4F7A" w:rsidRDefault="00803ACF" w:rsidP="00E671D9">
            <w:pPr>
              <w:jc w:val="right"/>
              <w:rPr>
                <w:sz w:val="20"/>
                <w:szCs w:val="20"/>
                <w:lang w:val="es-MX"/>
              </w:rPr>
            </w:pPr>
            <w:r w:rsidRPr="001B4F7A">
              <w:rPr>
                <w:sz w:val="20"/>
                <w:szCs w:val="20"/>
                <w:lang w:val="es-MX"/>
              </w:rPr>
              <w:t>121.800</w:t>
            </w:r>
          </w:p>
        </w:tc>
        <w:tc>
          <w:tcPr>
            <w:tcW w:w="638" w:type="pct"/>
            <w:shd w:val="clear" w:color="auto" w:fill="FFFFFF"/>
            <w:noWrap/>
            <w:tcMar>
              <w:left w:w="115" w:type="dxa"/>
              <w:right w:w="173" w:type="dxa"/>
            </w:tcMar>
            <w:vAlign w:val="center"/>
          </w:tcPr>
          <w:p w14:paraId="17DA6D0C" w14:textId="77777777" w:rsidR="00803ACF" w:rsidRPr="001B4F7A" w:rsidRDefault="00803ACF" w:rsidP="00E671D9">
            <w:pPr>
              <w:jc w:val="right"/>
              <w:rPr>
                <w:sz w:val="20"/>
                <w:szCs w:val="20"/>
                <w:lang w:val="es-MX"/>
              </w:rPr>
            </w:pPr>
            <w:r w:rsidRPr="001B4F7A">
              <w:rPr>
                <w:sz w:val="20"/>
                <w:szCs w:val="20"/>
                <w:lang w:val="es-MX"/>
              </w:rPr>
              <w:t>52.200</w:t>
            </w:r>
          </w:p>
        </w:tc>
        <w:tc>
          <w:tcPr>
            <w:tcW w:w="639" w:type="pct"/>
            <w:shd w:val="clear" w:color="auto" w:fill="FFFFFF"/>
            <w:noWrap/>
            <w:tcMar>
              <w:left w:w="115" w:type="dxa"/>
              <w:right w:w="173" w:type="dxa"/>
            </w:tcMar>
            <w:vAlign w:val="center"/>
          </w:tcPr>
          <w:p w14:paraId="31961BAF" w14:textId="77777777" w:rsidR="00803ACF" w:rsidRPr="001B4F7A" w:rsidRDefault="00803ACF" w:rsidP="00E671D9">
            <w:pPr>
              <w:jc w:val="right"/>
              <w:rPr>
                <w:sz w:val="20"/>
                <w:szCs w:val="20"/>
                <w:lang w:val="es-MX"/>
              </w:rPr>
            </w:pPr>
            <w:r w:rsidRPr="001B4F7A">
              <w:rPr>
                <w:sz w:val="20"/>
                <w:szCs w:val="20"/>
                <w:lang w:val="es-MX"/>
              </w:rPr>
              <w:t>52.200</w:t>
            </w:r>
          </w:p>
        </w:tc>
        <w:tc>
          <w:tcPr>
            <w:tcW w:w="638" w:type="pct"/>
            <w:shd w:val="clear" w:color="000000" w:fill="FFFFFF"/>
            <w:tcMar>
              <w:left w:w="115" w:type="dxa"/>
              <w:right w:w="173" w:type="dxa"/>
            </w:tcMar>
            <w:vAlign w:val="center"/>
          </w:tcPr>
          <w:p w14:paraId="66B0D67F" w14:textId="77777777" w:rsidR="00803ACF" w:rsidRPr="001B4F7A" w:rsidRDefault="00803ACF" w:rsidP="00E671D9">
            <w:pPr>
              <w:jc w:val="right"/>
              <w:rPr>
                <w:color w:val="000000"/>
                <w:sz w:val="20"/>
                <w:szCs w:val="20"/>
                <w:lang w:val="es-MX"/>
              </w:rPr>
            </w:pPr>
            <w:r w:rsidRPr="001B4F7A">
              <w:rPr>
                <w:color w:val="000000"/>
                <w:sz w:val="20"/>
                <w:szCs w:val="20"/>
                <w:lang w:val="es-MX"/>
              </w:rPr>
              <w:t>293.000</w:t>
            </w:r>
          </w:p>
        </w:tc>
        <w:tc>
          <w:tcPr>
            <w:tcW w:w="729" w:type="pct"/>
            <w:shd w:val="clear" w:color="000000" w:fill="FFFFFF"/>
            <w:tcMar>
              <w:left w:w="115" w:type="dxa"/>
              <w:right w:w="173" w:type="dxa"/>
            </w:tcMar>
            <w:vAlign w:val="center"/>
          </w:tcPr>
          <w:p w14:paraId="2921C2BF" w14:textId="77777777" w:rsidR="00803ACF" w:rsidRPr="001B4F7A" w:rsidRDefault="00803ACF" w:rsidP="00E671D9">
            <w:pPr>
              <w:jc w:val="right"/>
              <w:rPr>
                <w:color w:val="000000"/>
                <w:sz w:val="20"/>
                <w:szCs w:val="20"/>
                <w:lang w:val="es-MX"/>
              </w:rPr>
            </w:pPr>
            <w:r w:rsidRPr="001B4F7A">
              <w:rPr>
                <w:color w:val="000000"/>
                <w:sz w:val="20"/>
                <w:szCs w:val="20"/>
                <w:lang w:val="es-MX"/>
              </w:rPr>
              <w:t>55.000</w:t>
            </w:r>
          </w:p>
        </w:tc>
        <w:tc>
          <w:tcPr>
            <w:tcW w:w="578" w:type="pct"/>
            <w:shd w:val="clear" w:color="000000" w:fill="FFFFFF"/>
            <w:tcMar>
              <w:left w:w="115" w:type="dxa"/>
              <w:right w:w="173" w:type="dxa"/>
            </w:tcMar>
            <w:vAlign w:val="center"/>
          </w:tcPr>
          <w:p w14:paraId="0F38CF7D" w14:textId="77777777" w:rsidR="00803ACF" w:rsidRPr="001B4F7A" w:rsidRDefault="00803ACF" w:rsidP="00E671D9">
            <w:pPr>
              <w:jc w:val="right"/>
              <w:rPr>
                <w:sz w:val="20"/>
                <w:szCs w:val="20"/>
                <w:lang w:val="es-MX"/>
              </w:rPr>
            </w:pPr>
            <w:r w:rsidRPr="001B4F7A">
              <w:rPr>
                <w:color w:val="000000"/>
                <w:sz w:val="20"/>
                <w:szCs w:val="20"/>
                <w:lang w:val="es-MX"/>
              </w:rPr>
              <w:t>348.000</w:t>
            </w:r>
          </w:p>
        </w:tc>
      </w:tr>
      <w:tr w:rsidR="008557D9" w:rsidRPr="001B4F7A" w14:paraId="7E03540D" w14:textId="77777777" w:rsidTr="003E34E2">
        <w:trPr>
          <w:jc w:val="center"/>
        </w:trPr>
        <w:tc>
          <w:tcPr>
            <w:tcW w:w="500" w:type="pct"/>
            <w:shd w:val="clear" w:color="auto" w:fill="auto"/>
            <w:noWrap/>
            <w:vAlign w:val="center"/>
          </w:tcPr>
          <w:p w14:paraId="76300990" w14:textId="77777777" w:rsidR="00803ACF" w:rsidRPr="001B4F7A" w:rsidRDefault="00803ACF" w:rsidP="00E671D9">
            <w:pPr>
              <w:jc w:val="center"/>
              <w:rPr>
                <w:bCs/>
                <w:sz w:val="20"/>
                <w:szCs w:val="20"/>
                <w:lang w:val="es-MX"/>
              </w:rPr>
            </w:pPr>
            <w:r w:rsidRPr="001B4F7A">
              <w:rPr>
                <w:bCs/>
                <w:sz w:val="20"/>
                <w:szCs w:val="20"/>
                <w:lang w:val="es-MX"/>
              </w:rPr>
              <w:t>2020</w:t>
            </w:r>
          </w:p>
        </w:tc>
        <w:tc>
          <w:tcPr>
            <w:tcW w:w="638" w:type="pct"/>
            <w:shd w:val="clear" w:color="auto" w:fill="FFFFFF"/>
            <w:noWrap/>
            <w:tcMar>
              <w:left w:w="115" w:type="dxa"/>
              <w:right w:w="173" w:type="dxa"/>
            </w:tcMar>
            <w:vAlign w:val="center"/>
          </w:tcPr>
          <w:p w14:paraId="2BEBDB04" w14:textId="77777777" w:rsidR="00803ACF" w:rsidRPr="001B4F7A" w:rsidRDefault="00803ACF" w:rsidP="00E671D9">
            <w:pPr>
              <w:jc w:val="right"/>
              <w:rPr>
                <w:sz w:val="20"/>
                <w:szCs w:val="20"/>
                <w:lang w:val="es-MX"/>
              </w:rPr>
            </w:pPr>
            <w:r w:rsidRPr="001B4F7A">
              <w:rPr>
                <w:sz w:val="20"/>
                <w:szCs w:val="20"/>
                <w:lang w:val="es-MX"/>
              </w:rPr>
              <w:t>175.000</w:t>
            </w:r>
          </w:p>
        </w:tc>
        <w:tc>
          <w:tcPr>
            <w:tcW w:w="639" w:type="pct"/>
            <w:shd w:val="clear" w:color="auto" w:fill="FFFFFF"/>
            <w:noWrap/>
            <w:tcMar>
              <w:left w:w="115" w:type="dxa"/>
              <w:right w:w="173" w:type="dxa"/>
            </w:tcMar>
            <w:vAlign w:val="center"/>
          </w:tcPr>
          <w:p w14:paraId="123DEC1E" w14:textId="77777777" w:rsidR="00803ACF" w:rsidRPr="001B4F7A" w:rsidRDefault="00803ACF" w:rsidP="00E671D9">
            <w:pPr>
              <w:jc w:val="right"/>
              <w:rPr>
                <w:sz w:val="20"/>
                <w:szCs w:val="20"/>
                <w:lang w:val="es-MX"/>
              </w:rPr>
            </w:pPr>
            <w:r w:rsidRPr="001B4F7A">
              <w:rPr>
                <w:sz w:val="20"/>
                <w:szCs w:val="20"/>
                <w:lang w:val="es-MX"/>
              </w:rPr>
              <w:t>175.000</w:t>
            </w:r>
          </w:p>
        </w:tc>
        <w:tc>
          <w:tcPr>
            <w:tcW w:w="638" w:type="pct"/>
            <w:shd w:val="clear" w:color="auto" w:fill="FFFFFF"/>
            <w:noWrap/>
            <w:tcMar>
              <w:left w:w="115" w:type="dxa"/>
              <w:right w:w="173" w:type="dxa"/>
            </w:tcMar>
            <w:vAlign w:val="center"/>
          </w:tcPr>
          <w:p w14:paraId="6C97EF32" w14:textId="77777777" w:rsidR="00803ACF" w:rsidRPr="001B4F7A" w:rsidRDefault="00803ACF" w:rsidP="00E671D9">
            <w:pPr>
              <w:jc w:val="right"/>
              <w:rPr>
                <w:sz w:val="20"/>
                <w:szCs w:val="20"/>
                <w:lang w:val="es-MX"/>
              </w:rPr>
            </w:pPr>
            <w:r w:rsidRPr="001B4F7A">
              <w:rPr>
                <w:sz w:val="20"/>
                <w:szCs w:val="20"/>
                <w:lang w:val="es-MX"/>
              </w:rPr>
              <w:t>75.000</w:t>
            </w:r>
          </w:p>
        </w:tc>
        <w:tc>
          <w:tcPr>
            <w:tcW w:w="639" w:type="pct"/>
            <w:shd w:val="clear" w:color="auto" w:fill="FFFFFF"/>
            <w:noWrap/>
            <w:tcMar>
              <w:left w:w="115" w:type="dxa"/>
              <w:right w:w="173" w:type="dxa"/>
            </w:tcMar>
            <w:vAlign w:val="center"/>
          </w:tcPr>
          <w:p w14:paraId="1BC04920" w14:textId="77777777" w:rsidR="00803ACF" w:rsidRPr="001B4F7A" w:rsidRDefault="00803ACF" w:rsidP="00E671D9">
            <w:pPr>
              <w:jc w:val="right"/>
              <w:rPr>
                <w:sz w:val="20"/>
                <w:szCs w:val="20"/>
                <w:lang w:val="es-MX"/>
              </w:rPr>
            </w:pPr>
            <w:r w:rsidRPr="001B4F7A">
              <w:rPr>
                <w:sz w:val="20"/>
                <w:szCs w:val="20"/>
                <w:lang w:val="es-MX"/>
              </w:rPr>
              <w:t>75.000</w:t>
            </w:r>
          </w:p>
        </w:tc>
        <w:tc>
          <w:tcPr>
            <w:tcW w:w="638" w:type="pct"/>
            <w:shd w:val="clear" w:color="000000" w:fill="FFFFFF"/>
            <w:tcMar>
              <w:left w:w="115" w:type="dxa"/>
              <w:right w:w="173" w:type="dxa"/>
            </w:tcMar>
            <w:vAlign w:val="center"/>
          </w:tcPr>
          <w:p w14:paraId="3AC2231F" w14:textId="77777777" w:rsidR="00803ACF" w:rsidRPr="001B4F7A" w:rsidRDefault="00803ACF" w:rsidP="00E671D9">
            <w:pPr>
              <w:jc w:val="right"/>
              <w:rPr>
                <w:color w:val="000000"/>
                <w:sz w:val="20"/>
                <w:szCs w:val="20"/>
                <w:lang w:val="es-MX"/>
              </w:rPr>
            </w:pPr>
            <w:r w:rsidRPr="001B4F7A">
              <w:rPr>
                <w:color w:val="000000"/>
                <w:sz w:val="20"/>
                <w:szCs w:val="20"/>
                <w:lang w:val="es-MX"/>
              </w:rPr>
              <w:t>420.000</w:t>
            </w:r>
          </w:p>
        </w:tc>
        <w:tc>
          <w:tcPr>
            <w:tcW w:w="729" w:type="pct"/>
            <w:shd w:val="clear" w:color="000000" w:fill="FFFFFF"/>
            <w:tcMar>
              <w:left w:w="115" w:type="dxa"/>
              <w:right w:w="173" w:type="dxa"/>
            </w:tcMar>
            <w:vAlign w:val="center"/>
          </w:tcPr>
          <w:p w14:paraId="44CA3594" w14:textId="77777777" w:rsidR="00803ACF" w:rsidRPr="001B4F7A" w:rsidRDefault="00803ACF" w:rsidP="00E671D9">
            <w:pPr>
              <w:jc w:val="right"/>
              <w:rPr>
                <w:color w:val="000000"/>
                <w:sz w:val="20"/>
                <w:szCs w:val="20"/>
                <w:lang w:val="es-MX"/>
              </w:rPr>
            </w:pPr>
            <w:r w:rsidRPr="001B4F7A">
              <w:rPr>
                <w:color w:val="000000"/>
                <w:sz w:val="20"/>
                <w:szCs w:val="20"/>
                <w:lang w:val="es-MX"/>
              </w:rPr>
              <w:t>80.000</w:t>
            </w:r>
          </w:p>
        </w:tc>
        <w:tc>
          <w:tcPr>
            <w:tcW w:w="578" w:type="pct"/>
            <w:shd w:val="clear" w:color="000000" w:fill="FFFFFF"/>
            <w:tcMar>
              <w:left w:w="115" w:type="dxa"/>
              <w:right w:w="173" w:type="dxa"/>
            </w:tcMar>
            <w:vAlign w:val="center"/>
          </w:tcPr>
          <w:p w14:paraId="1C763606" w14:textId="77777777" w:rsidR="00803ACF" w:rsidRPr="001B4F7A" w:rsidRDefault="00803ACF" w:rsidP="00E671D9">
            <w:pPr>
              <w:jc w:val="right"/>
              <w:rPr>
                <w:sz w:val="20"/>
                <w:szCs w:val="20"/>
                <w:lang w:val="es-MX"/>
              </w:rPr>
            </w:pPr>
            <w:r w:rsidRPr="001B4F7A">
              <w:rPr>
                <w:color w:val="000000"/>
                <w:sz w:val="20"/>
                <w:szCs w:val="20"/>
                <w:lang w:val="es-MX"/>
              </w:rPr>
              <w:t>500.000</w:t>
            </w:r>
          </w:p>
        </w:tc>
      </w:tr>
    </w:tbl>
    <w:p w14:paraId="60BC68B0" w14:textId="77777777" w:rsidR="00D14223" w:rsidRPr="001B4F7A" w:rsidRDefault="00D14223" w:rsidP="00E671D9">
      <w:pPr>
        <w:widowControl w:val="0"/>
        <w:outlineLvl w:val="0"/>
        <w:rPr>
          <w:lang w:val="es-MX"/>
        </w:rPr>
      </w:pPr>
    </w:p>
    <w:p w14:paraId="37090C6B" w14:textId="3FEEC7A5" w:rsidR="00B72473" w:rsidRPr="001B4F7A" w:rsidRDefault="00EF412B" w:rsidP="00E671D9">
      <w:pPr>
        <w:pStyle w:val="Heading1"/>
        <w:rPr>
          <w:lang w:val="es-MX"/>
        </w:rPr>
      </w:pPr>
      <w:r w:rsidRPr="001B4F7A">
        <w:rPr>
          <w:lang w:val="es-MX"/>
        </w:rPr>
        <w:t>En 2020, la producción aumentó aproximadamente un 40 por ciento en comparación con 2019; MCMC estima un aumento hasta una producción de 600.000, 750.000, y un millón de unidades en el primer, segundo y tercer año después de la conversión, respectivamente. Las exportaciones de MCMC disminuyeron de más de 500.000 unidades en 2009 a cerca de 80.000 unidades en 2020, debido a que los principales clientes de Europa y Argelia se están cambiando por equipos que funcionan con R</w:t>
      </w:r>
      <w:r w:rsidRPr="001B4F7A">
        <w:rPr>
          <w:lang w:val="es-MX"/>
        </w:rPr>
        <w:noBreakHyphen/>
        <w:t>600a.</w:t>
      </w:r>
    </w:p>
    <w:p w14:paraId="712E2E99" w14:textId="77777777" w:rsidR="00CA6601" w:rsidRPr="001B4F7A" w:rsidRDefault="00CA6601" w:rsidP="00E671D9">
      <w:pPr>
        <w:keepNext/>
        <w:spacing w:after="240"/>
        <w:outlineLvl w:val="0"/>
        <w:rPr>
          <w:u w:val="single"/>
          <w:lang w:val="es-MX"/>
        </w:rPr>
      </w:pPr>
      <w:r w:rsidRPr="001B4F7A">
        <w:rPr>
          <w:u w:val="single"/>
          <w:lang w:val="es-MX"/>
        </w:rPr>
        <w:t>Descripción del proyecto</w:t>
      </w:r>
    </w:p>
    <w:p w14:paraId="13BE9999" w14:textId="47A2A8A5" w:rsidR="00CA6601" w:rsidRPr="001B4F7A" w:rsidRDefault="00CA6601" w:rsidP="00E671D9">
      <w:pPr>
        <w:pStyle w:val="Heading1"/>
        <w:rPr>
          <w:lang w:val="es-MX"/>
        </w:rPr>
      </w:pPr>
      <w:r w:rsidRPr="001B4F7A">
        <w:rPr>
          <w:lang w:val="es-MX"/>
        </w:rPr>
        <w:t>MCMC desea convertir una de las dos líneas de producción que fabrica modelos de baja presión de evaporación, de HFC</w:t>
      </w:r>
      <w:r w:rsidRPr="001B4F7A">
        <w:rPr>
          <w:lang w:val="es-MX"/>
        </w:rPr>
        <w:noBreakHyphen/>
        <w:t>134a a R</w:t>
      </w:r>
      <w:r w:rsidRPr="001B4F7A">
        <w:rPr>
          <w:lang w:val="es-MX"/>
        </w:rPr>
        <w:noBreakHyphen/>
        <w:t xml:space="preserve">600a. La conversión de la segunda línea de producción a R-600a formará parte de la estrategia sectorial que se incluirá en el plan de reducción de la eliminación de los HFC para Egipto. </w:t>
      </w:r>
    </w:p>
    <w:p w14:paraId="1217395C" w14:textId="2897E35D" w:rsidR="005E1AFD" w:rsidRPr="001B4F7A" w:rsidRDefault="00992EE2" w:rsidP="00E671D9">
      <w:pPr>
        <w:pStyle w:val="Heading1"/>
        <w:rPr>
          <w:lang w:val="es-MX"/>
        </w:rPr>
      </w:pPr>
      <w:r w:rsidRPr="001B4F7A">
        <w:rPr>
          <w:lang w:val="es-MX"/>
        </w:rPr>
        <w:t>Se eligió el R-600a como tecnología alternativa debido a que es una tecnología madura en el ámbito mundial; ya está disponible en el mercado local, tiene PAO nulas y un potencial de calentamiento atmosférico global muy bajo; su eficiencia energética es superior a la tecnología que utiliza HFC</w:t>
      </w:r>
      <w:r w:rsidRPr="001B4F7A">
        <w:rPr>
          <w:lang w:val="es-MX"/>
        </w:rPr>
        <w:noBreakHyphen/>
        <w:t>134a; y su precio medio en el mercado es ligeramente inferior al de un compresor que funciona con HFC</w:t>
      </w:r>
      <w:r w:rsidRPr="001B4F7A">
        <w:rPr>
          <w:lang w:val="es-MX"/>
        </w:rPr>
        <w:noBreakHyphen/>
        <w:t>134a (debido a que barre un volumen mayor y al ahorro por el uso de bobinados de aluminio en lugar de bobinados de cobre en el motor eléctrico). La introducción de compresores que funcionan con R</w:t>
      </w:r>
      <w:r w:rsidRPr="001B4F7A">
        <w:rPr>
          <w:lang w:val="es-MX"/>
        </w:rPr>
        <w:noBreakHyphen/>
        <w:t>600a fabricados localmente con un coste inferior y los beneficios asociados de la fabricación local y de la mayor disponibilidad de servicios de reparación, los tiempos de entrega más cortos y el aprovisionamiento local fomentarán el cambio a esta tecnología por parte de los fabricantes locales.</w:t>
      </w:r>
    </w:p>
    <w:p w14:paraId="2000296F" w14:textId="77777777" w:rsidR="00E058AA" w:rsidRPr="001B4F7A" w:rsidRDefault="005F41ED" w:rsidP="00E671D9">
      <w:pPr>
        <w:pStyle w:val="Heading1"/>
        <w:rPr>
          <w:lang w:val="es-MX"/>
        </w:rPr>
      </w:pPr>
      <w:r w:rsidRPr="001B4F7A">
        <w:rPr>
          <w:lang w:val="es-MX"/>
        </w:rPr>
        <w:t>Se requieren los cambios siguientes en el proceso de fabricación para la conversión a compresores que funcionan con R</w:t>
      </w:r>
      <w:r w:rsidRPr="001B4F7A">
        <w:rPr>
          <w:lang w:val="es-MX"/>
        </w:rPr>
        <w:noBreakHyphen/>
        <w:t>600a:</w:t>
      </w:r>
    </w:p>
    <w:p w14:paraId="414244D7" w14:textId="1BC9F8BF" w:rsidR="00E058AA" w:rsidRPr="001B4F7A" w:rsidRDefault="00E058AA" w:rsidP="00E671D9">
      <w:pPr>
        <w:pStyle w:val="Heading2"/>
        <w:rPr>
          <w:lang w:val="es-MX"/>
        </w:rPr>
      </w:pPr>
      <w:r w:rsidRPr="001B4F7A">
        <w:rPr>
          <w:i/>
          <w:lang w:val="es-MX"/>
        </w:rPr>
        <w:lastRenderedPageBreak/>
        <w:t>Desarrollo de piezas mecánicas para una nueva bomba:</w:t>
      </w:r>
      <w:r w:rsidRPr="001B4F7A">
        <w:rPr>
          <w:lang w:val="es-MX"/>
        </w:rPr>
        <w:t xml:space="preserve"> incluyendo un conjunto de accesorios para las líneas de montaje, un conjunto de dispositivos de medida para los nuevos componentes, nuevo troquel para cárter, troquel para cigüeñal y accesorios, grupo de culata o placa de válvulas de estampado fino, troquel de culata de aluminio y accesorios, y silenciador de succión;</w:t>
      </w:r>
    </w:p>
    <w:p w14:paraId="2657CAD1" w14:textId="44FBF05F" w:rsidR="00E058AA" w:rsidRPr="001B4F7A" w:rsidRDefault="006F579F" w:rsidP="00E671D9">
      <w:pPr>
        <w:pStyle w:val="Heading2"/>
        <w:rPr>
          <w:lang w:val="es-MX"/>
        </w:rPr>
      </w:pPr>
      <w:r w:rsidRPr="001B4F7A">
        <w:rPr>
          <w:i/>
          <w:lang w:val="es-MX"/>
        </w:rPr>
        <w:t>Modificación de una línea de producción de motores eléctricos:</w:t>
      </w:r>
      <w:r w:rsidRPr="001B4F7A">
        <w:rPr>
          <w:lang w:val="es-MX"/>
        </w:rPr>
        <w:t xml:space="preserve"> incluyendo la modificación de la máquina y accesorio para el dispositivo de ensayo del estátor, troqueles para nueva laminación con placa portaestampa, dispositivo de descarga y piezas de repuesto, modificación de los troqueles de rotor existentes para producir nueva laminación de rotor, primer paquete de modificación de línea de estátor y modificación de máquina de aislamiento, modificación de máquina de bobinado principal y máquina de inserción, conformado intermedio, modificación de máquina de bobinado auxiliar y máquina de insertado, modificación de conformado, y conformado final;</w:t>
      </w:r>
    </w:p>
    <w:p w14:paraId="110C7E2F" w14:textId="7138A87D" w:rsidR="00D02854" w:rsidRPr="001B4F7A" w:rsidRDefault="00CF64A1" w:rsidP="00E671D9">
      <w:pPr>
        <w:pStyle w:val="Heading2"/>
        <w:rPr>
          <w:u w:val="single"/>
          <w:lang w:val="es-MX"/>
        </w:rPr>
      </w:pPr>
      <w:r w:rsidRPr="001B4F7A">
        <w:rPr>
          <w:i/>
          <w:lang w:val="es-MX"/>
        </w:rPr>
        <w:t>Actualización del sistema de suspensión del soporte inferior:</w:t>
      </w:r>
      <w:r w:rsidRPr="001B4F7A">
        <w:rPr>
          <w:lang w:val="es-MX"/>
        </w:rPr>
        <w:t xml:space="preserve"> incluyendo un accesorio manual especial para el ensamblado del contrapeso, accesorio manual especial para el ensamblado del rotor y del cigüeñal, modificación de conjunto de troqueles para la nueva caja y cubierta, nueva máquina de soldar para pasadores inferiores y correas de patas, modificación de un conjunto de accesorios para la máquina de soldadura de caja existente, y conjunto de dispositivos de medida nuevos; </w:t>
      </w:r>
    </w:p>
    <w:p w14:paraId="275184C7" w14:textId="77777777" w:rsidR="00E058AA" w:rsidRPr="001B4F7A" w:rsidRDefault="00C53C22" w:rsidP="00E671D9">
      <w:pPr>
        <w:pStyle w:val="Heading2"/>
        <w:rPr>
          <w:lang w:val="es-MX"/>
        </w:rPr>
      </w:pPr>
      <w:r w:rsidRPr="001B4F7A">
        <w:rPr>
          <w:i/>
          <w:lang w:val="es-MX"/>
        </w:rPr>
        <w:t>Adaptación de los laboratorios de la empresa:</w:t>
      </w:r>
      <w:r w:rsidRPr="001B4F7A">
        <w:rPr>
          <w:lang w:val="es-MX"/>
        </w:rPr>
        <w:t xml:space="preserve"> incluyendo modificaciones al calorímetro, así como al rotor bloqueado y la sobrecarga, y juego de dispositivos de ensayos de alta temperatura para cámaras; y</w:t>
      </w:r>
    </w:p>
    <w:p w14:paraId="7D5F8681" w14:textId="369DDA84" w:rsidR="00D02854" w:rsidRPr="001B4F7A" w:rsidRDefault="00E058AA" w:rsidP="00E671D9">
      <w:pPr>
        <w:pStyle w:val="Heading2"/>
        <w:rPr>
          <w:lang w:val="es-MX"/>
        </w:rPr>
      </w:pPr>
      <w:r w:rsidRPr="001B4F7A">
        <w:rPr>
          <w:i/>
          <w:lang w:val="es-MX"/>
        </w:rPr>
        <w:t>Transferencia de conocimientos técnicos para el nuevo diseño:</w:t>
      </w:r>
      <w:r w:rsidRPr="001B4F7A">
        <w:rPr>
          <w:lang w:val="es-MX"/>
        </w:rPr>
        <w:t xml:space="preserve"> incluyendo las medidas de seguridad y el diseño de funcionamiento del compresor; asistencia técnica para adquirir un nuevo diseño de R-600a y llevar a cabo las modificaciones necesarias para la conversión de la máquina; y ejecución del nuevo diseño por parte del equipo de desarrollo de MCMC.</w:t>
      </w:r>
    </w:p>
    <w:p w14:paraId="54B7F640" w14:textId="4092C217" w:rsidR="00E220AC" w:rsidRPr="001B4F7A" w:rsidRDefault="00E72A4E" w:rsidP="00E671D9">
      <w:pPr>
        <w:pStyle w:val="Heading1"/>
        <w:rPr>
          <w:lang w:val="es-MX"/>
        </w:rPr>
      </w:pPr>
      <w:r w:rsidRPr="001B4F7A">
        <w:rPr>
          <w:lang w:val="es-MX"/>
        </w:rPr>
        <w:t>La propuesta de proyecto también incluye un componente sobre la transformación del mercado, la preparación y la creación de capacidad para desplegar con seguridad y eficiencia la tecnología basada en R</w:t>
      </w:r>
      <w:r w:rsidRPr="001B4F7A">
        <w:rPr>
          <w:lang w:val="es-MX"/>
        </w:rPr>
        <w:noBreakHyphen/>
        <w:t xml:space="preserve">600a a escala comercial para todos los fabricantes locales. Este componente, que debe poner en marcha el PNUMA, incluye las siguientes dos partes: </w:t>
      </w:r>
    </w:p>
    <w:p w14:paraId="306EEAF7" w14:textId="030D53C6" w:rsidR="00224B0A" w:rsidRPr="001B4F7A" w:rsidRDefault="00224B0A" w:rsidP="00E671D9">
      <w:pPr>
        <w:pStyle w:val="Heading2"/>
        <w:rPr>
          <w:lang w:val="es-MX"/>
        </w:rPr>
      </w:pPr>
      <w:r w:rsidRPr="001B4F7A">
        <w:rPr>
          <w:i/>
          <w:lang w:val="es-MX"/>
        </w:rPr>
        <w:t>Una hoja de ruta de políticas:</w:t>
      </w:r>
      <w:r w:rsidRPr="001B4F7A">
        <w:rPr>
          <w:lang w:val="es-MX"/>
        </w:rPr>
        <w:t xml:space="preserve"> con el objeto de analizar y actualizar la normativa existente y la capacidad institucional para facilitar la introducción de equipos de refrigeración que funcionan con R</w:t>
      </w:r>
      <w:r w:rsidRPr="001B4F7A">
        <w:rPr>
          <w:lang w:val="es-MX"/>
        </w:rPr>
        <w:noBreakHyphen/>
        <w:t xml:space="preserve">600a a escala comercial, y evitando al mismo tiempo la introducción de equipos de refrigeración con alto potencial de calentamiento atmosférico global, tanto domésticos como comerciales independientes; y </w:t>
      </w:r>
    </w:p>
    <w:p w14:paraId="2A38C6EB" w14:textId="21F6881F" w:rsidR="00E220AC" w:rsidRPr="001B4F7A" w:rsidRDefault="00224B0A" w:rsidP="00E671D9">
      <w:pPr>
        <w:pStyle w:val="Heading2"/>
        <w:rPr>
          <w:lang w:val="es-MX"/>
        </w:rPr>
      </w:pPr>
      <w:r w:rsidRPr="001B4F7A">
        <w:rPr>
          <w:i/>
          <w:lang w:val="es-MX"/>
        </w:rPr>
        <w:t>Un estudio de preparación del mercado:</w:t>
      </w:r>
      <w:r w:rsidRPr="001B4F7A">
        <w:rPr>
          <w:lang w:val="es-MX"/>
        </w:rPr>
        <w:t xml:space="preserve"> con el objeto de analizar los riesgos y consideraciones de seguridad de la conversión a tecnología basada en R</w:t>
      </w:r>
      <w:r w:rsidRPr="001B4F7A">
        <w:rPr>
          <w:lang w:val="es-MX"/>
        </w:rPr>
        <w:noBreakHyphen/>
        <w:t>600a</w:t>
      </w:r>
      <w:r w:rsidRPr="001B4F7A">
        <w:rPr>
          <w:lang w:val="es-MX"/>
        </w:rPr>
        <w:noBreakHyphen/>
        <w:t>, incluyendo, entre otras cosas, el transporte y el almacenamiento de productos finales precargados con R</w:t>
      </w:r>
      <w:r w:rsidRPr="001B4F7A">
        <w:rPr>
          <w:lang w:val="es-MX"/>
        </w:rPr>
        <w:noBreakHyphen/>
        <w:t>600a, el transporte y el almacenamiento de cilindros de R</w:t>
      </w:r>
      <w:r w:rsidRPr="001B4F7A">
        <w:rPr>
          <w:lang w:val="es-MX"/>
        </w:rPr>
        <w:noBreakHyphen/>
        <w:t>600a (en instalaciones que no son de fabricación), y las prácticas de servicio y mantenimiento de los usuarios finales y de los talleres de servicio y mantenimiento.</w:t>
      </w:r>
    </w:p>
    <w:p w14:paraId="5F340042" w14:textId="77777777" w:rsidR="00AE35D2" w:rsidRPr="001B4F7A" w:rsidRDefault="00AE35D2" w:rsidP="00E671D9">
      <w:pPr>
        <w:pStyle w:val="Heading2"/>
        <w:keepNext/>
        <w:widowControl/>
        <w:numPr>
          <w:ilvl w:val="0"/>
          <w:numId w:val="0"/>
        </w:numPr>
        <w:ind w:left="720" w:hanging="720"/>
        <w:rPr>
          <w:u w:val="single"/>
          <w:lang w:val="es-MX"/>
        </w:rPr>
      </w:pPr>
      <w:r w:rsidRPr="001B4F7A">
        <w:rPr>
          <w:u w:val="single"/>
          <w:lang w:val="es-MX"/>
        </w:rPr>
        <w:lastRenderedPageBreak/>
        <w:t>Costos del proyecto y cofinanciación</w:t>
      </w:r>
    </w:p>
    <w:p w14:paraId="68FACA7A" w14:textId="77777777" w:rsidR="008A20CA" w:rsidRPr="001B4F7A" w:rsidRDefault="008A20CA" w:rsidP="00E671D9">
      <w:pPr>
        <w:pStyle w:val="Heading1"/>
        <w:keepNext/>
        <w:numPr>
          <w:ilvl w:val="0"/>
          <w:numId w:val="0"/>
        </w:numPr>
        <w:rPr>
          <w:i/>
          <w:lang w:val="es-MX"/>
        </w:rPr>
      </w:pPr>
      <w:r w:rsidRPr="001B4F7A">
        <w:rPr>
          <w:i/>
          <w:lang w:val="es-MX"/>
        </w:rPr>
        <w:t>Costo de conversión</w:t>
      </w:r>
    </w:p>
    <w:p w14:paraId="783696BD" w14:textId="5B88B123" w:rsidR="00AE35D2" w:rsidRPr="001B4F7A" w:rsidRDefault="00AE35D2" w:rsidP="00E671D9">
      <w:pPr>
        <w:pStyle w:val="Heading1"/>
        <w:rPr>
          <w:lang w:val="es-MX"/>
        </w:rPr>
      </w:pPr>
      <w:r w:rsidRPr="001B4F7A">
        <w:rPr>
          <w:lang w:val="es-MX"/>
        </w:rPr>
        <w:t>Los costos adicionales de capital, tal como se presentaron originalmente, se han estimado en 3.300.000 $EUA; de esta cantidad, se solicitan al Fondo Multilateral 1.799.600 $EUA (excluyendo los ajustes de financiación debido a la propiedad extranjera), y 1.664.000 $EUA será la contribución de contraparte de MCMC. El Cuadro 2 muestra los costos adicionales de capital totales.</w:t>
      </w:r>
    </w:p>
    <w:p w14:paraId="6141CA7E" w14:textId="630097D1" w:rsidR="00AE35D2" w:rsidRPr="001B4F7A" w:rsidRDefault="00AE35D2" w:rsidP="00E671D9">
      <w:pPr>
        <w:keepNext/>
        <w:autoSpaceDE w:val="0"/>
        <w:autoSpaceDN w:val="0"/>
        <w:adjustRightInd w:val="0"/>
        <w:rPr>
          <w:b/>
          <w:lang w:val="es-MX"/>
        </w:rPr>
      </w:pPr>
      <w:r w:rsidRPr="001B4F7A">
        <w:rPr>
          <w:b/>
          <w:lang w:val="es-MX"/>
        </w:rPr>
        <w:t>Cuadro 2</w:t>
      </w:r>
      <w:r w:rsidR="003E34E2">
        <w:rPr>
          <w:b/>
          <w:lang w:val="es-MX"/>
        </w:rPr>
        <w:t>.</w:t>
      </w:r>
      <w:r w:rsidRPr="001B4F7A">
        <w:rPr>
          <w:b/>
          <w:lang w:val="es-MX"/>
        </w:rPr>
        <w:t xml:space="preserve"> Costos adicionales de capital de conversión de una línea de producción de compresores de MCMC ($EUA)</w:t>
      </w:r>
    </w:p>
    <w:tbl>
      <w:tblPr>
        <w:tblW w:w="5000" w:type="pct"/>
        <w:tblLook w:val="04A0" w:firstRow="1" w:lastRow="0" w:firstColumn="1" w:lastColumn="0" w:noHBand="0" w:noVBand="1"/>
      </w:tblPr>
      <w:tblGrid>
        <w:gridCol w:w="8075"/>
        <w:gridCol w:w="1275"/>
      </w:tblGrid>
      <w:tr w:rsidR="00852680" w:rsidRPr="001B4F7A" w14:paraId="6E002A76" w14:textId="77777777" w:rsidTr="00CF64A1">
        <w:trPr>
          <w:tblHeader/>
        </w:trPr>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34022B1A" w14:textId="77777777" w:rsidR="00852680" w:rsidRPr="001B4F7A" w:rsidRDefault="00852680" w:rsidP="00BC2E9D">
            <w:pPr>
              <w:jc w:val="center"/>
              <w:rPr>
                <w:b/>
                <w:bCs/>
                <w:color w:val="000000"/>
                <w:sz w:val="20"/>
                <w:szCs w:val="20"/>
                <w:lang w:val="es-MX"/>
              </w:rPr>
            </w:pPr>
            <w:r w:rsidRPr="001B4F7A">
              <w:rPr>
                <w:b/>
                <w:bCs/>
                <w:color w:val="000000"/>
                <w:sz w:val="20"/>
                <w:szCs w:val="20"/>
                <w:lang w:val="es-MX"/>
              </w:rPr>
              <w:t>Elemento</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23C4A6D" w14:textId="5CD6600F" w:rsidR="00852680" w:rsidRPr="001B4F7A" w:rsidRDefault="00852680" w:rsidP="00CF64A1">
            <w:pPr>
              <w:jc w:val="center"/>
              <w:rPr>
                <w:rFonts w:ascii="Calibri" w:hAnsi="Calibri"/>
                <w:color w:val="000000"/>
                <w:sz w:val="20"/>
                <w:szCs w:val="20"/>
                <w:lang w:val="es-MX"/>
              </w:rPr>
            </w:pPr>
            <w:r w:rsidRPr="001B4F7A">
              <w:rPr>
                <w:b/>
                <w:bCs/>
                <w:color w:val="000000"/>
                <w:sz w:val="20"/>
                <w:szCs w:val="20"/>
                <w:lang w:val="es-MX"/>
              </w:rPr>
              <w:t>Costo</w:t>
            </w:r>
          </w:p>
        </w:tc>
      </w:tr>
      <w:tr w:rsidR="00CF64A1" w:rsidRPr="001B4F7A" w14:paraId="76ADB682" w14:textId="77777777" w:rsidTr="00CF64A1">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0154B" w14:textId="5C0DD94E" w:rsidR="00CF64A1" w:rsidRPr="001B4F7A" w:rsidRDefault="00CF64A1" w:rsidP="008B3BE5">
            <w:pPr>
              <w:jc w:val="left"/>
              <w:rPr>
                <w:rFonts w:ascii="Calibri" w:hAnsi="Calibri"/>
                <w:color w:val="000000"/>
                <w:sz w:val="20"/>
                <w:szCs w:val="20"/>
                <w:lang w:val="es-MX"/>
              </w:rPr>
            </w:pPr>
            <w:r w:rsidRPr="001B4F7A">
              <w:rPr>
                <w:b/>
                <w:bCs/>
                <w:color w:val="000000"/>
                <w:sz w:val="20"/>
                <w:szCs w:val="20"/>
                <w:lang w:val="es-MX"/>
              </w:rPr>
              <w:t xml:space="preserve">Desarrollo de piezas mecánicas para una nueva bomba </w:t>
            </w:r>
          </w:p>
        </w:tc>
      </w:tr>
      <w:tr w:rsidR="000E4457" w:rsidRPr="001B4F7A" w14:paraId="5C454FA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013F9862" w14:textId="77777777" w:rsidR="000E4457" w:rsidRPr="001B4F7A" w:rsidRDefault="000E4457" w:rsidP="00E671D9">
            <w:pPr>
              <w:ind w:left="158"/>
              <w:jc w:val="left"/>
              <w:rPr>
                <w:rFonts w:asciiTheme="majorBidi" w:hAnsiTheme="majorBidi" w:cstheme="majorBidi"/>
                <w:color w:val="1D2228"/>
                <w:sz w:val="20"/>
                <w:szCs w:val="20"/>
                <w:lang w:val="es-MX"/>
              </w:rPr>
            </w:pPr>
            <w:r w:rsidRPr="001B4F7A">
              <w:rPr>
                <w:rFonts w:asciiTheme="majorBidi" w:hAnsiTheme="majorBidi"/>
                <w:color w:val="1D2228"/>
                <w:sz w:val="20"/>
                <w:szCs w:val="20"/>
                <w:lang w:val="es-MX"/>
              </w:rPr>
              <w:t>Conjunto de accesorios para las líneas de montaje</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7FC5A484" w14:textId="77777777" w:rsidR="000E4457" w:rsidRPr="001B4F7A" w:rsidRDefault="000E4457" w:rsidP="00E671D9">
            <w:pPr>
              <w:jc w:val="right"/>
              <w:rPr>
                <w:color w:val="000000"/>
                <w:sz w:val="20"/>
                <w:szCs w:val="20"/>
                <w:lang w:val="es-MX"/>
              </w:rPr>
            </w:pPr>
            <w:r w:rsidRPr="001B4F7A">
              <w:rPr>
                <w:color w:val="000000"/>
                <w:sz w:val="20"/>
                <w:szCs w:val="20"/>
                <w:lang w:val="es-MX"/>
              </w:rPr>
              <w:t>60.000</w:t>
            </w:r>
          </w:p>
        </w:tc>
      </w:tr>
      <w:tr w:rsidR="000E4457" w:rsidRPr="001B4F7A" w14:paraId="5812A9AE"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D3D56" w14:textId="77777777" w:rsidR="000E4457" w:rsidRPr="001B4F7A" w:rsidRDefault="000E4457" w:rsidP="00E671D9">
            <w:pPr>
              <w:ind w:left="158"/>
              <w:jc w:val="left"/>
              <w:rPr>
                <w:color w:val="000000"/>
                <w:sz w:val="20"/>
                <w:szCs w:val="20"/>
                <w:lang w:val="es-MX"/>
              </w:rPr>
            </w:pPr>
            <w:r w:rsidRPr="001B4F7A">
              <w:rPr>
                <w:rFonts w:asciiTheme="majorBidi" w:hAnsiTheme="majorBidi"/>
                <w:color w:val="1D2228"/>
                <w:sz w:val="20"/>
                <w:szCs w:val="20"/>
                <w:lang w:val="es-MX"/>
              </w:rPr>
              <w:t>Conjunto de dispositivos de medida para los nuevos componentes y otros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18F708A0" w14:textId="77777777" w:rsidR="000E4457" w:rsidRPr="001B4F7A" w:rsidRDefault="000E4457" w:rsidP="00E671D9">
            <w:pPr>
              <w:jc w:val="right"/>
              <w:rPr>
                <w:color w:val="000000"/>
                <w:sz w:val="20"/>
                <w:szCs w:val="20"/>
                <w:lang w:val="es-MX"/>
              </w:rPr>
            </w:pPr>
            <w:r w:rsidRPr="001B4F7A">
              <w:rPr>
                <w:color w:val="000000"/>
                <w:sz w:val="20"/>
                <w:szCs w:val="20"/>
                <w:lang w:val="es-MX"/>
              </w:rPr>
              <w:t>24.000</w:t>
            </w:r>
          </w:p>
        </w:tc>
      </w:tr>
      <w:tr w:rsidR="000E4457" w:rsidRPr="001B4F7A" w14:paraId="0D3C6DF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463F5" w14:textId="77777777" w:rsidR="000E4457" w:rsidRPr="001B4F7A" w:rsidRDefault="000E4457" w:rsidP="00E671D9">
            <w:pPr>
              <w:ind w:left="158"/>
              <w:jc w:val="left"/>
              <w:rPr>
                <w:color w:val="000000"/>
                <w:sz w:val="20"/>
                <w:szCs w:val="20"/>
                <w:lang w:val="es-MX"/>
              </w:rPr>
            </w:pPr>
            <w:r w:rsidRPr="001B4F7A">
              <w:rPr>
                <w:rFonts w:asciiTheme="majorBidi" w:hAnsiTheme="majorBidi"/>
                <w:color w:val="1D2228"/>
                <w:sz w:val="20"/>
                <w:szCs w:val="20"/>
                <w:lang w:val="es-MX"/>
              </w:rPr>
              <w:t>Nuevo troquel de cárter y accesorios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467B8F7C" w14:textId="77777777" w:rsidR="000E4457" w:rsidRPr="001B4F7A" w:rsidRDefault="000E4457" w:rsidP="00E671D9">
            <w:pPr>
              <w:jc w:val="right"/>
              <w:rPr>
                <w:color w:val="000000"/>
                <w:sz w:val="20"/>
                <w:szCs w:val="20"/>
                <w:lang w:val="es-MX"/>
              </w:rPr>
            </w:pPr>
            <w:r w:rsidRPr="001B4F7A">
              <w:rPr>
                <w:color w:val="000000"/>
                <w:sz w:val="20"/>
                <w:szCs w:val="20"/>
                <w:lang w:val="es-MX"/>
              </w:rPr>
              <w:t>120.000</w:t>
            </w:r>
          </w:p>
        </w:tc>
      </w:tr>
      <w:tr w:rsidR="000E4457" w:rsidRPr="001B4F7A" w14:paraId="29EBEDAE"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2DE50" w14:textId="2AB8FEE5" w:rsidR="000E4457" w:rsidRPr="001B4F7A" w:rsidRDefault="000E4457" w:rsidP="007915AD">
            <w:pPr>
              <w:ind w:left="158"/>
              <w:jc w:val="left"/>
              <w:rPr>
                <w:color w:val="000000"/>
                <w:sz w:val="20"/>
                <w:szCs w:val="20"/>
                <w:lang w:val="es-MX"/>
              </w:rPr>
            </w:pPr>
            <w:r w:rsidRPr="001B4F7A">
              <w:rPr>
                <w:rFonts w:asciiTheme="majorBidi" w:hAnsiTheme="majorBidi"/>
                <w:color w:val="1D2228"/>
                <w:sz w:val="20"/>
                <w:szCs w:val="20"/>
                <w:lang w:val="es-MX"/>
              </w:rPr>
              <w:t>Nuevo troquel de cigüeñal y accesorios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20279781" w14:textId="77777777" w:rsidR="000E4457" w:rsidRPr="001B4F7A" w:rsidRDefault="000E4457" w:rsidP="00E671D9">
            <w:pPr>
              <w:jc w:val="right"/>
              <w:rPr>
                <w:color w:val="000000"/>
                <w:sz w:val="20"/>
                <w:szCs w:val="20"/>
                <w:lang w:val="es-MX"/>
              </w:rPr>
            </w:pPr>
            <w:r w:rsidRPr="001B4F7A">
              <w:rPr>
                <w:color w:val="000000"/>
                <w:sz w:val="20"/>
                <w:szCs w:val="20"/>
                <w:lang w:val="es-MX"/>
              </w:rPr>
              <w:t>120.000</w:t>
            </w:r>
          </w:p>
        </w:tc>
      </w:tr>
      <w:tr w:rsidR="000E4457" w:rsidRPr="001B4F7A" w14:paraId="2D3CE048"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A006E" w14:textId="77777777" w:rsidR="000E4457" w:rsidRPr="001B4F7A" w:rsidRDefault="000E4457" w:rsidP="00E671D9">
            <w:pPr>
              <w:ind w:left="158"/>
              <w:jc w:val="left"/>
              <w:rPr>
                <w:color w:val="000000"/>
                <w:sz w:val="20"/>
                <w:szCs w:val="20"/>
                <w:lang w:val="es-MX"/>
              </w:rPr>
            </w:pPr>
            <w:r w:rsidRPr="001B4F7A">
              <w:rPr>
                <w:rFonts w:asciiTheme="majorBidi" w:hAnsiTheme="majorBidi"/>
                <w:color w:val="1D2228"/>
                <w:sz w:val="20"/>
                <w:szCs w:val="20"/>
                <w:lang w:val="es-MX"/>
              </w:rPr>
              <w:t>Grupo de culatas o placa de válvulas de estampado fino</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29BF5C18" w14:textId="77777777" w:rsidR="000E4457" w:rsidRPr="001B4F7A" w:rsidRDefault="000E4457" w:rsidP="00E671D9">
            <w:pPr>
              <w:jc w:val="right"/>
              <w:rPr>
                <w:color w:val="000000"/>
                <w:sz w:val="20"/>
                <w:szCs w:val="20"/>
                <w:lang w:val="es-MX"/>
              </w:rPr>
            </w:pPr>
            <w:r w:rsidRPr="001B4F7A">
              <w:rPr>
                <w:color w:val="000000"/>
                <w:sz w:val="20"/>
                <w:szCs w:val="20"/>
                <w:lang w:val="es-MX"/>
              </w:rPr>
              <w:t>12.000</w:t>
            </w:r>
          </w:p>
        </w:tc>
      </w:tr>
      <w:tr w:rsidR="000E4457" w:rsidRPr="001B4F7A" w14:paraId="35F5810F"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502A6" w14:textId="77777777" w:rsidR="000E4457" w:rsidRPr="001B4F7A" w:rsidRDefault="000E4457" w:rsidP="00E671D9">
            <w:pPr>
              <w:ind w:left="158"/>
              <w:jc w:val="left"/>
              <w:rPr>
                <w:color w:val="000000"/>
                <w:sz w:val="20"/>
                <w:szCs w:val="20"/>
                <w:lang w:val="es-MX"/>
              </w:rPr>
            </w:pPr>
            <w:r w:rsidRPr="001B4F7A">
              <w:rPr>
                <w:rFonts w:asciiTheme="majorBidi" w:hAnsiTheme="majorBidi"/>
                <w:color w:val="1D2228"/>
                <w:sz w:val="20"/>
                <w:szCs w:val="20"/>
                <w:lang w:val="es-MX"/>
              </w:rPr>
              <w:t>Troquel de culata de aluminio y accesorios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0AF361A4" w14:textId="77777777" w:rsidR="000E4457" w:rsidRPr="001B4F7A" w:rsidRDefault="000E4457" w:rsidP="00E671D9">
            <w:pPr>
              <w:jc w:val="right"/>
              <w:rPr>
                <w:color w:val="000000"/>
                <w:sz w:val="20"/>
                <w:szCs w:val="20"/>
                <w:lang w:val="es-MX"/>
              </w:rPr>
            </w:pPr>
            <w:r w:rsidRPr="001B4F7A">
              <w:rPr>
                <w:color w:val="000000"/>
                <w:sz w:val="20"/>
                <w:szCs w:val="20"/>
                <w:lang w:val="es-MX"/>
              </w:rPr>
              <w:t>24.000</w:t>
            </w:r>
          </w:p>
        </w:tc>
      </w:tr>
      <w:tr w:rsidR="000E4457" w:rsidRPr="001B4F7A" w14:paraId="2EC137C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4E3EF" w14:textId="77777777" w:rsidR="000E4457" w:rsidRPr="001B4F7A" w:rsidRDefault="000E4457" w:rsidP="00E671D9">
            <w:pPr>
              <w:ind w:left="158"/>
              <w:jc w:val="left"/>
              <w:rPr>
                <w:color w:val="000000"/>
                <w:sz w:val="20"/>
                <w:szCs w:val="20"/>
                <w:lang w:val="es-MX"/>
              </w:rPr>
            </w:pPr>
            <w:r w:rsidRPr="001B4F7A">
              <w:rPr>
                <w:rFonts w:asciiTheme="majorBidi" w:hAnsiTheme="majorBidi"/>
                <w:color w:val="1D2228"/>
                <w:sz w:val="20"/>
                <w:szCs w:val="20"/>
                <w:lang w:val="es-MX"/>
              </w:rPr>
              <w:t>Silenciador de succión de plástico</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hideMark/>
          </w:tcPr>
          <w:p w14:paraId="0789063E" w14:textId="77777777" w:rsidR="000E4457" w:rsidRPr="001B4F7A" w:rsidRDefault="000E4457" w:rsidP="00E671D9">
            <w:pPr>
              <w:jc w:val="right"/>
              <w:rPr>
                <w:color w:val="000000"/>
                <w:sz w:val="20"/>
                <w:szCs w:val="20"/>
                <w:lang w:val="es-MX"/>
              </w:rPr>
            </w:pPr>
            <w:r w:rsidRPr="001B4F7A">
              <w:rPr>
                <w:color w:val="000000"/>
                <w:sz w:val="20"/>
                <w:szCs w:val="20"/>
                <w:lang w:val="es-MX"/>
              </w:rPr>
              <w:t>12.000</w:t>
            </w:r>
          </w:p>
        </w:tc>
      </w:tr>
      <w:tr w:rsidR="000E4457" w:rsidRPr="001B4F7A" w14:paraId="7420476E"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4585195E" w14:textId="3B38AC24" w:rsidR="000E4457" w:rsidRPr="001B4F7A" w:rsidRDefault="000E4457" w:rsidP="008B3BE5">
            <w:pPr>
              <w:jc w:val="left"/>
              <w:rPr>
                <w:rFonts w:asciiTheme="majorBidi" w:hAnsiTheme="majorBidi" w:cstheme="majorBidi"/>
                <w:i/>
                <w:color w:val="1D2228"/>
                <w:sz w:val="20"/>
                <w:szCs w:val="20"/>
                <w:lang w:val="es-MX"/>
              </w:rPr>
            </w:pPr>
            <w:r w:rsidRPr="001B4F7A">
              <w:rPr>
                <w:rFonts w:asciiTheme="majorBidi" w:hAnsiTheme="majorBidi"/>
                <w:i/>
                <w:color w:val="1D2228"/>
                <w:sz w:val="20"/>
                <w:szCs w:val="20"/>
                <w:lang w:val="es-MX"/>
              </w:rPr>
              <w:t xml:space="preserve">Subtotal del desarrollo de piezas mecánicas para una nueva bomba </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E2B09B6" w14:textId="77777777" w:rsidR="000E4457" w:rsidRPr="001B4F7A" w:rsidRDefault="000E4457" w:rsidP="00E671D9">
            <w:pPr>
              <w:jc w:val="right"/>
              <w:rPr>
                <w:i/>
                <w:color w:val="000000"/>
                <w:sz w:val="20"/>
                <w:szCs w:val="20"/>
                <w:lang w:val="es-MX"/>
              </w:rPr>
            </w:pPr>
            <w:r w:rsidRPr="001B4F7A">
              <w:rPr>
                <w:i/>
                <w:color w:val="000000"/>
                <w:sz w:val="20"/>
                <w:szCs w:val="20"/>
                <w:lang w:val="es-MX"/>
              </w:rPr>
              <w:t>372.000</w:t>
            </w:r>
          </w:p>
        </w:tc>
      </w:tr>
      <w:tr w:rsidR="000E4457" w:rsidRPr="001B4F7A" w14:paraId="082A2C80"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15614FA2" w14:textId="756D73D7" w:rsidR="000E4457" w:rsidRPr="001B4F7A" w:rsidRDefault="008B3BE5" w:rsidP="008B3BE5">
            <w:pPr>
              <w:keepNext/>
              <w:keepLines/>
              <w:jc w:val="left"/>
              <w:rPr>
                <w:rFonts w:asciiTheme="majorBidi" w:hAnsiTheme="majorBidi" w:cstheme="majorBidi"/>
                <w:color w:val="1D2228"/>
                <w:sz w:val="20"/>
                <w:szCs w:val="20"/>
                <w:lang w:val="es-MX"/>
              </w:rPr>
            </w:pPr>
            <w:r w:rsidRPr="001B4F7A">
              <w:rPr>
                <w:b/>
                <w:bCs/>
                <w:color w:val="000000"/>
                <w:sz w:val="20"/>
                <w:szCs w:val="20"/>
                <w:lang w:val="es-MX"/>
              </w:rPr>
              <w:t>Modificación de una línea de producción de motores eléctricos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5138B951" w14:textId="77777777" w:rsidR="000E4457" w:rsidRPr="001B4F7A" w:rsidRDefault="000E4457" w:rsidP="00E671D9">
            <w:pPr>
              <w:jc w:val="right"/>
              <w:rPr>
                <w:color w:val="000000"/>
                <w:sz w:val="20"/>
                <w:szCs w:val="20"/>
                <w:lang w:val="es-MX"/>
              </w:rPr>
            </w:pPr>
          </w:p>
        </w:tc>
      </w:tr>
      <w:tr w:rsidR="000E4457" w:rsidRPr="001B4F7A" w14:paraId="165D3751"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54F9D655" w14:textId="77777777" w:rsidR="000E4457" w:rsidRPr="001B4F7A" w:rsidRDefault="000E4457" w:rsidP="00CF64A1">
            <w:pPr>
              <w:keepNext/>
              <w:keepLines/>
              <w:ind w:left="248"/>
              <w:jc w:val="left"/>
              <w:rPr>
                <w:color w:val="000000"/>
                <w:sz w:val="20"/>
                <w:szCs w:val="20"/>
                <w:highlight w:val="yellow"/>
                <w:lang w:val="es-MX"/>
              </w:rPr>
            </w:pPr>
            <w:r w:rsidRPr="001B4F7A">
              <w:rPr>
                <w:rFonts w:asciiTheme="majorBidi" w:hAnsiTheme="majorBidi"/>
                <w:color w:val="1D2228"/>
                <w:sz w:val="20"/>
                <w:szCs w:val="20"/>
                <w:lang w:val="es-MX"/>
              </w:rPr>
              <w:t>Modificación de la máquina y accesorio para dispositivo de ensayo de estátor</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FA05EB0" w14:textId="77777777" w:rsidR="000E4457" w:rsidRPr="001B4F7A" w:rsidRDefault="000E4457" w:rsidP="00E671D9">
            <w:pPr>
              <w:jc w:val="right"/>
              <w:rPr>
                <w:color w:val="000000"/>
                <w:sz w:val="20"/>
                <w:szCs w:val="20"/>
                <w:lang w:val="es-MX"/>
              </w:rPr>
            </w:pPr>
            <w:r w:rsidRPr="001B4F7A">
              <w:rPr>
                <w:color w:val="000000"/>
                <w:sz w:val="20"/>
                <w:szCs w:val="20"/>
                <w:lang w:val="es-MX"/>
              </w:rPr>
              <w:t>60.000</w:t>
            </w:r>
          </w:p>
        </w:tc>
      </w:tr>
      <w:tr w:rsidR="000E4457" w:rsidRPr="001B4F7A" w14:paraId="08DF64FF"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111FECCE" w14:textId="77777777"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Troqueles para laminación nueva con placa portaestampa, dispositivo de descarga y repuestos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0CC4E2A" w14:textId="77777777" w:rsidR="000E4457" w:rsidRPr="001B4F7A" w:rsidRDefault="000E4457" w:rsidP="00E671D9">
            <w:pPr>
              <w:jc w:val="right"/>
              <w:rPr>
                <w:color w:val="000000"/>
                <w:sz w:val="20"/>
                <w:szCs w:val="20"/>
                <w:lang w:val="es-MX"/>
              </w:rPr>
            </w:pPr>
            <w:r w:rsidRPr="001B4F7A">
              <w:rPr>
                <w:color w:val="000000"/>
                <w:sz w:val="20"/>
                <w:szCs w:val="20"/>
                <w:lang w:val="es-MX"/>
              </w:rPr>
              <w:t>240 000</w:t>
            </w:r>
          </w:p>
        </w:tc>
      </w:tr>
      <w:tr w:rsidR="000E4457" w:rsidRPr="001B4F7A" w14:paraId="6F60BF6B"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7D3245E7" w14:textId="370D542F" w:rsidR="000E4457" w:rsidRPr="001B4F7A" w:rsidRDefault="00CF64A1" w:rsidP="00CF64A1">
            <w:pPr>
              <w:ind w:left="248"/>
              <w:jc w:val="left"/>
              <w:rPr>
                <w:color w:val="000000"/>
                <w:sz w:val="20"/>
                <w:szCs w:val="20"/>
                <w:highlight w:val="yellow"/>
                <w:lang w:val="es-MX"/>
              </w:rPr>
            </w:pPr>
            <w:r w:rsidRPr="001B4F7A">
              <w:rPr>
                <w:rFonts w:asciiTheme="majorBidi" w:hAnsiTheme="majorBidi"/>
                <w:color w:val="1D2228"/>
                <w:sz w:val="20"/>
                <w:szCs w:val="20"/>
                <w:lang w:val="es-MX"/>
              </w:rPr>
              <w:t>Modificación de los troqueles de rotor existentes para producir nuevas laminaciones de rotor</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CB0A2C3" w14:textId="77777777" w:rsidR="000E4457" w:rsidRPr="001B4F7A" w:rsidRDefault="000E4457" w:rsidP="00E671D9">
            <w:pPr>
              <w:jc w:val="right"/>
              <w:rPr>
                <w:color w:val="000000"/>
                <w:sz w:val="20"/>
                <w:szCs w:val="20"/>
                <w:lang w:val="es-MX"/>
              </w:rPr>
            </w:pPr>
            <w:r w:rsidRPr="001B4F7A">
              <w:rPr>
                <w:color w:val="000000"/>
                <w:sz w:val="20"/>
                <w:szCs w:val="20"/>
                <w:lang w:val="es-MX"/>
              </w:rPr>
              <w:t>12.000</w:t>
            </w:r>
          </w:p>
        </w:tc>
      </w:tr>
      <w:tr w:rsidR="000E4457" w:rsidRPr="001B4F7A" w14:paraId="2F5C5058"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6D9C6EFE" w14:textId="7A710695" w:rsidR="000E4457" w:rsidRPr="001B4F7A" w:rsidRDefault="000E4457" w:rsidP="00CF64A1">
            <w:pPr>
              <w:ind w:left="248"/>
              <w:jc w:val="left"/>
              <w:rPr>
                <w:b/>
                <w:bCs/>
                <w:color w:val="000000"/>
                <w:sz w:val="20"/>
                <w:szCs w:val="20"/>
                <w:highlight w:val="yellow"/>
                <w:lang w:val="es-MX"/>
              </w:rPr>
            </w:pPr>
            <w:r w:rsidRPr="001B4F7A">
              <w:rPr>
                <w:rFonts w:asciiTheme="majorBidi" w:hAnsiTheme="majorBidi"/>
                <w:color w:val="1D2228"/>
                <w:sz w:val="20"/>
                <w:szCs w:val="20"/>
                <w:lang w:val="es-MX"/>
              </w:rPr>
              <w:t>Primer (de dos) paquete de modificación de línea de estátor y modificación de máquina de aislamiento</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255B01AF" w14:textId="77777777" w:rsidR="000E4457" w:rsidRPr="001B4F7A" w:rsidRDefault="000E4457" w:rsidP="00E671D9">
            <w:pPr>
              <w:jc w:val="right"/>
              <w:rPr>
                <w:color w:val="000000"/>
                <w:sz w:val="20"/>
                <w:szCs w:val="20"/>
                <w:lang w:val="es-MX"/>
              </w:rPr>
            </w:pPr>
            <w:r w:rsidRPr="001B4F7A">
              <w:rPr>
                <w:color w:val="000000"/>
                <w:sz w:val="20"/>
                <w:szCs w:val="20"/>
                <w:lang w:val="es-MX"/>
              </w:rPr>
              <w:t>120.000</w:t>
            </w:r>
          </w:p>
        </w:tc>
      </w:tr>
      <w:tr w:rsidR="000E4457" w:rsidRPr="001B4F7A" w14:paraId="169626E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03831B89" w14:textId="73A3E082"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Modificación de máquina de bobinado principal y máquina de inserción</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57C408E5" w14:textId="1B8676DE" w:rsidR="000E4457" w:rsidRPr="001B4F7A" w:rsidRDefault="00D84FEA" w:rsidP="00E671D9">
            <w:pPr>
              <w:jc w:val="right"/>
              <w:rPr>
                <w:color w:val="000000"/>
                <w:sz w:val="20"/>
                <w:szCs w:val="20"/>
                <w:lang w:val="es-MX"/>
              </w:rPr>
            </w:pPr>
            <w:r w:rsidRPr="001B4F7A">
              <w:rPr>
                <w:color w:val="000000"/>
                <w:sz w:val="20"/>
                <w:szCs w:val="20"/>
                <w:lang w:val="es-MX"/>
              </w:rPr>
              <w:t>372.000</w:t>
            </w:r>
          </w:p>
        </w:tc>
      </w:tr>
      <w:tr w:rsidR="000E4457" w:rsidRPr="001B4F7A" w14:paraId="7B944D08"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74010103" w14:textId="77777777"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Conformado intermedio</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6590B59E" w14:textId="77777777" w:rsidR="000E4457" w:rsidRPr="001B4F7A" w:rsidRDefault="000E4457" w:rsidP="00E671D9">
            <w:pPr>
              <w:jc w:val="right"/>
              <w:rPr>
                <w:color w:val="000000"/>
                <w:sz w:val="20"/>
                <w:szCs w:val="20"/>
                <w:lang w:val="es-MX"/>
              </w:rPr>
            </w:pPr>
            <w:r w:rsidRPr="001B4F7A">
              <w:rPr>
                <w:color w:val="000000"/>
                <w:sz w:val="20"/>
                <w:szCs w:val="20"/>
                <w:lang w:val="es-MX"/>
              </w:rPr>
              <w:t>84.000</w:t>
            </w:r>
          </w:p>
        </w:tc>
      </w:tr>
      <w:tr w:rsidR="000E4457" w:rsidRPr="001B4F7A" w14:paraId="51E31982"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035C158F" w14:textId="245F19CC" w:rsidR="000E4457" w:rsidRPr="001B4F7A" w:rsidRDefault="000E4457" w:rsidP="00E671D9">
            <w:pPr>
              <w:ind w:left="248"/>
              <w:jc w:val="left"/>
              <w:rPr>
                <w:b/>
                <w:bCs/>
                <w:color w:val="000000"/>
                <w:sz w:val="20"/>
                <w:szCs w:val="20"/>
                <w:highlight w:val="yellow"/>
                <w:lang w:val="es-MX"/>
              </w:rPr>
            </w:pPr>
            <w:r w:rsidRPr="001B4F7A">
              <w:rPr>
                <w:rFonts w:asciiTheme="majorBidi" w:hAnsiTheme="majorBidi"/>
                <w:color w:val="1D2228"/>
                <w:sz w:val="20"/>
                <w:szCs w:val="20"/>
                <w:lang w:val="es-MX"/>
              </w:rPr>
              <w:t>Modificación de máquina de bobinado auxiliar y máquina de inserción</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7EB3C6EB" w14:textId="771027BF" w:rsidR="000E4457" w:rsidRPr="001B4F7A" w:rsidRDefault="00D84FEA" w:rsidP="00E671D9">
            <w:pPr>
              <w:jc w:val="right"/>
              <w:rPr>
                <w:sz w:val="20"/>
                <w:szCs w:val="20"/>
                <w:lang w:val="es-MX"/>
              </w:rPr>
            </w:pPr>
            <w:r w:rsidRPr="001B4F7A">
              <w:rPr>
                <w:sz w:val="20"/>
                <w:szCs w:val="20"/>
                <w:lang w:val="es-MX"/>
              </w:rPr>
              <w:t>372.000</w:t>
            </w:r>
          </w:p>
        </w:tc>
      </w:tr>
      <w:tr w:rsidR="000E4457" w:rsidRPr="001B4F7A" w14:paraId="0BA7D0A0"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7E354EB4" w14:textId="77777777"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Modificación de conformado</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5E194CE5" w14:textId="77777777" w:rsidR="000E4457" w:rsidRPr="001B4F7A" w:rsidRDefault="000E4457" w:rsidP="00E671D9">
            <w:pPr>
              <w:jc w:val="right"/>
              <w:rPr>
                <w:color w:val="000000"/>
                <w:sz w:val="20"/>
                <w:szCs w:val="20"/>
                <w:lang w:val="es-MX"/>
              </w:rPr>
            </w:pPr>
            <w:r w:rsidRPr="001B4F7A">
              <w:rPr>
                <w:color w:val="000000"/>
                <w:sz w:val="20"/>
                <w:szCs w:val="20"/>
                <w:lang w:val="es-MX"/>
              </w:rPr>
              <w:t>48.000</w:t>
            </w:r>
          </w:p>
        </w:tc>
      </w:tr>
      <w:tr w:rsidR="000E4457" w:rsidRPr="001B4F7A" w14:paraId="35B278B6"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3FFB3F06" w14:textId="77777777"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Conformado final</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24ADAC29" w14:textId="77777777" w:rsidR="000E4457" w:rsidRPr="001B4F7A" w:rsidRDefault="000E4457" w:rsidP="00E671D9">
            <w:pPr>
              <w:jc w:val="right"/>
              <w:rPr>
                <w:color w:val="000000"/>
                <w:sz w:val="20"/>
                <w:szCs w:val="20"/>
                <w:lang w:val="es-MX"/>
              </w:rPr>
            </w:pPr>
            <w:r w:rsidRPr="001B4F7A">
              <w:rPr>
                <w:color w:val="000000"/>
                <w:sz w:val="20"/>
                <w:szCs w:val="20"/>
                <w:lang w:val="es-MX"/>
              </w:rPr>
              <w:t>48.000</w:t>
            </w:r>
          </w:p>
        </w:tc>
      </w:tr>
      <w:tr w:rsidR="000E4457" w:rsidRPr="001B4F7A" w14:paraId="72740BCB"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1ACDB377" w14:textId="77777777" w:rsidR="000E4457" w:rsidRPr="001B4F7A" w:rsidRDefault="000E4457" w:rsidP="00E671D9">
            <w:pPr>
              <w:ind w:left="248"/>
              <w:jc w:val="left"/>
              <w:rPr>
                <w:color w:val="000000"/>
                <w:sz w:val="20"/>
                <w:szCs w:val="20"/>
                <w:highlight w:val="yellow"/>
                <w:lang w:val="es-MX"/>
              </w:rPr>
            </w:pPr>
            <w:r w:rsidRPr="001B4F7A">
              <w:rPr>
                <w:rFonts w:asciiTheme="majorBidi" w:hAnsiTheme="majorBidi"/>
                <w:color w:val="1D2228"/>
                <w:sz w:val="20"/>
                <w:szCs w:val="20"/>
                <w:lang w:val="es-MX"/>
              </w:rPr>
              <w:t>Puesta en servicio de instalación</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606A8B6F" w14:textId="77777777" w:rsidR="000E4457" w:rsidRPr="001B4F7A" w:rsidRDefault="000E4457" w:rsidP="00E671D9">
            <w:pPr>
              <w:jc w:val="right"/>
              <w:rPr>
                <w:color w:val="000000"/>
                <w:sz w:val="20"/>
                <w:szCs w:val="20"/>
                <w:lang w:val="es-MX"/>
              </w:rPr>
            </w:pPr>
            <w:r w:rsidRPr="001B4F7A">
              <w:rPr>
                <w:color w:val="000000"/>
                <w:sz w:val="20"/>
                <w:szCs w:val="20"/>
                <w:lang w:val="es-MX"/>
              </w:rPr>
              <w:t>24.000</w:t>
            </w:r>
          </w:p>
        </w:tc>
      </w:tr>
      <w:tr w:rsidR="000E4457" w:rsidRPr="001B4F7A" w14:paraId="06758070"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68F56F38" w14:textId="77777777" w:rsidR="000E4457" w:rsidRPr="001B4F7A" w:rsidRDefault="000E4457" w:rsidP="00E671D9">
            <w:pPr>
              <w:ind w:left="248"/>
              <w:jc w:val="left"/>
              <w:rPr>
                <w:b/>
                <w:bCs/>
                <w:color w:val="000000"/>
                <w:sz w:val="20"/>
                <w:szCs w:val="20"/>
                <w:highlight w:val="yellow"/>
                <w:lang w:val="es-MX"/>
              </w:rPr>
            </w:pPr>
            <w:r w:rsidRPr="001B4F7A">
              <w:rPr>
                <w:rFonts w:asciiTheme="majorBidi" w:hAnsiTheme="majorBidi"/>
                <w:color w:val="1D2228"/>
                <w:sz w:val="20"/>
                <w:szCs w:val="20"/>
                <w:lang w:val="es-MX"/>
              </w:rPr>
              <w:t>Conjunto de dispositivos de medida</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2AB89694" w14:textId="77777777" w:rsidR="000E4457" w:rsidRPr="001B4F7A" w:rsidRDefault="000E4457" w:rsidP="00E671D9">
            <w:pPr>
              <w:jc w:val="right"/>
              <w:rPr>
                <w:bCs/>
                <w:color w:val="000000"/>
                <w:sz w:val="20"/>
                <w:szCs w:val="20"/>
                <w:lang w:val="es-MX"/>
              </w:rPr>
            </w:pPr>
            <w:r w:rsidRPr="001B4F7A">
              <w:rPr>
                <w:bCs/>
                <w:color w:val="000000"/>
                <w:sz w:val="20"/>
                <w:szCs w:val="20"/>
                <w:lang w:val="es-MX"/>
              </w:rPr>
              <w:t>24.000</w:t>
            </w:r>
          </w:p>
        </w:tc>
      </w:tr>
      <w:tr w:rsidR="000E4457" w:rsidRPr="001B4F7A" w14:paraId="460951A3"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64CD05E7" w14:textId="628CAC65" w:rsidR="000E4457" w:rsidRPr="001B4F7A" w:rsidRDefault="000E4457" w:rsidP="008B3BE5">
            <w:pPr>
              <w:jc w:val="left"/>
              <w:rPr>
                <w:rFonts w:asciiTheme="majorBidi" w:hAnsiTheme="majorBidi" w:cstheme="majorBidi"/>
                <w:i/>
                <w:color w:val="1D2228"/>
                <w:sz w:val="20"/>
                <w:szCs w:val="20"/>
                <w:lang w:val="es-MX"/>
              </w:rPr>
            </w:pPr>
            <w:r w:rsidRPr="001B4F7A">
              <w:rPr>
                <w:rFonts w:asciiTheme="majorBidi" w:hAnsiTheme="majorBidi"/>
                <w:i/>
                <w:color w:val="1D2228"/>
                <w:sz w:val="20"/>
                <w:szCs w:val="20"/>
                <w:lang w:val="es-MX"/>
              </w:rPr>
              <w:t>Subtotal de modificación de una línea de producción de motores eléctricos</w:t>
            </w:r>
          </w:p>
        </w:tc>
        <w:tc>
          <w:tcPr>
            <w:tcW w:w="682" w:type="pct"/>
            <w:tcBorders>
              <w:top w:val="nil"/>
              <w:left w:val="nil"/>
              <w:bottom w:val="single" w:sz="4" w:space="0" w:color="auto"/>
              <w:right w:val="single" w:sz="4" w:space="0" w:color="auto"/>
            </w:tcBorders>
            <w:shd w:val="clear" w:color="auto" w:fill="auto"/>
            <w:tcMar>
              <w:left w:w="115" w:type="dxa"/>
              <w:right w:w="173" w:type="dxa"/>
            </w:tcMar>
            <w:vAlign w:val="center"/>
          </w:tcPr>
          <w:p w14:paraId="2868581E" w14:textId="77777777" w:rsidR="000E4457" w:rsidRPr="001B4F7A" w:rsidRDefault="000E4457" w:rsidP="00E671D9">
            <w:pPr>
              <w:jc w:val="right"/>
              <w:rPr>
                <w:bCs/>
                <w:i/>
                <w:color w:val="000000"/>
                <w:sz w:val="20"/>
                <w:szCs w:val="20"/>
                <w:lang w:val="es-MX"/>
              </w:rPr>
            </w:pPr>
            <w:r w:rsidRPr="001B4F7A">
              <w:rPr>
                <w:bCs/>
                <w:i/>
                <w:color w:val="000000"/>
                <w:sz w:val="20"/>
                <w:szCs w:val="20"/>
                <w:lang w:val="es-MX"/>
              </w:rPr>
              <w:t>1.404.000</w:t>
            </w:r>
          </w:p>
        </w:tc>
      </w:tr>
      <w:tr w:rsidR="008B3BE5" w:rsidRPr="001B4F7A" w14:paraId="0ACA39CE" w14:textId="77777777" w:rsidTr="008B3B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D1070F5" w14:textId="50D8C051" w:rsidR="008B3BE5" w:rsidRPr="001B4F7A" w:rsidRDefault="008B3BE5" w:rsidP="008B3BE5">
            <w:pPr>
              <w:jc w:val="left"/>
              <w:rPr>
                <w:bCs/>
                <w:color w:val="000000"/>
                <w:sz w:val="20"/>
                <w:szCs w:val="20"/>
                <w:lang w:val="es-MX"/>
              </w:rPr>
            </w:pPr>
            <w:r w:rsidRPr="001B4F7A">
              <w:rPr>
                <w:b/>
                <w:color w:val="1D2228"/>
                <w:sz w:val="20"/>
                <w:szCs w:val="20"/>
                <w:lang w:val="es-MX"/>
              </w:rPr>
              <w:t>Actualización del sistema de suspensión para soporte inferior</w:t>
            </w:r>
          </w:p>
        </w:tc>
      </w:tr>
      <w:tr w:rsidR="000E4457" w:rsidRPr="001B4F7A" w14:paraId="6ACBCCC2"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hideMark/>
          </w:tcPr>
          <w:p w14:paraId="0B183C4D"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Accesorio manual especial para ensamblado del contrapeso</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3BCE0CBF" w14:textId="77777777" w:rsidR="000E4457" w:rsidRPr="001B4F7A" w:rsidRDefault="000E4457" w:rsidP="00E671D9">
            <w:pPr>
              <w:jc w:val="right"/>
              <w:rPr>
                <w:color w:val="000000"/>
                <w:sz w:val="20"/>
                <w:szCs w:val="20"/>
                <w:lang w:val="es-MX"/>
              </w:rPr>
            </w:pPr>
            <w:r w:rsidRPr="001B4F7A">
              <w:rPr>
                <w:color w:val="000000"/>
                <w:sz w:val="20"/>
                <w:szCs w:val="20"/>
                <w:lang w:val="es-MX"/>
              </w:rPr>
              <w:t>60.000</w:t>
            </w:r>
          </w:p>
        </w:tc>
      </w:tr>
      <w:tr w:rsidR="000E4457" w:rsidRPr="001B4F7A" w14:paraId="2CDF2EB1"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277B125C"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Accesorio manual especial para ensamblado de rotor y cigüeñal</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377C0BD8" w14:textId="77777777" w:rsidR="000E4457" w:rsidRPr="001B4F7A" w:rsidRDefault="000E4457" w:rsidP="00E671D9">
            <w:pPr>
              <w:jc w:val="right"/>
              <w:rPr>
                <w:color w:val="000000"/>
                <w:sz w:val="20"/>
                <w:szCs w:val="20"/>
                <w:lang w:val="es-MX"/>
              </w:rPr>
            </w:pPr>
            <w:r w:rsidRPr="001B4F7A">
              <w:rPr>
                <w:color w:val="000000"/>
                <w:sz w:val="20"/>
                <w:szCs w:val="20"/>
                <w:lang w:val="es-MX"/>
              </w:rPr>
              <w:t>120.000</w:t>
            </w:r>
          </w:p>
        </w:tc>
      </w:tr>
      <w:tr w:rsidR="000E4457" w:rsidRPr="001B4F7A" w14:paraId="689400D3"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090F123F" w14:textId="391AB4A1" w:rsidR="000E4457" w:rsidRPr="001B4F7A" w:rsidRDefault="008B3BE5" w:rsidP="008B3BE5">
            <w:pPr>
              <w:ind w:left="158"/>
              <w:jc w:val="left"/>
              <w:rPr>
                <w:color w:val="000000"/>
                <w:sz w:val="20"/>
                <w:szCs w:val="20"/>
                <w:highlight w:val="yellow"/>
                <w:lang w:val="es-MX"/>
              </w:rPr>
            </w:pPr>
            <w:r w:rsidRPr="001B4F7A">
              <w:rPr>
                <w:rFonts w:asciiTheme="majorBidi" w:hAnsiTheme="majorBidi"/>
                <w:color w:val="1D2228"/>
                <w:sz w:val="20"/>
                <w:szCs w:val="20"/>
                <w:lang w:val="es-MX"/>
              </w:rPr>
              <w:t>Modificación de un conjunto de troqueles para nueva caja y cubierta</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223BBB7A" w14:textId="77777777" w:rsidR="000E4457" w:rsidRPr="001B4F7A" w:rsidRDefault="000E4457" w:rsidP="00E671D9">
            <w:pPr>
              <w:jc w:val="right"/>
              <w:rPr>
                <w:color w:val="000000"/>
                <w:sz w:val="20"/>
                <w:szCs w:val="20"/>
                <w:lang w:val="es-MX"/>
              </w:rPr>
            </w:pPr>
            <w:r w:rsidRPr="001B4F7A">
              <w:rPr>
                <w:color w:val="000000"/>
                <w:sz w:val="20"/>
                <w:szCs w:val="20"/>
                <w:lang w:val="es-MX"/>
              </w:rPr>
              <w:t>180.000</w:t>
            </w:r>
          </w:p>
        </w:tc>
      </w:tr>
      <w:tr w:rsidR="000E4457" w:rsidRPr="001B4F7A" w14:paraId="50484D32"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10F07FC3"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Nueva soldadora para pasadores inferiores y correas de patas</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75621EE6" w14:textId="77777777" w:rsidR="000E4457" w:rsidRPr="001B4F7A" w:rsidRDefault="000E4457" w:rsidP="00E671D9">
            <w:pPr>
              <w:jc w:val="right"/>
              <w:rPr>
                <w:color w:val="000000"/>
                <w:sz w:val="20"/>
                <w:szCs w:val="20"/>
                <w:lang w:val="es-MX"/>
              </w:rPr>
            </w:pPr>
            <w:r w:rsidRPr="001B4F7A">
              <w:rPr>
                <w:color w:val="000000"/>
                <w:sz w:val="20"/>
                <w:szCs w:val="20"/>
                <w:lang w:val="es-MX"/>
              </w:rPr>
              <w:t>180.000</w:t>
            </w:r>
          </w:p>
        </w:tc>
      </w:tr>
      <w:tr w:rsidR="000E4457" w:rsidRPr="001B4F7A" w14:paraId="5368375C"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00C669E2" w14:textId="411EF267" w:rsidR="000E4457" w:rsidRPr="001B4F7A" w:rsidRDefault="008B3BE5" w:rsidP="008B3BE5">
            <w:pPr>
              <w:ind w:left="158"/>
              <w:jc w:val="left"/>
              <w:rPr>
                <w:color w:val="000000"/>
                <w:sz w:val="20"/>
                <w:szCs w:val="20"/>
                <w:highlight w:val="yellow"/>
                <w:lang w:val="es-MX"/>
              </w:rPr>
            </w:pPr>
            <w:r w:rsidRPr="001B4F7A">
              <w:rPr>
                <w:rFonts w:asciiTheme="majorBidi" w:hAnsiTheme="majorBidi"/>
                <w:color w:val="1D2228"/>
                <w:sz w:val="20"/>
                <w:szCs w:val="20"/>
                <w:lang w:val="es-MX"/>
              </w:rPr>
              <w:t>Modificación de un conjunto de accesorios para la máquina de soldar existente</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56D8BA19" w14:textId="77777777" w:rsidR="000E4457" w:rsidRPr="001B4F7A" w:rsidRDefault="000E4457" w:rsidP="00E671D9">
            <w:pPr>
              <w:jc w:val="right"/>
              <w:rPr>
                <w:color w:val="000000"/>
                <w:sz w:val="20"/>
                <w:szCs w:val="20"/>
                <w:lang w:val="es-MX"/>
              </w:rPr>
            </w:pPr>
            <w:r w:rsidRPr="001B4F7A">
              <w:rPr>
                <w:color w:val="000000"/>
                <w:sz w:val="20"/>
                <w:szCs w:val="20"/>
                <w:lang w:val="es-MX"/>
              </w:rPr>
              <w:t>60.000</w:t>
            </w:r>
          </w:p>
        </w:tc>
      </w:tr>
      <w:tr w:rsidR="000E4457" w:rsidRPr="001B4F7A" w14:paraId="54D3BD2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6020A767"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Conjunto de nuevos dispositivos de medida</w:t>
            </w:r>
          </w:p>
        </w:tc>
        <w:tc>
          <w:tcPr>
            <w:tcW w:w="682" w:type="pct"/>
            <w:tcBorders>
              <w:top w:val="single" w:sz="4" w:space="0" w:color="auto"/>
              <w:left w:val="nil"/>
              <w:bottom w:val="single" w:sz="4" w:space="0" w:color="auto"/>
              <w:right w:val="single" w:sz="4" w:space="0" w:color="auto"/>
            </w:tcBorders>
            <w:shd w:val="clear" w:color="auto" w:fill="auto"/>
            <w:tcMar>
              <w:left w:w="115" w:type="dxa"/>
              <w:right w:w="173" w:type="dxa"/>
            </w:tcMar>
            <w:vAlign w:val="center"/>
          </w:tcPr>
          <w:p w14:paraId="5FC2F23B" w14:textId="77777777" w:rsidR="000E4457" w:rsidRPr="001B4F7A" w:rsidRDefault="000E4457" w:rsidP="00E671D9">
            <w:pPr>
              <w:jc w:val="right"/>
              <w:rPr>
                <w:color w:val="000000"/>
                <w:sz w:val="20"/>
                <w:szCs w:val="20"/>
                <w:lang w:val="es-MX"/>
              </w:rPr>
            </w:pPr>
            <w:r w:rsidRPr="001B4F7A">
              <w:rPr>
                <w:color w:val="000000"/>
                <w:sz w:val="20"/>
                <w:szCs w:val="20"/>
                <w:lang w:val="es-MX"/>
              </w:rPr>
              <w:t>48.000</w:t>
            </w:r>
          </w:p>
        </w:tc>
      </w:tr>
      <w:tr w:rsidR="000E4457" w:rsidRPr="001B4F7A" w14:paraId="650D8F9E"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5A0BE3A5" w14:textId="57F48B37" w:rsidR="000E4457" w:rsidRPr="001B4F7A" w:rsidRDefault="000E4457" w:rsidP="008B3BE5">
            <w:pPr>
              <w:jc w:val="left"/>
              <w:rPr>
                <w:rFonts w:asciiTheme="majorBidi" w:hAnsiTheme="majorBidi" w:cstheme="majorBidi"/>
                <w:i/>
                <w:color w:val="1D2228"/>
                <w:sz w:val="20"/>
                <w:szCs w:val="20"/>
                <w:lang w:val="es-MX"/>
              </w:rPr>
            </w:pPr>
            <w:r w:rsidRPr="001B4F7A">
              <w:rPr>
                <w:rFonts w:asciiTheme="majorBidi" w:hAnsiTheme="majorBidi"/>
                <w:i/>
                <w:color w:val="1D2228"/>
                <w:sz w:val="20"/>
                <w:szCs w:val="20"/>
                <w:lang w:val="es-MX"/>
              </w:rPr>
              <w:t>Subtotal de actualización del sistema de suspensión para soporte inferior</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5291B6B" w14:textId="77777777" w:rsidR="000E4457" w:rsidRPr="001B4F7A" w:rsidRDefault="000E4457" w:rsidP="00E671D9">
            <w:pPr>
              <w:jc w:val="right"/>
              <w:rPr>
                <w:i/>
                <w:color w:val="000000"/>
                <w:sz w:val="20"/>
                <w:szCs w:val="20"/>
                <w:lang w:val="es-MX"/>
              </w:rPr>
            </w:pPr>
            <w:r w:rsidRPr="001B4F7A">
              <w:rPr>
                <w:i/>
                <w:color w:val="000000"/>
                <w:sz w:val="20"/>
                <w:szCs w:val="20"/>
                <w:lang w:val="es-MX"/>
              </w:rPr>
              <w:t>648.000</w:t>
            </w:r>
          </w:p>
        </w:tc>
      </w:tr>
      <w:tr w:rsidR="008B3BE5" w:rsidRPr="001B4F7A" w14:paraId="26A757E6" w14:textId="77777777" w:rsidTr="008B3B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F6C3E85" w14:textId="06DEC1A6" w:rsidR="008B3BE5" w:rsidRPr="001B4F7A" w:rsidRDefault="008B3BE5" w:rsidP="008B3BE5">
            <w:pPr>
              <w:jc w:val="left"/>
              <w:rPr>
                <w:color w:val="000000"/>
                <w:sz w:val="20"/>
                <w:szCs w:val="20"/>
                <w:lang w:val="es-MX"/>
              </w:rPr>
            </w:pPr>
            <w:r w:rsidRPr="001B4F7A">
              <w:rPr>
                <w:rFonts w:asciiTheme="majorBidi" w:hAnsiTheme="majorBidi"/>
                <w:b/>
                <w:color w:val="1D2228"/>
                <w:sz w:val="20"/>
                <w:szCs w:val="20"/>
                <w:lang w:val="es-MX"/>
              </w:rPr>
              <w:t>Adaptaciones de laboratorios de la empresa</w:t>
            </w:r>
          </w:p>
        </w:tc>
      </w:tr>
      <w:tr w:rsidR="000E4457" w:rsidRPr="001B4F7A" w14:paraId="328026A2"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7CE3D576"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Modificación de calorímetro</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4B8117F0" w14:textId="77777777" w:rsidR="000E4457" w:rsidRPr="001B4F7A" w:rsidRDefault="000E4457" w:rsidP="00E671D9">
            <w:pPr>
              <w:jc w:val="right"/>
              <w:rPr>
                <w:color w:val="000000"/>
                <w:sz w:val="20"/>
                <w:szCs w:val="20"/>
                <w:lang w:val="es-MX"/>
              </w:rPr>
            </w:pPr>
            <w:r w:rsidRPr="001B4F7A">
              <w:rPr>
                <w:color w:val="000000"/>
                <w:sz w:val="20"/>
                <w:szCs w:val="20"/>
                <w:lang w:val="es-MX"/>
              </w:rPr>
              <w:t>180.000</w:t>
            </w:r>
          </w:p>
        </w:tc>
      </w:tr>
      <w:tr w:rsidR="000E4457" w:rsidRPr="001B4F7A" w14:paraId="25620137"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7956E386" w14:textId="77777777" w:rsidR="000E4457" w:rsidRPr="001B4F7A" w:rsidRDefault="000E4457" w:rsidP="00E671D9">
            <w:pPr>
              <w:ind w:left="158"/>
              <w:jc w:val="left"/>
              <w:rPr>
                <w:color w:val="000000"/>
                <w:sz w:val="20"/>
                <w:szCs w:val="20"/>
                <w:highlight w:val="yellow"/>
                <w:lang w:val="es-MX"/>
              </w:rPr>
            </w:pPr>
            <w:r w:rsidRPr="001B4F7A">
              <w:rPr>
                <w:rFonts w:asciiTheme="majorBidi" w:hAnsiTheme="majorBidi"/>
                <w:color w:val="1D2228"/>
                <w:sz w:val="20"/>
                <w:szCs w:val="20"/>
                <w:lang w:val="es-MX"/>
              </w:rPr>
              <w:t>Modificación de rotor bloqueado y sobrecarga</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563813F" w14:textId="77777777" w:rsidR="000E4457" w:rsidRPr="001B4F7A" w:rsidRDefault="000E4457" w:rsidP="00E671D9">
            <w:pPr>
              <w:jc w:val="right"/>
              <w:rPr>
                <w:color w:val="000000"/>
                <w:sz w:val="20"/>
                <w:szCs w:val="20"/>
                <w:lang w:val="es-MX"/>
              </w:rPr>
            </w:pPr>
            <w:r w:rsidRPr="001B4F7A">
              <w:rPr>
                <w:color w:val="000000"/>
                <w:sz w:val="20"/>
                <w:szCs w:val="20"/>
                <w:lang w:val="es-MX"/>
              </w:rPr>
              <w:t>120.000</w:t>
            </w:r>
          </w:p>
        </w:tc>
      </w:tr>
      <w:tr w:rsidR="000E4457" w:rsidRPr="001B4F7A" w14:paraId="17364A0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3BD55EB7" w14:textId="51051CEC" w:rsidR="000E4457" w:rsidRPr="001B4F7A" w:rsidRDefault="008B3BE5" w:rsidP="008B3BE5">
            <w:pPr>
              <w:ind w:left="158"/>
              <w:jc w:val="left"/>
              <w:rPr>
                <w:color w:val="000000"/>
                <w:sz w:val="20"/>
                <w:szCs w:val="20"/>
                <w:highlight w:val="yellow"/>
                <w:lang w:val="es-MX"/>
              </w:rPr>
            </w:pPr>
            <w:r w:rsidRPr="001B4F7A">
              <w:rPr>
                <w:rFonts w:asciiTheme="majorBidi" w:hAnsiTheme="majorBidi"/>
                <w:color w:val="1D2228"/>
                <w:sz w:val="20"/>
                <w:szCs w:val="20"/>
                <w:lang w:val="es-MX"/>
              </w:rPr>
              <w:t>Juego de dispositivos de ensayo de alta temperatura para cámaras</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39F741E" w14:textId="77777777" w:rsidR="000E4457" w:rsidRPr="001B4F7A" w:rsidRDefault="000E4457" w:rsidP="00E671D9">
            <w:pPr>
              <w:jc w:val="right"/>
              <w:rPr>
                <w:color w:val="000000"/>
                <w:sz w:val="20"/>
                <w:szCs w:val="20"/>
                <w:lang w:val="es-MX"/>
              </w:rPr>
            </w:pPr>
            <w:r w:rsidRPr="001B4F7A">
              <w:rPr>
                <w:color w:val="000000"/>
                <w:sz w:val="20"/>
                <w:szCs w:val="20"/>
                <w:lang w:val="es-MX"/>
              </w:rPr>
              <w:t>36.000</w:t>
            </w:r>
          </w:p>
        </w:tc>
      </w:tr>
      <w:tr w:rsidR="000E4457" w:rsidRPr="001B4F7A" w14:paraId="4EA83A05"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tcPr>
          <w:p w14:paraId="18C227E3" w14:textId="2669CE47" w:rsidR="000E4457" w:rsidRPr="001B4F7A" w:rsidRDefault="000E4457" w:rsidP="008B3BE5">
            <w:pPr>
              <w:jc w:val="left"/>
              <w:rPr>
                <w:rFonts w:asciiTheme="majorBidi" w:hAnsiTheme="majorBidi" w:cstheme="majorBidi"/>
                <w:i/>
                <w:color w:val="1D2228"/>
                <w:sz w:val="20"/>
                <w:szCs w:val="20"/>
                <w:lang w:val="es-MX"/>
              </w:rPr>
            </w:pPr>
            <w:r w:rsidRPr="001B4F7A">
              <w:rPr>
                <w:rFonts w:asciiTheme="majorBidi" w:hAnsiTheme="majorBidi"/>
                <w:i/>
                <w:color w:val="1D2228"/>
                <w:sz w:val="20"/>
                <w:szCs w:val="20"/>
                <w:lang w:val="es-MX"/>
              </w:rPr>
              <w:t>Subtotal de adaptaciones de laboratorios de la empresa</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6B80FE49" w14:textId="77777777" w:rsidR="000E4457" w:rsidRPr="001B4F7A" w:rsidRDefault="000E4457" w:rsidP="00E671D9">
            <w:pPr>
              <w:jc w:val="right"/>
              <w:rPr>
                <w:i/>
                <w:color w:val="000000"/>
                <w:sz w:val="20"/>
                <w:szCs w:val="20"/>
                <w:lang w:val="es-MX"/>
              </w:rPr>
            </w:pPr>
            <w:r w:rsidRPr="001B4F7A">
              <w:rPr>
                <w:i/>
                <w:color w:val="000000"/>
                <w:sz w:val="20"/>
                <w:szCs w:val="20"/>
                <w:lang w:val="es-MX"/>
              </w:rPr>
              <w:t>336.000</w:t>
            </w:r>
          </w:p>
        </w:tc>
      </w:tr>
      <w:tr w:rsidR="008B3BE5" w:rsidRPr="001B4F7A" w14:paraId="10160807" w14:textId="77777777" w:rsidTr="008B3B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D722C30" w14:textId="3F5BD037" w:rsidR="008B3BE5" w:rsidRPr="001B4F7A" w:rsidRDefault="008B3BE5" w:rsidP="008B3BE5">
            <w:pPr>
              <w:jc w:val="left"/>
              <w:rPr>
                <w:b/>
                <w:color w:val="000000"/>
                <w:sz w:val="20"/>
                <w:szCs w:val="20"/>
                <w:lang w:val="es-MX"/>
              </w:rPr>
            </w:pPr>
            <w:r w:rsidRPr="001B4F7A">
              <w:rPr>
                <w:rFonts w:asciiTheme="majorBidi" w:hAnsiTheme="majorBidi"/>
                <w:b/>
                <w:color w:val="1D2228"/>
                <w:sz w:val="20"/>
                <w:szCs w:val="20"/>
                <w:lang w:val="es-MX"/>
              </w:rPr>
              <w:t>Transferencia de conocimientos técnicos para el nuevo diseño</w:t>
            </w:r>
          </w:p>
        </w:tc>
      </w:tr>
      <w:tr w:rsidR="000E4457" w:rsidRPr="001B4F7A" w14:paraId="50CAFA04"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383EBF2C" w14:textId="77777777" w:rsidR="000E4457" w:rsidRPr="001B4F7A" w:rsidRDefault="000E4457" w:rsidP="00E671D9">
            <w:pPr>
              <w:jc w:val="left"/>
              <w:rPr>
                <w:i/>
                <w:color w:val="000000"/>
                <w:sz w:val="20"/>
                <w:szCs w:val="20"/>
                <w:lang w:val="es-MX"/>
              </w:rPr>
            </w:pPr>
            <w:r w:rsidRPr="001B4F7A">
              <w:rPr>
                <w:i/>
                <w:color w:val="000000"/>
                <w:sz w:val="20"/>
                <w:szCs w:val="20"/>
                <w:lang w:val="es-MX"/>
              </w:rPr>
              <w:t>Subtotal de transferencia de conocimientos técnicos para el nuevo diseño</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5A38D186" w14:textId="77777777" w:rsidR="000E4457" w:rsidRPr="001B4F7A" w:rsidRDefault="000E4457" w:rsidP="00E671D9">
            <w:pPr>
              <w:jc w:val="right"/>
              <w:rPr>
                <w:i/>
                <w:color w:val="000000"/>
                <w:sz w:val="20"/>
                <w:szCs w:val="20"/>
                <w:lang w:val="es-MX"/>
              </w:rPr>
            </w:pPr>
            <w:r w:rsidRPr="001B4F7A">
              <w:rPr>
                <w:i/>
                <w:color w:val="000000"/>
                <w:sz w:val="20"/>
                <w:szCs w:val="20"/>
                <w:lang w:val="es-MX"/>
              </w:rPr>
              <w:t>540.000</w:t>
            </w:r>
          </w:p>
        </w:tc>
      </w:tr>
      <w:tr w:rsidR="000E4457" w:rsidRPr="001B4F7A" w14:paraId="4E95EFB9"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15E63A5B" w14:textId="27425F40" w:rsidR="000E4457" w:rsidRPr="001B4F7A" w:rsidRDefault="000E4457" w:rsidP="00E671D9">
            <w:pPr>
              <w:jc w:val="left"/>
              <w:rPr>
                <w:color w:val="000000"/>
                <w:sz w:val="20"/>
                <w:szCs w:val="20"/>
                <w:lang w:val="es-MX"/>
              </w:rPr>
            </w:pPr>
            <w:r w:rsidRPr="001B4F7A">
              <w:rPr>
                <w:b/>
                <w:bCs/>
                <w:color w:val="000000"/>
                <w:sz w:val="20"/>
                <w:szCs w:val="20"/>
                <w:lang w:val="es-MX"/>
              </w:rPr>
              <w:t>Total de costos adicionales de capital</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3C5972CD" w14:textId="77777777" w:rsidR="000E4457" w:rsidRPr="001B4F7A" w:rsidRDefault="000E4457" w:rsidP="00E671D9">
            <w:pPr>
              <w:jc w:val="right"/>
              <w:rPr>
                <w:b/>
                <w:color w:val="000000"/>
                <w:sz w:val="20"/>
                <w:szCs w:val="20"/>
                <w:lang w:val="es-MX"/>
              </w:rPr>
            </w:pPr>
            <w:r w:rsidRPr="001B4F7A">
              <w:rPr>
                <w:b/>
                <w:color w:val="000000"/>
                <w:sz w:val="20"/>
                <w:szCs w:val="20"/>
                <w:lang w:val="es-MX"/>
              </w:rPr>
              <w:t>3.300.000</w:t>
            </w:r>
          </w:p>
        </w:tc>
      </w:tr>
      <w:tr w:rsidR="000E4457" w:rsidRPr="001B4F7A" w14:paraId="1815071A"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691A7075" w14:textId="77777777" w:rsidR="000E4457" w:rsidRPr="001B4F7A" w:rsidRDefault="000E4457" w:rsidP="00E671D9">
            <w:pPr>
              <w:jc w:val="left"/>
              <w:rPr>
                <w:bCs/>
                <w:color w:val="000000"/>
                <w:sz w:val="20"/>
                <w:szCs w:val="20"/>
                <w:lang w:val="es-MX"/>
              </w:rPr>
            </w:pPr>
            <w:r w:rsidRPr="001B4F7A">
              <w:rPr>
                <w:bCs/>
                <w:color w:val="000000"/>
                <w:sz w:val="20"/>
                <w:szCs w:val="20"/>
                <w:lang w:val="es-MX"/>
              </w:rPr>
              <w:t>Cofinanciación</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36593A0E" w14:textId="77777777" w:rsidR="000E4457" w:rsidRPr="001B4F7A" w:rsidRDefault="000E4457" w:rsidP="00E671D9">
            <w:pPr>
              <w:jc w:val="right"/>
              <w:rPr>
                <w:color w:val="000000"/>
                <w:sz w:val="20"/>
                <w:szCs w:val="20"/>
                <w:lang w:val="es-MX"/>
              </w:rPr>
            </w:pPr>
            <w:r w:rsidRPr="001B4F7A">
              <w:rPr>
                <w:color w:val="000000"/>
                <w:sz w:val="20"/>
                <w:szCs w:val="20"/>
                <w:lang w:val="es-MX"/>
              </w:rPr>
              <w:t>(1.664.000)</w:t>
            </w:r>
          </w:p>
        </w:tc>
      </w:tr>
      <w:tr w:rsidR="000E4457" w:rsidRPr="001B4F7A" w14:paraId="456B9242"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79BE2604" w14:textId="77777777" w:rsidR="000E4457" w:rsidRPr="001B4F7A" w:rsidRDefault="000E4457" w:rsidP="00E671D9">
            <w:pPr>
              <w:jc w:val="left"/>
              <w:rPr>
                <w:bCs/>
                <w:color w:val="000000"/>
                <w:sz w:val="20"/>
                <w:szCs w:val="20"/>
                <w:lang w:val="es-MX"/>
              </w:rPr>
            </w:pPr>
            <w:r w:rsidRPr="001B4F7A">
              <w:rPr>
                <w:bCs/>
                <w:color w:val="000000"/>
                <w:sz w:val="20"/>
                <w:szCs w:val="20"/>
                <w:lang w:val="es-MX"/>
              </w:rPr>
              <w:t>Imprevistos (10%)</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EC562CA" w14:textId="77777777" w:rsidR="000E4457" w:rsidRPr="001B4F7A" w:rsidRDefault="000E4457" w:rsidP="00E671D9">
            <w:pPr>
              <w:jc w:val="right"/>
              <w:rPr>
                <w:color w:val="000000"/>
                <w:sz w:val="20"/>
                <w:szCs w:val="20"/>
                <w:lang w:val="es-MX"/>
              </w:rPr>
            </w:pPr>
            <w:r w:rsidRPr="001B4F7A">
              <w:rPr>
                <w:color w:val="000000"/>
                <w:sz w:val="20"/>
                <w:szCs w:val="20"/>
                <w:lang w:val="es-MX"/>
              </w:rPr>
              <w:t>163.600</w:t>
            </w:r>
          </w:p>
        </w:tc>
      </w:tr>
      <w:tr w:rsidR="000E4457" w:rsidRPr="001B4F7A" w14:paraId="7CF47846" w14:textId="77777777" w:rsidTr="00CF64A1">
        <w:tc>
          <w:tcPr>
            <w:tcW w:w="4318" w:type="pct"/>
            <w:tcBorders>
              <w:top w:val="single" w:sz="4" w:space="0" w:color="auto"/>
              <w:left w:val="single" w:sz="4" w:space="0" w:color="auto"/>
              <w:bottom w:val="single" w:sz="4" w:space="0" w:color="auto"/>
              <w:right w:val="single" w:sz="4" w:space="0" w:color="auto"/>
            </w:tcBorders>
            <w:shd w:val="clear" w:color="auto" w:fill="auto"/>
            <w:vAlign w:val="center"/>
          </w:tcPr>
          <w:p w14:paraId="4AD6D4A1" w14:textId="2B305139" w:rsidR="000E4457" w:rsidRPr="001B4F7A" w:rsidRDefault="000E4457" w:rsidP="00E671D9">
            <w:pPr>
              <w:jc w:val="left"/>
              <w:rPr>
                <w:b/>
                <w:bCs/>
                <w:color w:val="000000"/>
                <w:sz w:val="20"/>
                <w:szCs w:val="20"/>
                <w:lang w:val="es-MX"/>
              </w:rPr>
            </w:pPr>
            <w:r w:rsidRPr="001B4F7A">
              <w:rPr>
                <w:b/>
                <w:bCs/>
                <w:color w:val="000000"/>
                <w:sz w:val="20"/>
                <w:szCs w:val="20"/>
                <w:lang w:val="es-MX"/>
              </w:rPr>
              <w:t>Total de costos adicionales de capital antes de deducir la propiedad no amparada por el Artículo 5</w:t>
            </w:r>
          </w:p>
        </w:tc>
        <w:tc>
          <w:tcPr>
            <w:tcW w:w="682"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2EA7F87C" w14:textId="77777777" w:rsidR="000E4457" w:rsidRPr="001B4F7A" w:rsidRDefault="000E4457" w:rsidP="00E671D9">
            <w:pPr>
              <w:jc w:val="right"/>
              <w:rPr>
                <w:b/>
                <w:color w:val="000000"/>
                <w:sz w:val="20"/>
                <w:szCs w:val="20"/>
                <w:lang w:val="es-MX"/>
              </w:rPr>
            </w:pPr>
            <w:r w:rsidRPr="001B4F7A">
              <w:rPr>
                <w:b/>
                <w:color w:val="000000"/>
                <w:sz w:val="20"/>
                <w:szCs w:val="20"/>
                <w:lang w:val="es-MX"/>
              </w:rPr>
              <w:t>1.799.600</w:t>
            </w:r>
          </w:p>
        </w:tc>
      </w:tr>
    </w:tbl>
    <w:p w14:paraId="49B6FD5B" w14:textId="77777777" w:rsidR="00AE35D2" w:rsidRPr="001B4F7A" w:rsidRDefault="00AE35D2" w:rsidP="00E671D9">
      <w:pPr>
        <w:keepNext/>
        <w:autoSpaceDE w:val="0"/>
        <w:autoSpaceDN w:val="0"/>
        <w:adjustRightInd w:val="0"/>
        <w:rPr>
          <w:b/>
          <w:lang w:val="es-MX"/>
        </w:rPr>
      </w:pPr>
    </w:p>
    <w:p w14:paraId="0C226381" w14:textId="61193B5E" w:rsidR="00C043A1" w:rsidRPr="001B4F7A" w:rsidRDefault="00CB605D" w:rsidP="00BD7909">
      <w:pPr>
        <w:pStyle w:val="Heading1"/>
        <w:rPr>
          <w:lang w:val="es-MX"/>
        </w:rPr>
      </w:pPr>
      <w:r w:rsidRPr="001B4F7A">
        <w:rPr>
          <w:lang w:val="es-MX"/>
        </w:rPr>
        <w:t>No se pide ningún costo adicional de explotación. Sobre la base del uso de material para la fabricación de un compresor que funciona con R</w:t>
      </w:r>
      <w:r w:rsidRPr="001B4F7A">
        <w:rPr>
          <w:lang w:val="es-MX"/>
        </w:rPr>
        <w:noBreakHyphen/>
        <w:t>600a</w:t>
      </w:r>
      <w:r w:rsidRPr="001B4F7A">
        <w:rPr>
          <w:lang w:val="es-MX"/>
        </w:rPr>
        <w:noBreakHyphen/>
        <w:t>, MCMC estima un ahorro potencial de 1,66 $EUA por unidad. En consecuencia, la empresa planea vender compresores que utilizan R</w:t>
      </w:r>
      <w:r w:rsidRPr="001B4F7A">
        <w:rPr>
          <w:lang w:val="es-MX"/>
        </w:rPr>
        <w:noBreakHyphen/>
        <w:t>600a a un precio inferior a los compresores que utilizan HFC</w:t>
      </w:r>
      <w:r w:rsidRPr="001B4F7A">
        <w:rPr>
          <w:lang w:val="es-MX"/>
        </w:rPr>
        <w:noBreakHyphen/>
        <w:t>134a</w:t>
      </w:r>
      <w:r w:rsidRPr="001B4F7A">
        <w:rPr>
          <w:lang w:val="es-MX"/>
        </w:rPr>
        <w:noBreakHyphen/>
        <w:t xml:space="preserve"> para ser competitivos en el mercado. Al finalizar la conversión se proporcionará información detallada sobre los costos adicionales de capital y los costos adicionales de explotación resultantes, conforme a la decisión 78/3 g).</w:t>
      </w:r>
    </w:p>
    <w:p w14:paraId="1E4FFE5E" w14:textId="77777777" w:rsidR="008A20CA" w:rsidRPr="001B4F7A" w:rsidRDefault="008A20CA" w:rsidP="00B20F09">
      <w:pPr>
        <w:pStyle w:val="Heading1"/>
        <w:widowControl w:val="0"/>
        <w:numPr>
          <w:ilvl w:val="0"/>
          <w:numId w:val="0"/>
        </w:numPr>
        <w:rPr>
          <w:i/>
          <w:lang w:val="es-MX"/>
        </w:rPr>
      </w:pPr>
      <w:r w:rsidRPr="001B4F7A">
        <w:rPr>
          <w:i/>
          <w:lang w:val="es-MX"/>
        </w:rPr>
        <w:t>Costo de asistencia técnica</w:t>
      </w:r>
    </w:p>
    <w:p w14:paraId="7DDE1FF5" w14:textId="77777777" w:rsidR="008A20CA" w:rsidRPr="001B4F7A" w:rsidRDefault="008A20CA" w:rsidP="00B20F09">
      <w:pPr>
        <w:pStyle w:val="Heading1"/>
        <w:widowControl w:val="0"/>
        <w:rPr>
          <w:lang w:val="es-MX"/>
        </w:rPr>
      </w:pPr>
      <w:r w:rsidRPr="001B4F7A">
        <w:rPr>
          <w:lang w:val="es-MX"/>
        </w:rPr>
        <w:t>El componente de asistencia técnica que debe ejecutar el PNUMA asciende a 53.000 $EUA, que consta de 35.000 $EUA para el estudio de evaluación de mercado y 18.000 $EUA para la hoja de ruta de políticas.</w:t>
      </w:r>
    </w:p>
    <w:p w14:paraId="4D7CE29A" w14:textId="77777777" w:rsidR="008A20CA" w:rsidRPr="001B4F7A" w:rsidRDefault="008A20CA" w:rsidP="00BE4FF7">
      <w:pPr>
        <w:widowControl w:val="0"/>
        <w:rPr>
          <w:i/>
          <w:lang w:val="es-MX"/>
        </w:rPr>
      </w:pPr>
      <w:r w:rsidRPr="001B4F7A">
        <w:rPr>
          <w:i/>
          <w:lang w:val="es-MX"/>
        </w:rPr>
        <w:t>Costo total</w:t>
      </w:r>
    </w:p>
    <w:p w14:paraId="4B0E1DAA" w14:textId="77777777" w:rsidR="008A20CA" w:rsidRPr="001B4F7A" w:rsidRDefault="008A20CA" w:rsidP="00BE4FF7">
      <w:pPr>
        <w:widowControl w:val="0"/>
        <w:rPr>
          <w:lang w:val="es-MX"/>
        </w:rPr>
      </w:pPr>
    </w:p>
    <w:p w14:paraId="7794D5ED" w14:textId="3379C7EA" w:rsidR="00963E1F" w:rsidRPr="001B4F7A" w:rsidRDefault="00963E1F" w:rsidP="00BE4FF7">
      <w:pPr>
        <w:pStyle w:val="Heading1"/>
        <w:widowControl w:val="0"/>
        <w:rPr>
          <w:lang w:val="es-MX"/>
        </w:rPr>
      </w:pPr>
      <w:r w:rsidRPr="001B4F7A">
        <w:rPr>
          <w:lang w:val="es-MX"/>
        </w:rPr>
        <w:t>El costo total del proyecto para el Fondo Multilateral, después de deducir la propiedad extranjera y teniendo en cuenta la financiación de contraparte de MCMC, asciende a 1.781.158 $EUA, como se resume en el Cuadro 3.</w:t>
      </w:r>
    </w:p>
    <w:p w14:paraId="23DFD6C4" w14:textId="1937FAED" w:rsidR="00AE35D2" w:rsidRPr="001B4F7A" w:rsidRDefault="00AE35D2" w:rsidP="00BE4FF7">
      <w:pPr>
        <w:keepNext/>
        <w:keepLines/>
        <w:rPr>
          <w:b/>
          <w:lang w:val="es-MX"/>
        </w:rPr>
      </w:pPr>
      <w:r w:rsidRPr="001B4F7A">
        <w:rPr>
          <w:b/>
          <w:lang w:val="es-MX"/>
        </w:rPr>
        <w:t>Cuadro 3. Costo total del proyecto de conversión de MCMC tal como se ha presentado ($EUA)</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25"/>
        <w:gridCol w:w="2341"/>
      </w:tblGrid>
      <w:tr w:rsidR="00AE35D2" w:rsidRPr="001B4F7A" w14:paraId="7D9980A8" w14:textId="77777777" w:rsidTr="0060710D">
        <w:trPr>
          <w:trHeight w:val="20"/>
          <w:tblHeader/>
        </w:trPr>
        <w:tc>
          <w:tcPr>
            <w:tcW w:w="3737" w:type="pct"/>
            <w:shd w:val="clear" w:color="auto" w:fill="auto"/>
          </w:tcPr>
          <w:p w14:paraId="5D3EE5CF" w14:textId="77777777" w:rsidR="00AE35D2" w:rsidRPr="001B4F7A" w:rsidRDefault="00AE35D2" w:rsidP="00BE4FF7">
            <w:pPr>
              <w:keepNext/>
              <w:keepLines/>
              <w:widowControl w:val="0"/>
              <w:ind w:left="95" w:right="-20"/>
              <w:jc w:val="center"/>
              <w:rPr>
                <w:b/>
                <w:sz w:val="20"/>
                <w:szCs w:val="20"/>
                <w:lang w:val="es-MX"/>
              </w:rPr>
            </w:pPr>
            <w:r w:rsidRPr="001B4F7A">
              <w:rPr>
                <w:b/>
                <w:sz w:val="20"/>
                <w:szCs w:val="20"/>
                <w:lang w:val="es-MX"/>
              </w:rPr>
              <w:t>Elemento</w:t>
            </w:r>
          </w:p>
        </w:tc>
        <w:tc>
          <w:tcPr>
            <w:tcW w:w="1263" w:type="pct"/>
            <w:shd w:val="clear" w:color="auto" w:fill="auto"/>
          </w:tcPr>
          <w:p w14:paraId="5103106A" w14:textId="1B60C627" w:rsidR="00AE35D2" w:rsidRPr="001B4F7A" w:rsidRDefault="00AE35D2" w:rsidP="00BE4FF7">
            <w:pPr>
              <w:keepNext/>
              <w:keepLines/>
              <w:widowControl w:val="0"/>
              <w:ind w:left="976" w:right="83"/>
              <w:jc w:val="left"/>
              <w:rPr>
                <w:b/>
                <w:sz w:val="20"/>
                <w:szCs w:val="20"/>
                <w:lang w:val="es-MX"/>
              </w:rPr>
            </w:pPr>
            <w:r w:rsidRPr="001B4F7A">
              <w:rPr>
                <w:b/>
                <w:sz w:val="20"/>
                <w:szCs w:val="20"/>
                <w:lang w:val="es-MX"/>
              </w:rPr>
              <w:t>Costo</w:t>
            </w:r>
          </w:p>
        </w:tc>
      </w:tr>
      <w:tr w:rsidR="00AE35D2" w:rsidRPr="001B4F7A" w14:paraId="16B26173" w14:textId="77777777" w:rsidTr="008651FB">
        <w:trPr>
          <w:trHeight w:val="20"/>
        </w:trPr>
        <w:tc>
          <w:tcPr>
            <w:tcW w:w="3737" w:type="pct"/>
            <w:shd w:val="clear" w:color="auto" w:fill="auto"/>
          </w:tcPr>
          <w:p w14:paraId="04E9982F" w14:textId="77777777" w:rsidR="00AE35D2" w:rsidRPr="001B4F7A" w:rsidRDefault="00AE35D2" w:rsidP="00E671D9">
            <w:pPr>
              <w:widowControl w:val="0"/>
              <w:ind w:left="96" w:right="-23"/>
              <w:jc w:val="left"/>
              <w:rPr>
                <w:sz w:val="20"/>
                <w:szCs w:val="20"/>
                <w:lang w:val="es-MX"/>
              </w:rPr>
            </w:pPr>
            <w:r w:rsidRPr="001B4F7A">
              <w:rPr>
                <w:sz w:val="20"/>
                <w:szCs w:val="20"/>
                <w:lang w:val="es-MX"/>
              </w:rPr>
              <w:t>Costos adicionales de capital</w:t>
            </w:r>
          </w:p>
        </w:tc>
        <w:tc>
          <w:tcPr>
            <w:tcW w:w="1263" w:type="pct"/>
            <w:shd w:val="clear" w:color="auto" w:fill="auto"/>
          </w:tcPr>
          <w:p w14:paraId="107FECF6" w14:textId="77777777" w:rsidR="00AE35D2" w:rsidRPr="001B4F7A" w:rsidRDefault="00963E1F" w:rsidP="00E671D9">
            <w:pPr>
              <w:widowControl w:val="0"/>
              <w:ind w:right="83"/>
              <w:jc w:val="right"/>
              <w:rPr>
                <w:sz w:val="20"/>
                <w:szCs w:val="20"/>
                <w:lang w:val="es-MX"/>
              </w:rPr>
            </w:pPr>
            <w:r w:rsidRPr="001B4F7A">
              <w:rPr>
                <w:sz w:val="20"/>
                <w:szCs w:val="20"/>
                <w:lang w:val="es-MX"/>
              </w:rPr>
              <w:t>3.300.000</w:t>
            </w:r>
          </w:p>
        </w:tc>
      </w:tr>
      <w:tr w:rsidR="00AE35D2" w:rsidRPr="001B4F7A" w14:paraId="14B3A395" w14:textId="77777777" w:rsidTr="008651FB">
        <w:trPr>
          <w:trHeight w:val="20"/>
        </w:trPr>
        <w:tc>
          <w:tcPr>
            <w:tcW w:w="3737" w:type="pct"/>
            <w:shd w:val="clear" w:color="auto" w:fill="auto"/>
          </w:tcPr>
          <w:p w14:paraId="54514893" w14:textId="77777777" w:rsidR="00AE35D2" w:rsidRPr="001B4F7A" w:rsidRDefault="008A20CA" w:rsidP="00E671D9">
            <w:pPr>
              <w:widowControl w:val="0"/>
              <w:ind w:left="95" w:right="-20"/>
              <w:jc w:val="left"/>
              <w:rPr>
                <w:sz w:val="20"/>
                <w:szCs w:val="20"/>
                <w:lang w:val="es-MX"/>
              </w:rPr>
            </w:pPr>
            <w:r w:rsidRPr="001B4F7A">
              <w:rPr>
                <w:sz w:val="20"/>
                <w:szCs w:val="20"/>
                <w:lang w:val="es-MX"/>
              </w:rPr>
              <w:t>Cofinanciación de la empresa</w:t>
            </w:r>
          </w:p>
        </w:tc>
        <w:tc>
          <w:tcPr>
            <w:tcW w:w="1263" w:type="pct"/>
            <w:shd w:val="clear" w:color="auto" w:fill="auto"/>
          </w:tcPr>
          <w:p w14:paraId="4D5A1A66" w14:textId="77777777" w:rsidR="00AE35D2" w:rsidRPr="001B4F7A" w:rsidRDefault="00963E1F" w:rsidP="00E671D9">
            <w:pPr>
              <w:widowControl w:val="0"/>
              <w:ind w:right="83"/>
              <w:jc w:val="right"/>
              <w:rPr>
                <w:sz w:val="20"/>
                <w:szCs w:val="20"/>
                <w:lang w:val="es-MX"/>
              </w:rPr>
            </w:pPr>
            <w:r w:rsidRPr="001B4F7A">
              <w:rPr>
                <w:sz w:val="20"/>
                <w:szCs w:val="20"/>
                <w:lang w:val="es-MX"/>
              </w:rPr>
              <w:t>(1.664.000)</w:t>
            </w:r>
          </w:p>
        </w:tc>
      </w:tr>
      <w:tr w:rsidR="00963E1F" w:rsidRPr="001B4F7A" w14:paraId="052E73D2" w14:textId="77777777" w:rsidTr="008651FB">
        <w:trPr>
          <w:trHeight w:val="20"/>
        </w:trPr>
        <w:tc>
          <w:tcPr>
            <w:tcW w:w="3737" w:type="pct"/>
            <w:shd w:val="clear" w:color="auto" w:fill="auto"/>
          </w:tcPr>
          <w:p w14:paraId="4A974D84" w14:textId="77777777" w:rsidR="00963E1F" w:rsidRPr="001B4F7A" w:rsidRDefault="00963E1F" w:rsidP="00E671D9">
            <w:pPr>
              <w:widowControl w:val="0"/>
              <w:ind w:left="95" w:right="-20"/>
              <w:jc w:val="left"/>
              <w:rPr>
                <w:sz w:val="20"/>
                <w:szCs w:val="20"/>
                <w:lang w:val="es-MX"/>
              </w:rPr>
            </w:pPr>
            <w:r w:rsidRPr="001B4F7A">
              <w:rPr>
                <w:sz w:val="20"/>
                <w:szCs w:val="20"/>
                <w:lang w:val="es-MX"/>
              </w:rPr>
              <w:t>Imprevistos (10%)</w:t>
            </w:r>
          </w:p>
        </w:tc>
        <w:tc>
          <w:tcPr>
            <w:tcW w:w="1263" w:type="pct"/>
            <w:shd w:val="clear" w:color="auto" w:fill="auto"/>
          </w:tcPr>
          <w:p w14:paraId="2985983F" w14:textId="77777777" w:rsidR="00963E1F" w:rsidRPr="001B4F7A" w:rsidRDefault="00BE13D7" w:rsidP="00E671D9">
            <w:pPr>
              <w:widowControl w:val="0"/>
              <w:ind w:right="83"/>
              <w:jc w:val="right"/>
              <w:rPr>
                <w:sz w:val="20"/>
                <w:szCs w:val="20"/>
                <w:lang w:val="es-MX"/>
              </w:rPr>
            </w:pPr>
            <w:r w:rsidRPr="001B4F7A">
              <w:rPr>
                <w:sz w:val="20"/>
                <w:szCs w:val="20"/>
                <w:lang w:val="es-MX"/>
              </w:rPr>
              <w:t>*163.600</w:t>
            </w:r>
          </w:p>
        </w:tc>
      </w:tr>
      <w:tr w:rsidR="00B31D57" w:rsidRPr="001B4F7A" w14:paraId="2D32C0E2" w14:textId="77777777" w:rsidTr="00BD7909">
        <w:trPr>
          <w:trHeight w:val="20"/>
        </w:trPr>
        <w:tc>
          <w:tcPr>
            <w:tcW w:w="3737" w:type="pct"/>
            <w:tcBorders>
              <w:top w:val="single" w:sz="4" w:space="0" w:color="auto"/>
              <w:left w:val="single" w:sz="4" w:space="0" w:color="auto"/>
              <w:bottom w:val="single" w:sz="4" w:space="0" w:color="auto"/>
              <w:right w:val="single" w:sz="4" w:space="0" w:color="auto"/>
            </w:tcBorders>
          </w:tcPr>
          <w:p w14:paraId="621DE4FA" w14:textId="77777777" w:rsidR="00B31D57" w:rsidRPr="001B4F7A" w:rsidRDefault="00B31D57" w:rsidP="00BD7909">
            <w:pPr>
              <w:widowControl w:val="0"/>
              <w:ind w:left="95" w:right="-20"/>
              <w:jc w:val="left"/>
              <w:rPr>
                <w:sz w:val="20"/>
                <w:szCs w:val="20"/>
                <w:lang w:val="es-MX"/>
              </w:rPr>
            </w:pPr>
            <w:r w:rsidRPr="001B4F7A">
              <w:rPr>
                <w:sz w:val="20"/>
                <w:szCs w:val="20"/>
                <w:lang w:val="es-MX"/>
              </w:rPr>
              <w:t>Programa de sensibilización y evaluación de la preparación del mercado del PNUMA</w:t>
            </w:r>
          </w:p>
        </w:tc>
        <w:tc>
          <w:tcPr>
            <w:tcW w:w="1263" w:type="pct"/>
            <w:tcBorders>
              <w:top w:val="single" w:sz="4" w:space="0" w:color="auto"/>
              <w:left w:val="single" w:sz="4" w:space="0" w:color="auto"/>
              <w:bottom w:val="single" w:sz="4" w:space="0" w:color="auto"/>
              <w:right w:val="single" w:sz="4" w:space="0" w:color="auto"/>
            </w:tcBorders>
          </w:tcPr>
          <w:p w14:paraId="2FE632AC" w14:textId="77777777" w:rsidR="00B31D57" w:rsidRPr="001B4F7A" w:rsidRDefault="00B31D57" w:rsidP="00BD7909">
            <w:pPr>
              <w:widowControl w:val="0"/>
              <w:ind w:right="83"/>
              <w:jc w:val="right"/>
              <w:rPr>
                <w:sz w:val="20"/>
                <w:szCs w:val="20"/>
                <w:lang w:val="es-MX"/>
              </w:rPr>
            </w:pPr>
            <w:r w:rsidRPr="001B4F7A">
              <w:rPr>
                <w:sz w:val="20"/>
                <w:szCs w:val="20"/>
                <w:lang w:val="es-MX"/>
              </w:rPr>
              <w:t>53.000</w:t>
            </w:r>
          </w:p>
        </w:tc>
      </w:tr>
      <w:tr w:rsidR="00B31D57" w:rsidRPr="001B4F7A" w14:paraId="6D158DAC" w14:textId="77777777" w:rsidTr="008651FB">
        <w:trPr>
          <w:trHeight w:val="20"/>
        </w:trPr>
        <w:tc>
          <w:tcPr>
            <w:tcW w:w="3737" w:type="pct"/>
            <w:shd w:val="clear" w:color="auto" w:fill="auto"/>
          </w:tcPr>
          <w:p w14:paraId="0F1E741F" w14:textId="77777777" w:rsidR="00B31D57" w:rsidRPr="001B4F7A" w:rsidRDefault="00B31D57" w:rsidP="00E671D9">
            <w:pPr>
              <w:widowControl w:val="0"/>
              <w:ind w:left="95" w:right="-20"/>
              <w:jc w:val="left"/>
              <w:rPr>
                <w:sz w:val="20"/>
                <w:szCs w:val="20"/>
                <w:lang w:val="es-MX"/>
              </w:rPr>
            </w:pPr>
            <w:r w:rsidRPr="001B4F7A">
              <w:rPr>
                <w:sz w:val="20"/>
                <w:szCs w:val="20"/>
                <w:lang w:val="es-MX"/>
              </w:rPr>
              <w:t>Costo total</w:t>
            </w:r>
          </w:p>
        </w:tc>
        <w:tc>
          <w:tcPr>
            <w:tcW w:w="1263" w:type="pct"/>
            <w:shd w:val="clear" w:color="auto" w:fill="auto"/>
          </w:tcPr>
          <w:p w14:paraId="1E5990D2" w14:textId="77777777" w:rsidR="00B31D57" w:rsidRPr="001B4F7A" w:rsidRDefault="00B31D57" w:rsidP="00E671D9">
            <w:pPr>
              <w:widowControl w:val="0"/>
              <w:ind w:right="83"/>
              <w:jc w:val="right"/>
              <w:rPr>
                <w:sz w:val="20"/>
                <w:szCs w:val="20"/>
                <w:lang w:val="es-MX"/>
              </w:rPr>
            </w:pPr>
            <w:r w:rsidRPr="001B4F7A">
              <w:rPr>
                <w:sz w:val="20"/>
                <w:szCs w:val="20"/>
                <w:lang w:val="es-MX"/>
              </w:rPr>
              <w:t>1.852.600</w:t>
            </w:r>
          </w:p>
        </w:tc>
      </w:tr>
      <w:tr w:rsidR="00AE35D2" w:rsidRPr="001B4F7A" w14:paraId="071786D7" w14:textId="77777777" w:rsidTr="00963E1F">
        <w:trPr>
          <w:trHeight w:val="20"/>
        </w:trPr>
        <w:tc>
          <w:tcPr>
            <w:tcW w:w="3737" w:type="pct"/>
            <w:shd w:val="clear" w:color="auto" w:fill="auto"/>
          </w:tcPr>
          <w:p w14:paraId="6EE8E0F7" w14:textId="77777777" w:rsidR="00AE35D2" w:rsidRPr="001B4F7A" w:rsidRDefault="00AE35D2" w:rsidP="00E671D9">
            <w:pPr>
              <w:widowControl w:val="0"/>
              <w:ind w:left="95" w:right="-20"/>
              <w:jc w:val="left"/>
              <w:rPr>
                <w:sz w:val="20"/>
                <w:szCs w:val="20"/>
                <w:lang w:val="es-MX"/>
              </w:rPr>
            </w:pPr>
            <w:r w:rsidRPr="001B4F7A">
              <w:rPr>
                <w:sz w:val="20"/>
                <w:szCs w:val="20"/>
                <w:lang w:val="es-MX"/>
              </w:rPr>
              <w:t>Deducción por propiedad no amparada por el Artículo 5 (10,61%)</w:t>
            </w:r>
            <w:r w:rsidR="00B31D57" w:rsidRPr="001B4F7A">
              <w:rPr>
                <w:rStyle w:val="FootnoteReference"/>
                <w:sz w:val="20"/>
                <w:szCs w:val="20"/>
                <w:lang w:val="es-MX"/>
              </w:rPr>
              <w:footnoteReference w:id="3"/>
            </w:r>
          </w:p>
        </w:tc>
        <w:tc>
          <w:tcPr>
            <w:tcW w:w="1263" w:type="pct"/>
            <w:shd w:val="clear" w:color="auto" w:fill="auto"/>
          </w:tcPr>
          <w:p w14:paraId="770B49B4" w14:textId="77777777" w:rsidR="00AE35D2" w:rsidRPr="001B4F7A" w:rsidRDefault="00BE13D7" w:rsidP="00E671D9">
            <w:pPr>
              <w:widowControl w:val="0"/>
              <w:ind w:right="83"/>
              <w:jc w:val="right"/>
              <w:rPr>
                <w:sz w:val="20"/>
                <w:szCs w:val="20"/>
                <w:lang w:val="es-MX"/>
              </w:rPr>
            </w:pPr>
            <w:r w:rsidRPr="001B4F7A">
              <w:rPr>
                <w:sz w:val="20"/>
                <w:szCs w:val="20"/>
                <w:lang w:val="es-MX"/>
              </w:rPr>
              <w:t>*(190.938)</w:t>
            </w:r>
          </w:p>
        </w:tc>
      </w:tr>
      <w:tr w:rsidR="00DE53B6" w:rsidRPr="001B4F7A" w14:paraId="24E254C4" w14:textId="77777777" w:rsidTr="00963E1F">
        <w:trPr>
          <w:trHeight w:val="20"/>
        </w:trPr>
        <w:tc>
          <w:tcPr>
            <w:tcW w:w="3737" w:type="pct"/>
            <w:shd w:val="clear" w:color="auto" w:fill="auto"/>
          </w:tcPr>
          <w:p w14:paraId="2C9C90BE" w14:textId="77777777" w:rsidR="00DE53B6" w:rsidRPr="001B4F7A" w:rsidRDefault="00557764" w:rsidP="00E671D9">
            <w:pPr>
              <w:widowControl w:val="0"/>
              <w:ind w:left="95" w:right="-20"/>
              <w:jc w:val="left"/>
              <w:rPr>
                <w:sz w:val="20"/>
                <w:szCs w:val="20"/>
                <w:lang w:val="es-MX"/>
              </w:rPr>
            </w:pPr>
            <w:r w:rsidRPr="001B4F7A">
              <w:rPr>
                <w:sz w:val="20"/>
                <w:szCs w:val="20"/>
                <w:lang w:val="es-MX"/>
              </w:rPr>
              <w:t>Deducción por exportaciones a países que no operan al amparo del Artículo 5 (7%)</w:t>
            </w:r>
            <w:r w:rsidR="00DE53B6" w:rsidRPr="001B4F7A">
              <w:rPr>
                <w:rStyle w:val="FootnoteReference"/>
                <w:sz w:val="20"/>
                <w:szCs w:val="20"/>
                <w:lang w:val="es-MX"/>
              </w:rPr>
              <w:footnoteReference w:id="4"/>
            </w:r>
          </w:p>
        </w:tc>
        <w:tc>
          <w:tcPr>
            <w:tcW w:w="1263" w:type="pct"/>
            <w:shd w:val="clear" w:color="auto" w:fill="auto"/>
          </w:tcPr>
          <w:p w14:paraId="0D698A11" w14:textId="77777777" w:rsidR="00DE53B6" w:rsidRPr="001B4F7A" w:rsidRDefault="00DE53B6" w:rsidP="00E671D9">
            <w:pPr>
              <w:widowControl w:val="0"/>
              <w:ind w:right="83"/>
              <w:jc w:val="right"/>
              <w:rPr>
                <w:sz w:val="20"/>
                <w:szCs w:val="20"/>
                <w:lang w:val="es-MX"/>
              </w:rPr>
            </w:pPr>
            <w:r w:rsidRPr="001B4F7A">
              <w:rPr>
                <w:sz w:val="20"/>
                <w:szCs w:val="20"/>
                <w:lang w:val="es-MX"/>
              </w:rPr>
              <w:t>0</w:t>
            </w:r>
          </w:p>
        </w:tc>
      </w:tr>
      <w:tr w:rsidR="00530D90" w:rsidRPr="001B4F7A" w14:paraId="0442B8FD" w14:textId="77777777" w:rsidTr="00837455">
        <w:trPr>
          <w:trHeight w:val="20"/>
        </w:trPr>
        <w:tc>
          <w:tcPr>
            <w:tcW w:w="3737" w:type="pct"/>
            <w:tcBorders>
              <w:top w:val="single" w:sz="4" w:space="0" w:color="auto"/>
              <w:left w:val="single" w:sz="4" w:space="0" w:color="auto"/>
              <w:bottom w:val="single" w:sz="4" w:space="0" w:color="auto"/>
              <w:right w:val="single" w:sz="4" w:space="0" w:color="auto"/>
            </w:tcBorders>
          </w:tcPr>
          <w:p w14:paraId="19DAAB96" w14:textId="77777777" w:rsidR="00530D90" w:rsidRPr="001B4F7A" w:rsidRDefault="00530D90" w:rsidP="00E671D9">
            <w:pPr>
              <w:widowControl w:val="0"/>
              <w:ind w:left="95" w:right="-20"/>
              <w:jc w:val="left"/>
              <w:rPr>
                <w:b/>
                <w:sz w:val="20"/>
                <w:szCs w:val="20"/>
                <w:lang w:val="es-MX"/>
              </w:rPr>
            </w:pPr>
            <w:r w:rsidRPr="001B4F7A">
              <w:rPr>
                <w:b/>
                <w:sz w:val="20"/>
                <w:szCs w:val="20"/>
                <w:lang w:val="es-MX"/>
              </w:rPr>
              <w:t>Costo total del proyecto</w:t>
            </w:r>
          </w:p>
        </w:tc>
        <w:tc>
          <w:tcPr>
            <w:tcW w:w="1263" w:type="pct"/>
            <w:tcBorders>
              <w:top w:val="single" w:sz="4" w:space="0" w:color="auto"/>
              <w:left w:val="single" w:sz="4" w:space="0" w:color="auto"/>
              <w:bottom w:val="single" w:sz="4" w:space="0" w:color="auto"/>
              <w:right w:val="single" w:sz="4" w:space="0" w:color="auto"/>
            </w:tcBorders>
          </w:tcPr>
          <w:p w14:paraId="74F55ECC" w14:textId="77777777" w:rsidR="00530D90" w:rsidRPr="001B4F7A" w:rsidRDefault="00530D90" w:rsidP="00E671D9">
            <w:pPr>
              <w:widowControl w:val="0"/>
              <w:ind w:right="83"/>
              <w:jc w:val="right"/>
              <w:rPr>
                <w:sz w:val="20"/>
                <w:szCs w:val="20"/>
                <w:lang w:val="es-MX"/>
              </w:rPr>
            </w:pPr>
            <w:r w:rsidRPr="001B4F7A">
              <w:rPr>
                <w:b/>
                <w:sz w:val="20"/>
                <w:szCs w:val="20"/>
                <w:lang w:val="es-MX"/>
              </w:rPr>
              <w:t>1.661.662</w:t>
            </w:r>
          </w:p>
        </w:tc>
      </w:tr>
      <w:tr w:rsidR="00530D90" w:rsidRPr="001B4F7A" w14:paraId="531826FD" w14:textId="77777777" w:rsidTr="00837455">
        <w:trPr>
          <w:trHeight w:val="20"/>
        </w:trPr>
        <w:tc>
          <w:tcPr>
            <w:tcW w:w="3737" w:type="pct"/>
            <w:tcBorders>
              <w:top w:val="single" w:sz="4" w:space="0" w:color="auto"/>
              <w:left w:val="single" w:sz="4" w:space="0" w:color="auto"/>
              <w:bottom w:val="single" w:sz="4" w:space="0" w:color="auto"/>
              <w:right w:val="single" w:sz="4" w:space="0" w:color="auto"/>
            </w:tcBorders>
          </w:tcPr>
          <w:p w14:paraId="0EBF8593" w14:textId="77777777" w:rsidR="00530D90" w:rsidRPr="001B4F7A" w:rsidRDefault="00530D90" w:rsidP="00E671D9">
            <w:pPr>
              <w:widowControl w:val="0"/>
              <w:ind w:left="95" w:right="-20"/>
              <w:jc w:val="left"/>
              <w:rPr>
                <w:sz w:val="20"/>
                <w:szCs w:val="20"/>
                <w:lang w:val="es-MX"/>
              </w:rPr>
            </w:pPr>
            <w:r w:rsidRPr="001B4F7A">
              <w:rPr>
                <w:sz w:val="20"/>
                <w:szCs w:val="20"/>
                <w:lang w:val="es-MX"/>
              </w:rPr>
              <w:t>Gastos de apoyo del organismo</w:t>
            </w:r>
          </w:p>
        </w:tc>
        <w:tc>
          <w:tcPr>
            <w:tcW w:w="1263" w:type="pct"/>
            <w:tcBorders>
              <w:top w:val="single" w:sz="4" w:space="0" w:color="auto"/>
              <w:left w:val="single" w:sz="4" w:space="0" w:color="auto"/>
              <w:bottom w:val="single" w:sz="4" w:space="0" w:color="auto"/>
              <w:right w:val="single" w:sz="4" w:space="0" w:color="auto"/>
            </w:tcBorders>
          </w:tcPr>
          <w:p w14:paraId="64740CB3" w14:textId="77777777" w:rsidR="00530D90" w:rsidRPr="001B4F7A" w:rsidRDefault="00530D90" w:rsidP="00E671D9">
            <w:pPr>
              <w:widowControl w:val="0"/>
              <w:ind w:right="83"/>
              <w:jc w:val="right"/>
              <w:rPr>
                <w:sz w:val="20"/>
                <w:szCs w:val="20"/>
                <w:lang w:val="es-MX"/>
              </w:rPr>
            </w:pPr>
            <w:r w:rsidRPr="001B4F7A">
              <w:rPr>
                <w:sz w:val="20"/>
                <w:szCs w:val="20"/>
                <w:lang w:val="es-MX"/>
              </w:rPr>
              <w:t>119.496</w:t>
            </w:r>
          </w:p>
        </w:tc>
      </w:tr>
      <w:tr w:rsidR="00AE35D2" w:rsidRPr="001B4F7A" w14:paraId="2162C973" w14:textId="77777777" w:rsidTr="008651FB">
        <w:trPr>
          <w:trHeight w:val="20"/>
        </w:trPr>
        <w:tc>
          <w:tcPr>
            <w:tcW w:w="3737" w:type="pct"/>
            <w:shd w:val="clear" w:color="auto" w:fill="auto"/>
          </w:tcPr>
          <w:p w14:paraId="609C8A54" w14:textId="77777777" w:rsidR="00AE35D2" w:rsidRPr="001B4F7A" w:rsidRDefault="0016641B" w:rsidP="00E671D9">
            <w:pPr>
              <w:widowControl w:val="0"/>
              <w:ind w:left="95" w:right="-20"/>
              <w:jc w:val="left"/>
              <w:rPr>
                <w:b/>
                <w:sz w:val="20"/>
                <w:szCs w:val="20"/>
                <w:lang w:val="es-MX"/>
              </w:rPr>
            </w:pPr>
            <w:r w:rsidRPr="001B4F7A">
              <w:rPr>
                <w:b/>
                <w:sz w:val="20"/>
                <w:szCs w:val="20"/>
                <w:lang w:val="es-MX"/>
              </w:rPr>
              <w:t>Total general</w:t>
            </w:r>
          </w:p>
        </w:tc>
        <w:tc>
          <w:tcPr>
            <w:tcW w:w="1263" w:type="pct"/>
            <w:shd w:val="clear" w:color="auto" w:fill="auto"/>
          </w:tcPr>
          <w:p w14:paraId="7073B139" w14:textId="77777777" w:rsidR="00AE35D2" w:rsidRPr="001B4F7A" w:rsidRDefault="00530D90" w:rsidP="00E671D9">
            <w:pPr>
              <w:widowControl w:val="0"/>
              <w:ind w:right="83"/>
              <w:jc w:val="right"/>
              <w:rPr>
                <w:b/>
                <w:sz w:val="20"/>
                <w:szCs w:val="20"/>
                <w:lang w:val="es-MX"/>
              </w:rPr>
            </w:pPr>
            <w:r w:rsidRPr="001B4F7A">
              <w:rPr>
                <w:b/>
                <w:sz w:val="20"/>
                <w:szCs w:val="20"/>
                <w:lang w:val="es-MX"/>
              </w:rPr>
              <w:t>1.781.158</w:t>
            </w:r>
          </w:p>
        </w:tc>
      </w:tr>
      <w:tr w:rsidR="00AE35D2" w:rsidRPr="001B4F7A" w14:paraId="76D8D7CC" w14:textId="77777777" w:rsidTr="008651FB">
        <w:trPr>
          <w:trHeight w:val="20"/>
        </w:trPr>
        <w:tc>
          <w:tcPr>
            <w:tcW w:w="3737" w:type="pct"/>
            <w:shd w:val="clear" w:color="auto" w:fill="auto"/>
          </w:tcPr>
          <w:p w14:paraId="65D7106D" w14:textId="77777777" w:rsidR="00AE35D2" w:rsidRPr="001B4F7A" w:rsidRDefault="00C10D22" w:rsidP="00E671D9">
            <w:pPr>
              <w:widowControl w:val="0"/>
              <w:ind w:left="95" w:right="-20"/>
              <w:jc w:val="left"/>
              <w:rPr>
                <w:sz w:val="20"/>
                <w:szCs w:val="20"/>
                <w:lang w:val="es-MX"/>
              </w:rPr>
            </w:pPr>
            <w:r w:rsidRPr="001B4F7A">
              <w:rPr>
                <w:sz w:val="20"/>
                <w:szCs w:val="20"/>
                <w:lang w:val="es-MX"/>
              </w:rPr>
              <w:t>Eliminación indirecta de HFC asociada al proyecto (t)</w:t>
            </w:r>
          </w:p>
        </w:tc>
        <w:tc>
          <w:tcPr>
            <w:tcW w:w="1263" w:type="pct"/>
            <w:shd w:val="clear" w:color="auto" w:fill="auto"/>
          </w:tcPr>
          <w:p w14:paraId="069E02AA" w14:textId="77777777" w:rsidR="00AE35D2" w:rsidRPr="001B4F7A" w:rsidRDefault="00E220AC" w:rsidP="00E671D9">
            <w:pPr>
              <w:widowControl w:val="0"/>
              <w:ind w:right="83"/>
              <w:jc w:val="right"/>
              <w:rPr>
                <w:sz w:val="20"/>
                <w:szCs w:val="20"/>
                <w:lang w:val="es-MX"/>
              </w:rPr>
            </w:pPr>
            <w:r w:rsidRPr="001B4F7A">
              <w:rPr>
                <w:sz w:val="20"/>
                <w:szCs w:val="20"/>
                <w:lang w:val="es-MX"/>
              </w:rPr>
              <w:t>150</w:t>
            </w:r>
          </w:p>
        </w:tc>
      </w:tr>
      <w:tr w:rsidR="00AE35D2" w:rsidRPr="001B4F7A" w14:paraId="5C1C1613" w14:textId="77777777" w:rsidTr="008651FB">
        <w:trPr>
          <w:trHeight w:val="20"/>
        </w:trPr>
        <w:tc>
          <w:tcPr>
            <w:tcW w:w="3737" w:type="pct"/>
            <w:shd w:val="clear" w:color="auto" w:fill="auto"/>
          </w:tcPr>
          <w:p w14:paraId="77DB951B" w14:textId="77777777" w:rsidR="00AE35D2" w:rsidRPr="001B4F7A" w:rsidRDefault="00AE35D2" w:rsidP="00E671D9">
            <w:pPr>
              <w:widowControl w:val="0"/>
              <w:ind w:left="95" w:right="-20"/>
              <w:jc w:val="left"/>
              <w:rPr>
                <w:sz w:val="20"/>
                <w:szCs w:val="20"/>
                <w:lang w:val="es-MX"/>
              </w:rPr>
            </w:pPr>
            <w:r w:rsidRPr="001B4F7A">
              <w:rPr>
                <w:bCs/>
                <w:sz w:val="20"/>
                <w:szCs w:val="20"/>
                <w:lang w:val="es-MX"/>
              </w:rPr>
              <w:t>Relación de costo a eficacia ($EUA/kg)</w:t>
            </w:r>
          </w:p>
        </w:tc>
        <w:tc>
          <w:tcPr>
            <w:tcW w:w="1263" w:type="pct"/>
            <w:shd w:val="clear" w:color="auto" w:fill="auto"/>
          </w:tcPr>
          <w:p w14:paraId="3DF43182" w14:textId="77777777" w:rsidR="00AE35D2" w:rsidRPr="001B4F7A" w:rsidRDefault="00E220AC" w:rsidP="00E671D9">
            <w:pPr>
              <w:widowControl w:val="0"/>
              <w:ind w:right="83"/>
              <w:jc w:val="right"/>
              <w:rPr>
                <w:sz w:val="20"/>
                <w:szCs w:val="20"/>
                <w:lang w:val="es-MX"/>
              </w:rPr>
            </w:pPr>
            <w:r w:rsidRPr="001B4F7A">
              <w:rPr>
                <w:sz w:val="20"/>
                <w:szCs w:val="20"/>
                <w:lang w:val="es-MX"/>
              </w:rPr>
              <w:t>11,87</w:t>
            </w:r>
          </w:p>
        </w:tc>
      </w:tr>
    </w:tbl>
    <w:p w14:paraId="3C87CC8A" w14:textId="7C0D2A96" w:rsidR="00AE35D2" w:rsidRPr="001B4F7A" w:rsidRDefault="00BE13D7" w:rsidP="00E671D9">
      <w:pPr>
        <w:rPr>
          <w:sz w:val="20"/>
          <w:szCs w:val="20"/>
          <w:lang w:val="es-MX"/>
        </w:rPr>
      </w:pPr>
      <w:r w:rsidRPr="001B4F7A">
        <w:rPr>
          <w:sz w:val="20"/>
          <w:szCs w:val="20"/>
          <w:lang w:val="es-MX"/>
        </w:rPr>
        <w:t>*</w:t>
      </w:r>
      <w:r w:rsidRPr="001B4F7A">
        <w:rPr>
          <w:sz w:val="18"/>
          <w:szCs w:val="20"/>
          <w:lang w:val="es-MX"/>
        </w:rPr>
        <w:t>La Secretaría toma nota de que el monto de imprevistos del 10 por ciento y la deducción del 10,61 por ciento por la propiedad no amparada por el Artículo 5 de la propuesta de proyecto, tal como se presentó, se calcularon después de deducir la cofinanciación en lugar de basarse en el costo total del proyecto. El cálculo corregido se presenta en el Cuadro 4.</w:t>
      </w:r>
    </w:p>
    <w:p w14:paraId="40BEAAB7" w14:textId="77777777" w:rsidR="00065D6B" w:rsidRPr="001B4F7A" w:rsidRDefault="00065D6B" w:rsidP="00E671D9">
      <w:pPr>
        <w:rPr>
          <w:highlight w:val="yellow"/>
          <w:lang w:val="es-MX"/>
        </w:rPr>
      </w:pPr>
    </w:p>
    <w:p w14:paraId="6DA80D7D" w14:textId="77777777" w:rsidR="00AE35D2" w:rsidRPr="001B4F7A" w:rsidRDefault="00AE35D2" w:rsidP="00E671D9">
      <w:pPr>
        <w:pStyle w:val="Heading1"/>
        <w:rPr>
          <w:lang w:val="es-MX"/>
        </w:rPr>
      </w:pPr>
      <w:r w:rsidRPr="001B4F7A">
        <w:rPr>
          <w:lang w:val="es-MX"/>
        </w:rPr>
        <w:t>La ejecución del proyecto tendrá lugar en un periodo de 24 meses.</w:t>
      </w:r>
    </w:p>
    <w:p w14:paraId="631A5A89" w14:textId="0285E29F" w:rsidR="00994AF6" w:rsidRPr="001B4F7A" w:rsidRDefault="00AE35D2" w:rsidP="00E671D9">
      <w:pPr>
        <w:pStyle w:val="Heading1"/>
        <w:rPr>
          <w:lang w:val="es-MX"/>
        </w:rPr>
      </w:pPr>
      <w:r w:rsidRPr="001B4F7A">
        <w:rPr>
          <w:lang w:val="es-MX"/>
        </w:rPr>
        <w:t>El proyecto eliminará indirectamente un consumo anual de 150 t (214.500 t de eq. de CO</w:t>
      </w:r>
      <w:r w:rsidRPr="001B4F7A">
        <w:rPr>
          <w:vertAlign w:val="subscript"/>
          <w:lang w:val="es-MX"/>
        </w:rPr>
        <w:t>2</w:t>
      </w:r>
      <w:r w:rsidRPr="001B4F7A">
        <w:rPr>
          <w:lang w:val="es-MX"/>
        </w:rPr>
        <w:t>) de HFC</w:t>
      </w:r>
      <w:r w:rsidRPr="001B4F7A">
        <w:rPr>
          <w:lang w:val="es-MX"/>
        </w:rPr>
        <w:noBreakHyphen/>
        <w:t xml:space="preserve">134a. Se estima que la eficiencia energética de los compresores que funcionan con R-600a mejorará entre el 45 y el 60 por ciento gracias a un diseño con mayor eficiencia energética. </w:t>
      </w:r>
    </w:p>
    <w:p w14:paraId="172C87BC" w14:textId="77777777" w:rsidR="003B3FB0" w:rsidRDefault="003B3FB0">
      <w:pPr>
        <w:jc w:val="left"/>
        <w:rPr>
          <w:b/>
          <w:lang w:val="es-MX"/>
        </w:rPr>
      </w:pPr>
      <w:r>
        <w:rPr>
          <w:b/>
          <w:lang w:val="es-MX"/>
        </w:rPr>
        <w:br w:type="page"/>
      </w:r>
    </w:p>
    <w:p w14:paraId="051029CB" w14:textId="03A62029" w:rsidR="003B7259" w:rsidRPr="001B4F7A" w:rsidRDefault="003B7259" w:rsidP="00E671D9">
      <w:pPr>
        <w:jc w:val="center"/>
        <w:rPr>
          <w:b/>
          <w:lang w:val="es-MX"/>
        </w:rPr>
      </w:pPr>
      <w:r w:rsidRPr="001B4F7A">
        <w:rPr>
          <w:b/>
          <w:lang w:val="es-MX"/>
        </w:rPr>
        <w:lastRenderedPageBreak/>
        <w:t>OBSERVACIONES Y RECOMENDACIÓN DE LA SECRETARÍA</w:t>
      </w:r>
    </w:p>
    <w:p w14:paraId="581FF310" w14:textId="77777777" w:rsidR="003B7259" w:rsidRPr="001B4F7A" w:rsidRDefault="003B7259" w:rsidP="00E671D9">
      <w:pPr>
        <w:rPr>
          <w:lang w:val="es-MX"/>
        </w:rPr>
      </w:pPr>
    </w:p>
    <w:p w14:paraId="48A039AA" w14:textId="60CB912B" w:rsidR="003B7259" w:rsidRPr="003E34E2" w:rsidRDefault="003B7259" w:rsidP="003E34E2">
      <w:pPr>
        <w:keepNext/>
        <w:keepLines/>
        <w:spacing w:after="240"/>
        <w:rPr>
          <w:b/>
          <w:lang w:val="es-MX"/>
        </w:rPr>
      </w:pPr>
      <w:r w:rsidRPr="001B4F7A">
        <w:rPr>
          <w:b/>
          <w:lang w:val="es-MX"/>
        </w:rPr>
        <w:t>OBSERVACIONES</w:t>
      </w:r>
    </w:p>
    <w:p w14:paraId="01EA08BD" w14:textId="7FD6F992" w:rsidR="003B7259" w:rsidRPr="001B4F7A" w:rsidRDefault="003B7259" w:rsidP="003E34E2">
      <w:pPr>
        <w:keepNext/>
        <w:keepLines/>
        <w:spacing w:after="240"/>
        <w:rPr>
          <w:i/>
          <w:lang w:val="es-MX"/>
        </w:rPr>
      </w:pPr>
      <w:r w:rsidRPr="001B4F7A">
        <w:rPr>
          <w:i/>
          <w:lang w:val="es-MX"/>
        </w:rPr>
        <w:t>Elegibilidad para proyectos de inversión de HFC</w:t>
      </w:r>
    </w:p>
    <w:p w14:paraId="0A5DE034" w14:textId="1CA334BB" w:rsidR="003B7259" w:rsidRPr="001B4F7A" w:rsidRDefault="003B7259" w:rsidP="00E671D9">
      <w:pPr>
        <w:pStyle w:val="Heading1"/>
        <w:rPr>
          <w:lang w:val="es-MX"/>
        </w:rPr>
      </w:pPr>
      <w:r w:rsidRPr="001B4F7A">
        <w:rPr>
          <w:lang w:val="es-MX"/>
        </w:rPr>
        <w:t xml:space="preserve">La Secretaría ha examinado la propuesta de proyecto sobre la base de las políticas actuales del Fondo Multilateral, las decisiones del Comité Ejecutivo relativas a los proyectos de inversión de HFC (decisiones 78/3 g), 79/45, 81/53 y 84/53) y proyectos de conversión similares aprobados para la eliminación de CFC y HFC. </w:t>
      </w:r>
    </w:p>
    <w:p w14:paraId="4E6EDE71" w14:textId="1003D585" w:rsidR="004B59E5" w:rsidRPr="001B4F7A" w:rsidRDefault="003B7259" w:rsidP="00E671D9">
      <w:pPr>
        <w:pStyle w:val="Heading1"/>
        <w:rPr>
          <w:lang w:val="es-MX"/>
        </w:rPr>
      </w:pPr>
      <w:r w:rsidRPr="001B4F7A">
        <w:rPr>
          <w:lang w:val="es-MX"/>
        </w:rPr>
        <w:t>La propuesta de proyecto incluye una carta oficial del Gobierno de Egipto con el compromiso requerido de la decisión 78/3 g), lo que indica que el Gobierno está haciendo todo lo posible para ratificar la Enmienda de Kigali tan pronto como se pueda, de conformidad con la decisión 79/45. El Gobierno es consciente de que, si el proyecto es aprobado por el Comité Ejecutivo:</w:t>
      </w:r>
    </w:p>
    <w:p w14:paraId="0E5884B0" w14:textId="77777777" w:rsidR="004B59E5" w:rsidRPr="001B4F7A" w:rsidRDefault="004B59E5" w:rsidP="00E671D9">
      <w:pPr>
        <w:pStyle w:val="Heading2"/>
        <w:rPr>
          <w:lang w:val="es-MX"/>
        </w:rPr>
      </w:pPr>
      <w:r w:rsidRPr="001B4F7A">
        <w:rPr>
          <w:lang w:val="es-MX"/>
        </w:rPr>
        <w:t xml:space="preserve">No se dispondrá de más financiación hasta que el instrumento de ratificación de la Enmienda de Kigali haya sido recibido por el depositario de la Sede Central de la Organización de las Naciones Unidas de Nueva York; y </w:t>
      </w:r>
    </w:p>
    <w:p w14:paraId="74E710DA" w14:textId="77777777" w:rsidR="003B7259" w:rsidRPr="001B4F7A" w:rsidRDefault="004B59E5" w:rsidP="00E671D9">
      <w:pPr>
        <w:pStyle w:val="Heading2"/>
        <w:rPr>
          <w:lang w:val="es-MX"/>
        </w:rPr>
      </w:pPr>
      <w:r w:rsidRPr="001B4F7A">
        <w:rPr>
          <w:lang w:val="es-MX"/>
        </w:rPr>
        <w:t>Toda reducción del consumo de HFC se deducirá de cualquier punto de partida para las reducciones acumuladas del consumo de HFC que se puedan acordar en el futuro.</w:t>
      </w:r>
    </w:p>
    <w:p w14:paraId="5F7E6EE2" w14:textId="29B1FA5A" w:rsidR="00D87287" w:rsidRPr="001B4F7A" w:rsidRDefault="00717B78" w:rsidP="000A03B5">
      <w:pPr>
        <w:pStyle w:val="Heading1"/>
        <w:rPr>
          <w:lang w:val="es-MX"/>
        </w:rPr>
      </w:pPr>
      <w:r w:rsidRPr="001B4F7A">
        <w:rPr>
          <w:lang w:val="es-MX"/>
        </w:rPr>
        <w:t>Si bien este proyecto no está dentro de los sectores prioritarios identificados en la decisión 84/53</w:t>
      </w:r>
      <w:r w:rsidR="00626FF8" w:rsidRPr="001B4F7A">
        <w:rPr>
          <w:rStyle w:val="FootnoteReference"/>
          <w:lang w:val="es-MX"/>
        </w:rPr>
        <w:footnoteReference w:id="5"/>
      </w:r>
      <w:r w:rsidRPr="001B4F7A">
        <w:rPr>
          <w:lang w:val="es-MX"/>
        </w:rPr>
        <w:t>, la Secretaría observa que previamente se habían aprobado conversiones de líneas de fabricación de compresores a tecnología de R</w:t>
      </w:r>
      <w:r w:rsidRPr="001B4F7A">
        <w:rPr>
          <w:lang w:val="es-MX"/>
        </w:rPr>
        <w:noBreakHyphen/>
        <w:t>600a como componentes de proyecto para empresas de fabricación de equipos de refrigeración domésticos que funcionan con HFC</w:t>
      </w:r>
      <w:r w:rsidRPr="001B4F7A">
        <w:rPr>
          <w:lang w:val="es-MX"/>
        </w:rPr>
        <w:noBreakHyphen/>
        <w:t>134a que se habían convertido a R</w:t>
      </w:r>
      <w:r w:rsidRPr="001B4F7A">
        <w:rPr>
          <w:lang w:val="es-MX"/>
        </w:rPr>
        <w:noBreakHyphen/>
        <w:t>600a en Bangladesh</w:t>
      </w:r>
      <w:r w:rsidRPr="001B4F7A">
        <w:rPr>
          <w:rStyle w:val="FootnoteReference"/>
          <w:lang w:val="es-MX"/>
        </w:rPr>
        <w:footnoteReference w:id="6"/>
      </w:r>
      <w:r w:rsidRPr="001B4F7A">
        <w:rPr>
          <w:lang w:val="es-MX"/>
        </w:rPr>
        <w:t xml:space="preserve"> y México</w:t>
      </w:r>
      <w:r w:rsidRPr="001B4F7A">
        <w:rPr>
          <w:rStyle w:val="FootnoteReference"/>
          <w:lang w:val="es-MX"/>
        </w:rPr>
        <w:footnoteReference w:id="7"/>
      </w:r>
      <w:r w:rsidRPr="001B4F7A">
        <w:rPr>
          <w:lang w:val="es-MX"/>
        </w:rPr>
        <w:t>. La Secretaría también observa que el proyecto está en la región africana y trata sobre una empresa que fabrica exclusivamente compresores y los suministra a empresas de fabricación de equipos de refrigeración domésticos y comerciales autónomos situadas en Egipto y en la región, y que dichas empresas de fabricación de equipos de refrigeración podrían decidir convertir sus líneas de producción a la tecnología de R</w:t>
      </w:r>
      <w:r w:rsidRPr="001B4F7A">
        <w:rPr>
          <w:lang w:val="es-MX"/>
        </w:rPr>
        <w:noBreakHyphen/>
        <w:t>600a una vez que la empresa del proyecto suministre compresores que funcionan con R</w:t>
      </w:r>
      <w:r w:rsidRPr="001B4F7A">
        <w:rPr>
          <w:lang w:val="es-MX"/>
        </w:rPr>
        <w:noBreakHyphen/>
        <w:t>600a a un coste inferior al de los compresores que funcionan con HFC</w:t>
      </w:r>
      <w:r w:rsidRPr="001B4F7A">
        <w:rPr>
          <w:lang w:val="es-MX"/>
        </w:rPr>
        <w:noBreakHyphen/>
        <w:t>134a, reduciendo así la demanda futura de HFC</w:t>
      </w:r>
      <w:r w:rsidRPr="001B4F7A">
        <w:rPr>
          <w:lang w:val="es-MX"/>
        </w:rPr>
        <w:noBreakHyphen/>
        <w:t>134a para tareas de servicio y mantenimiento. Además, la conversión a la tecnología de R-600a contribuirá a mitigar el cambio climático, dado que el consumo de energía se reducirá sustancialmente debido al aumento en la eficiencia energética de las unidades. Por otro lado, el proyecto proporcionará información detallada sobre los costos de la conversión de compresores de HFC</w:t>
      </w:r>
      <w:r w:rsidRPr="001B4F7A">
        <w:rPr>
          <w:lang w:val="es-MX"/>
        </w:rPr>
        <w:noBreakHyphen/>
        <w:t>134a a refrigerante R</w:t>
      </w:r>
      <w:r w:rsidRPr="001B4F7A">
        <w:rPr>
          <w:lang w:val="es-MX"/>
        </w:rPr>
        <w:noBreakHyphen/>
        <w:t>600a, y de su impacto en los costos adicionales de explotación de las conversiones de equipos de refrigeración domésticos y comerciales autónomos, disponibles en diversos países que operan al amparo del Artículo 5.</w:t>
      </w:r>
    </w:p>
    <w:p w14:paraId="1070BF54" w14:textId="77777777" w:rsidR="003B7259" w:rsidRPr="001B4F7A" w:rsidRDefault="003B7259" w:rsidP="00E671D9">
      <w:pPr>
        <w:rPr>
          <w:i/>
          <w:lang w:val="es-MX"/>
        </w:rPr>
      </w:pPr>
      <w:r w:rsidRPr="001B4F7A">
        <w:rPr>
          <w:i/>
          <w:lang w:val="es-MX"/>
        </w:rPr>
        <w:t>Conversión de segunda etapa</w:t>
      </w:r>
    </w:p>
    <w:p w14:paraId="5068AA38" w14:textId="77777777" w:rsidR="003B7259" w:rsidRPr="001B4F7A" w:rsidRDefault="003B7259" w:rsidP="00E671D9">
      <w:pPr>
        <w:rPr>
          <w:lang w:val="es-MX"/>
        </w:rPr>
      </w:pPr>
    </w:p>
    <w:p w14:paraId="5A5702BB" w14:textId="39528821" w:rsidR="003B7259" w:rsidRPr="001B4F7A" w:rsidRDefault="003B7259" w:rsidP="00E671D9">
      <w:pPr>
        <w:pStyle w:val="Heading1"/>
        <w:rPr>
          <w:lang w:val="es-MX"/>
        </w:rPr>
      </w:pPr>
      <w:r w:rsidRPr="001B4F7A">
        <w:rPr>
          <w:lang w:val="es-MX"/>
        </w:rPr>
        <w:t>La Secretaría observa que MCMC recibió financiación del Fondo Multilateral en la reunión 8ª del Comité Ejecutivo (1992) para convertir compresores que funcionan con CFC-12 a compresores que funcionan con HFC</w:t>
      </w:r>
      <w:r w:rsidRPr="001B4F7A">
        <w:rPr>
          <w:lang w:val="es-MX"/>
        </w:rPr>
        <w:noBreakHyphen/>
        <w:t>134a</w:t>
      </w:r>
      <w:r w:rsidRPr="001B4F7A">
        <w:rPr>
          <w:lang w:val="es-MX"/>
        </w:rPr>
        <w:noBreakHyphen/>
        <w:t>. Por lo tanto, la Secretaría considera que la presente conversión estaría comprendida en el apartado 18 b) de la decisión XXVIII/2, por lo que sería admisible para la financiación.</w:t>
      </w:r>
    </w:p>
    <w:p w14:paraId="32B1750F" w14:textId="06CA4CD1" w:rsidR="000A2922" w:rsidRPr="003E34E2" w:rsidRDefault="000A2922" w:rsidP="003E34E2">
      <w:pPr>
        <w:keepNext/>
        <w:keepLines/>
        <w:spacing w:after="240"/>
        <w:outlineLvl w:val="0"/>
        <w:rPr>
          <w:i/>
          <w:lang w:val="es-MX"/>
        </w:rPr>
      </w:pPr>
      <w:r w:rsidRPr="001B4F7A">
        <w:rPr>
          <w:i/>
          <w:lang w:val="es-MX"/>
        </w:rPr>
        <w:lastRenderedPageBreak/>
        <w:t>Competitividad del MCMC en el mercado</w:t>
      </w:r>
    </w:p>
    <w:p w14:paraId="5CE49B69" w14:textId="72E73FE3" w:rsidR="009F2C3D" w:rsidRPr="001B4F7A" w:rsidRDefault="000A2922" w:rsidP="00E671D9">
      <w:pPr>
        <w:pStyle w:val="Heading1"/>
        <w:rPr>
          <w:lang w:val="es-MX"/>
        </w:rPr>
      </w:pPr>
      <w:r w:rsidRPr="001B4F7A">
        <w:rPr>
          <w:lang w:val="es-MX"/>
        </w:rPr>
        <w:t xml:space="preserve">La Secretaría pidió aclaraciones adicionales sobre la competitividad de MCMC a la luz de la competencia de los fabricantes internacionales de compresores, y señaló que, en la actualidad, los equipos importados de China y Brasil dominan el mercado, y que el examen técnico independiente realizado por la ONUDI indicó que el costo de fabricación de los compresores que funcionan con R-600a en empresas de fabricación a gran escala sería inferior al de los compresores fabricados localmente, incluso después de tomar en consideración el transporte y otros gastos adicionales. </w:t>
      </w:r>
    </w:p>
    <w:p w14:paraId="492AF89D" w14:textId="4CF16697" w:rsidR="000A2922" w:rsidRPr="001B4F7A" w:rsidRDefault="003107DF" w:rsidP="00E671D9">
      <w:pPr>
        <w:pStyle w:val="Heading1"/>
        <w:rPr>
          <w:lang w:val="es-MX"/>
        </w:rPr>
      </w:pPr>
      <w:r w:rsidRPr="001B4F7A">
        <w:rPr>
          <w:lang w:val="es-MX"/>
        </w:rPr>
        <w:t>La ONUDI explicó que el precio del compresor no era la única consideración para elegir el proveedor de compresores. MCMC, en su calidad de único proveedor local de compresores, está en una buena posición para afrontar los desafíos asociados a los compresores importados, ya que puede ofrecer un plazo de entrega más corto de disponibilidad de productos, no requiere el pago con una moneda fuerte estable, y proporciona servicio posventa, apoyo técnico y repuestos. La compra a MCMC también representa un ahorro para los fabricantes de equipos de refrigeración locales, ya que no necesitan mantener muchos compresores en inventario. Actualmente, a pesar de la competencia de compresores importados más baratos que funcionan con HFC</w:t>
      </w:r>
      <w:r w:rsidRPr="001B4F7A">
        <w:rPr>
          <w:lang w:val="es-MX"/>
        </w:rPr>
        <w:noBreakHyphen/>
        <w:t>134a, MCMC todavía mantiene una cuota de mercado significativa. Además, se espera que los compresores que funcionan con R</w:t>
      </w:r>
      <w:r w:rsidRPr="001B4F7A">
        <w:rPr>
          <w:lang w:val="es-MX"/>
        </w:rPr>
        <w:noBreakHyphen/>
        <w:t>600a que fabricará MCMC tengan un precio inferior que los compresores fabricados actualmente que funcionan con HFC</w:t>
      </w:r>
      <w:r w:rsidRPr="001B4F7A">
        <w:rPr>
          <w:lang w:val="es-MX"/>
        </w:rPr>
        <w:noBreakHyphen/>
        <w:t>134a</w:t>
      </w:r>
      <w:r w:rsidRPr="001B4F7A">
        <w:rPr>
          <w:lang w:val="es-MX"/>
        </w:rPr>
        <w:noBreakHyphen/>
        <w:t>, y MCMC tiene el objetivo de ser capaz de reducir los costes aún más gracias a la reducción de la cantidad de material necesaria para la producción, y al aumento del volumen de producción. La Secretaría toma nota de que, a pesar de la reducción de la producción en los últimos 10 años, especialmente en lo que respecta a los compresores destinados a la exportación, MCMC ha estado en funcionamiento durante más de 30 años, y ha aumentado la producción de 2020 en comparación con los cinco años anteriores. No obstante, la empresa se enfrentaría a una fuerte competencia en el mercado y necesitaría seguir trabajando en la reducción de costos para vender sus productos de forma competitiva en el mercado.</w:t>
      </w:r>
    </w:p>
    <w:p w14:paraId="10908757" w14:textId="77777777" w:rsidR="003B7259" w:rsidRPr="001B4F7A" w:rsidRDefault="00AA3D6C" w:rsidP="00E671D9">
      <w:pPr>
        <w:pStyle w:val="Heading1"/>
        <w:numPr>
          <w:ilvl w:val="0"/>
          <w:numId w:val="0"/>
        </w:numPr>
        <w:rPr>
          <w:i/>
          <w:lang w:val="es-MX"/>
        </w:rPr>
      </w:pPr>
      <w:r w:rsidRPr="001B4F7A">
        <w:rPr>
          <w:i/>
          <w:lang w:val="es-MX"/>
        </w:rPr>
        <w:t>Impacto del proyecto en el sector de fabricación de equipos de refrigeración domésticos y comerciales autónomos</w:t>
      </w:r>
    </w:p>
    <w:p w14:paraId="13A4C217" w14:textId="5E760FD1" w:rsidR="003B7259" w:rsidRPr="001B4F7A" w:rsidRDefault="00761969" w:rsidP="00E671D9">
      <w:pPr>
        <w:pStyle w:val="Heading1"/>
        <w:rPr>
          <w:lang w:val="es-MX"/>
        </w:rPr>
      </w:pPr>
      <w:r w:rsidRPr="001B4F7A">
        <w:rPr>
          <w:lang w:val="es-MX"/>
        </w:rPr>
        <w:t>Según lo presentado, el proyecto propone reducir en 150 t el consumo total de HFC-134a utilizado en la fabricación de equipos de refrigeración en Egipto. La Secretaría observa que la eliminación real solo se produciría cuando los fabricantes de equipos de refrigeración se convirtieran a una tecnología alternativa, y no cuando el fabricante del compresor se haya convertido; y en esa línea la Secretaría preguntó cómo podría garantizarse que después de la conversión de la empresa de fabricación de compresores, los fabricantes locales de refrigeradores domésticos y comerciales llevarían a cabo sus conversiones para que realmente tuviera lugar la eliminación de HFC pretendida por el proyecto.</w:t>
      </w:r>
    </w:p>
    <w:p w14:paraId="32B6A9A6" w14:textId="5397FAE3" w:rsidR="005062E3" w:rsidRPr="001B4F7A" w:rsidRDefault="005B6B1F" w:rsidP="00BD7909">
      <w:pPr>
        <w:pStyle w:val="Heading1"/>
        <w:rPr>
          <w:lang w:val="es-MX"/>
        </w:rPr>
      </w:pPr>
      <w:r w:rsidRPr="001B4F7A">
        <w:rPr>
          <w:lang w:val="es-MX"/>
        </w:rPr>
        <w:t>La ONUDI explicó que el Gobierno de Egipto está comprometido a dar prioridad al sector de fabricación de equipos de refrigeración domésticos y comerciales autónomos en su plan para la reducción de los HFC. La conversión de este sector será parte de la etapa I de la estrategia de reducción de los HFC. La ONUDI, en nombre del Gobierno de Egipto, presentó en la 87ª reunión una solicitud de financiación para la preparación del plan sectorial para la conversión de HFC</w:t>
      </w:r>
      <w:r w:rsidRPr="001B4F7A">
        <w:rPr>
          <w:lang w:val="es-MX"/>
        </w:rPr>
        <w:noBreakHyphen/>
        <w:t>134a a R</w:t>
      </w:r>
      <w:r w:rsidRPr="001B4F7A">
        <w:rPr>
          <w:lang w:val="es-MX"/>
        </w:rPr>
        <w:noBreakHyphen/>
        <w:t>600a en el sector de fabricación de equipos de refrigeración domésticos y comerciales autónomos. No obstante, dado que el país no ha ratificado la Enmienda de Kigali, la solicitud se eliminó del programa de trabajo de la ONUDI. La ONUDI lo volverá a presentar, junto con la solicitud de preparación para el plan de reducción de los HFC, tan pronto como Egipto ratifique la Enmienda de Kigali, un proceso que se espera terminar antes del fin de 2021.</w:t>
      </w:r>
    </w:p>
    <w:p w14:paraId="24970F1C" w14:textId="142AE110" w:rsidR="003B7259" w:rsidRPr="001B4F7A" w:rsidRDefault="00273B24" w:rsidP="00E671D9">
      <w:pPr>
        <w:pStyle w:val="Heading1"/>
        <w:rPr>
          <w:lang w:val="es-MX"/>
        </w:rPr>
      </w:pPr>
      <w:r w:rsidRPr="001B4F7A">
        <w:rPr>
          <w:lang w:val="es-MX"/>
        </w:rPr>
        <w:t xml:space="preserve">Entretanto, el Gobierno de Egipto ya está discutiendo con los fabricantes locales sobre la estrategia de conversión para el sector, que incluiría, entre otras cosas, asistencia técnica a los fabricantes; la conversión de MCMC; herramientas reglamentarias que apoyen las conversiones; actividades de aceptación por el mercado; formación para el servicio posventa; y actividades logísticas relacionadas con el manejo </w:t>
      </w:r>
      <w:r w:rsidRPr="001B4F7A">
        <w:rPr>
          <w:lang w:val="es-MX"/>
        </w:rPr>
        <w:lastRenderedPageBreak/>
        <w:t>seguro del R</w:t>
      </w:r>
      <w:r w:rsidRPr="001B4F7A">
        <w:rPr>
          <w:lang w:val="es-MX"/>
        </w:rPr>
        <w:noBreakHyphen/>
        <w:t>600A. Se espera que la conversión completa del sector se lleve a cabo en un plazo de tres a cuatro años.</w:t>
      </w:r>
    </w:p>
    <w:p w14:paraId="522B7BCA" w14:textId="2E6B6687" w:rsidR="00744A61" w:rsidRPr="001B4F7A" w:rsidRDefault="00D7547E" w:rsidP="00E671D9">
      <w:pPr>
        <w:pStyle w:val="Heading1"/>
        <w:rPr>
          <w:lang w:val="es-MX"/>
        </w:rPr>
      </w:pPr>
      <w:r w:rsidRPr="001B4F7A">
        <w:rPr>
          <w:lang w:val="es-MX"/>
        </w:rPr>
        <w:t xml:space="preserve">La ONUDI explicó además que la pronta conversión de este sector en Egipto podría limitar el crecimiento del consumo de HFC en los próximos años debido al aumento de la demanda de equipos de refrigeración alineados con el plan de desarrollo urbano del país que se ha estado llevando a cabo durante los últimos cinco años. El plan consta de proyectos urbanos que incluyen una nueva capital y unas 40 nuevas ciudades, asentamientos y extensiones urbanas, con millones de viviendas nuevas previstas en el mercado en los próximos tres años. </w:t>
      </w:r>
    </w:p>
    <w:p w14:paraId="6938CD52" w14:textId="32F64621" w:rsidR="00F62287" w:rsidRPr="001B4F7A" w:rsidRDefault="000A03B5" w:rsidP="000A03B5">
      <w:pPr>
        <w:pStyle w:val="Heading1"/>
        <w:rPr>
          <w:lang w:val="es-MX"/>
        </w:rPr>
      </w:pPr>
      <w:r w:rsidRPr="001B4F7A">
        <w:rPr>
          <w:lang w:val="es-MX"/>
        </w:rPr>
        <w:t>La Secretaría reconoce que la conversión de MCMC es un elemento clave del plan sectorial para la eliminación del HFC</w:t>
      </w:r>
      <w:r w:rsidRPr="001B4F7A">
        <w:rPr>
          <w:lang w:val="es-MX"/>
        </w:rPr>
        <w:noBreakHyphen/>
        <w:t>134a en el sector de fabricación de equipos de refrigeración domésticos y comerciales autónomos, pero con el marco actual de políticas, Egipto ahora tan solo puede presentar un proyecto individual de inversión, y no el plan sectorial entero. No obstante, la Secretaría está preocupada por la posibilidad de que al asociar la financiación de la eliminación de 150 t de HFC</w:t>
      </w:r>
      <w:r w:rsidRPr="001B4F7A">
        <w:rPr>
          <w:lang w:val="es-MX"/>
        </w:rPr>
        <w:noBreakHyphen/>
        <w:t>134a al fabricante de compresores, una vez que este tonelaje se deduzca del punto de partida para la reducción sostenible del consumo de HFC, no se pueda financiar una vez más para las empresas del sector de fabricación de equipos de refrigeración domésticos y comerciales autónomos una vez que se presente el plan sectorial. En el caso de que el consumo por parte de las empresas admisibles del sector sea inferior a 150 t, no habría financiación adicional disponible para la conversión de esas empresas.</w:t>
      </w:r>
    </w:p>
    <w:p w14:paraId="4329B3EE" w14:textId="601316BD" w:rsidR="00F62287" w:rsidRPr="001B4F7A" w:rsidRDefault="004D33CD" w:rsidP="00EB63E6">
      <w:pPr>
        <w:pStyle w:val="Heading1"/>
        <w:rPr>
          <w:lang w:val="es-MX"/>
        </w:rPr>
      </w:pPr>
      <w:r w:rsidRPr="001B4F7A">
        <w:rPr>
          <w:lang w:val="es-MX"/>
        </w:rPr>
        <w:t>Al tratar la preocupación de la Secretaría, la ONUDI indicó que se espera que el consumo de HFC</w:t>
      </w:r>
      <w:r w:rsidRPr="001B4F7A">
        <w:rPr>
          <w:lang w:val="es-MX"/>
        </w:rPr>
        <w:noBreakHyphen/>
        <w:t>134a del sector de equipos de refrigeración domésticos y comerciales autónomos sea superior a 150 t, y confirmó la comprensión del Gobierno de las implicaciones potenciales sobre la financiación del hecho de asignar las 150 t de HFC</w:t>
      </w:r>
      <w:r w:rsidRPr="001B4F7A">
        <w:rPr>
          <w:lang w:val="es-MX"/>
        </w:rPr>
        <w:noBreakHyphen/>
        <w:t>134 al fabricante de compresores, y no a los fabricantes de equipos de refrigeración domésticos y comerciales autónomos, incluyendo la posibilidad de baja disponibilidad de fondos para dichas empresas, si durante la preparación del plan sectorial se determinara que el consumo admisible de HFC</w:t>
      </w:r>
      <w:r w:rsidRPr="001B4F7A">
        <w:rPr>
          <w:lang w:val="es-MX"/>
        </w:rPr>
        <w:noBreakHyphen/>
        <w:t>134a fuera inferior a 150 t.</w:t>
      </w:r>
    </w:p>
    <w:p w14:paraId="31E895F1" w14:textId="7416B393" w:rsidR="00102509" w:rsidRPr="001B4F7A" w:rsidRDefault="00102509" w:rsidP="00102509">
      <w:pPr>
        <w:pStyle w:val="Heading1"/>
        <w:rPr>
          <w:lang w:val="es-MX"/>
        </w:rPr>
      </w:pPr>
      <w:r w:rsidRPr="001B4F7A">
        <w:rPr>
          <w:lang w:val="es-MX"/>
        </w:rPr>
        <w:t>El Gobierno de Egipto señaló que había suficiente concienciación para convertir la totalidad del sector de equipos de refrigeración domésticos y comerciales autónomos a tecnología de R</w:t>
      </w:r>
      <w:r w:rsidRPr="001B4F7A">
        <w:rPr>
          <w:lang w:val="es-MX"/>
        </w:rPr>
        <w:noBreakHyphen/>
        <w:t>600a, y que la conversión del fabricante de compresores solo aceleraría el proceso. Además, las empresas de fabricación de equipos de refrigeración domésticos y comerciales autónomos estuvieron de acuerdo con el compromiso de cambiar a R</w:t>
      </w:r>
      <w:r w:rsidRPr="001B4F7A">
        <w:rPr>
          <w:lang w:val="es-MX"/>
        </w:rPr>
        <w:noBreakHyphen/>
        <w:t>600a y subrayaron la necesidad urgente de asistencia técnica y evaluación de riesgos en los subsectores de fabricación y servicio posventa.</w:t>
      </w:r>
    </w:p>
    <w:p w14:paraId="42CD0848" w14:textId="77777777" w:rsidR="00265298" w:rsidRPr="001B4F7A" w:rsidRDefault="00265298" w:rsidP="00E671D9">
      <w:pPr>
        <w:rPr>
          <w:i/>
          <w:lang w:val="es-MX"/>
        </w:rPr>
      </w:pPr>
      <w:r w:rsidRPr="001B4F7A">
        <w:rPr>
          <w:i/>
          <w:lang w:val="es-MX"/>
        </w:rPr>
        <w:t>Sostenibilidad de la conversión</w:t>
      </w:r>
    </w:p>
    <w:p w14:paraId="4EC381CE" w14:textId="77777777" w:rsidR="00265298" w:rsidRPr="001B4F7A" w:rsidRDefault="00265298" w:rsidP="00E671D9">
      <w:pPr>
        <w:rPr>
          <w:lang w:val="es-MX"/>
        </w:rPr>
      </w:pPr>
    </w:p>
    <w:p w14:paraId="3D5798E6" w14:textId="57DD7FFF" w:rsidR="009C70B6" w:rsidRPr="001B4F7A" w:rsidRDefault="00C93EC9" w:rsidP="00E671D9">
      <w:pPr>
        <w:pStyle w:val="Heading1"/>
        <w:rPr>
          <w:lang w:val="es-MX"/>
        </w:rPr>
      </w:pPr>
      <w:r w:rsidRPr="001B4F7A">
        <w:rPr>
          <w:lang w:val="es-MX"/>
        </w:rPr>
        <w:t>La Secretaría tomó nota de que una de las dos líneas de fabricación se convertirá por el proyecto, que ambas líneas son capaces de producir compresores que funcionan con HFC</w:t>
      </w:r>
      <w:r w:rsidRPr="001B4F7A">
        <w:rPr>
          <w:lang w:val="es-MX"/>
        </w:rPr>
        <w:noBreakHyphen/>
        <w:t>134a, y que ambas líneas funcionan por debajo de la capacidad máxima y podrían aumentar en cualquier momento la producción según las necesidades del mercado; y por tanto la Secretaría expresó su preocupación por la sostenibilidad a largo plazo de la conversión; por ejemplo, la empresa podría estar produciendo el mismo o incluso un mayor número de compresores que funcionan con HFC-134a, varios años después de la conversión de la línea a la tecnología de R</w:t>
      </w:r>
      <w:r w:rsidRPr="001B4F7A">
        <w:rPr>
          <w:lang w:val="es-MX"/>
        </w:rPr>
        <w:noBreakHyphen/>
        <w:t xml:space="preserve">600a. Para resolver esta preocupación, la ONUDI, en nombre del Gobierno de Egipto, acordó la siguiente ruta para asegurar que la financiación proporcionada por el Fondo Multilateral tenga como consecuencia la eliminación de la fabricación de compresores que funcionan con </w:t>
      </w:r>
      <w:r w:rsidRPr="001B4F7A">
        <w:rPr>
          <w:lang w:val="es-MX"/>
        </w:rPr>
        <w:noBreakHyphen/>
        <w:t>HFC</w:t>
      </w:r>
      <w:r w:rsidRPr="001B4F7A">
        <w:rPr>
          <w:lang w:val="es-MX"/>
        </w:rPr>
        <w:noBreakHyphen/>
        <w:t>134a y la eliminación asociada indirecta de 150 t de HFC</w:t>
      </w:r>
      <w:r w:rsidRPr="001B4F7A">
        <w:rPr>
          <w:lang w:val="es-MX"/>
        </w:rPr>
        <w:noBreakHyphen/>
        <w:t xml:space="preserve">134a: </w:t>
      </w:r>
    </w:p>
    <w:p w14:paraId="649179F5" w14:textId="7C0FCE87" w:rsidR="0000575D" w:rsidRPr="001B4F7A" w:rsidRDefault="00BC0F09" w:rsidP="00E671D9">
      <w:pPr>
        <w:pStyle w:val="Heading2"/>
        <w:rPr>
          <w:lang w:val="es-MX"/>
        </w:rPr>
      </w:pPr>
      <w:r w:rsidRPr="001B4F7A">
        <w:rPr>
          <w:lang w:val="es-MX"/>
        </w:rPr>
        <w:t>La conversión de la línea de fabricación asistida de MCMC se llevará a cabo en un plazo de dos años después de la aprobación del proyecto, y se presentará información sobre los costos adicionales, conforme a las decisiones 78/3 g) y 79/45;</w:t>
      </w:r>
    </w:p>
    <w:p w14:paraId="3C009401" w14:textId="5B6E02D9" w:rsidR="008511E4" w:rsidRPr="001B4F7A" w:rsidRDefault="008511E4" w:rsidP="00E671D9">
      <w:pPr>
        <w:pStyle w:val="Heading2"/>
        <w:rPr>
          <w:lang w:val="es-MX"/>
        </w:rPr>
      </w:pPr>
      <w:r w:rsidRPr="001B4F7A">
        <w:rPr>
          <w:lang w:val="es-MX"/>
        </w:rPr>
        <w:lastRenderedPageBreak/>
        <w:t>Compromiso de detener la fabricación y las ventas de compresores que funcionan con HFC</w:t>
      </w:r>
      <w:r w:rsidRPr="001B4F7A">
        <w:rPr>
          <w:lang w:val="es-MX"/>
        </w:rPr>
        <w:noBreakHyphen/>
        <w:t>134a para la fabricación de equipos de refrigeración nuevos domésticos y comerciales autónomos y de inutilizar la capacidad de fabricar compresores que funcionan con HFC</w:t>
      </w:r>
      <w:r w:rsidRPr="001B4F7A">
        <w:rPr>
          <w:lang w:val="es-MX"/>
        </w:rPr>
        <w:noBreakHyphen/>
        <w:t>134a en la línea convertida, con fecha límite de 1 de enero de 2025;</w:t>
      </w:r>
    </w:p>
    <w:p w14:paraId="7D3AC8B2" w14:textId="5DEC22B8" w:rsidR="008511E4" w:rsidRPr="001B4F7A" w:rsidRDefault="008511E4" w:rsidP="00E671D9">
      <w:pPr>
        <w:pStyle w:val="Heading2"/>
        <w:rPr>
          <w:lang w:val="es-MX"/>
        </w:rPr>
      </w:pPr>
      <w:r w:rsidRPr="001B4F7A">
        <w:rPr>
          <w:lang w:val="es-MX"/>
        </w:rPr>
        <w:t>Compromiso de limitar la fabricación anual de compresores que funcionan con HFC</w:t>
      </w:r>
      <w:r w:rsidRPr="001B4F7A">
        <w:rPr>
          <w:lang w:val="es-MX"/>
        </w:rPr>
        <w:noBreakHyphen/>
        <w:t>134a a un máximo de 150.000 unidades al año entre 2025 y 2027, y un máximo de 100.000 unidades al año en 2028 y 2029, exclusivamente para dar servicio al equipo existente que funciona con HFC</w:t>
      </w:r>
      <w:r w:rsidRPr="001B4F7A">
        <w:rPr>
          <w:lang w:val="es-MX"/>
        </w:rPr>
        <w:noBreakHyphen/>
        <w:t xml:space="preserve">134a; </w:t>
      </w:r>
    </w:p>
    <w:p w14:paraId="533248CD" w14:textId="6B08A3AC" w:rsidR="00217E3B" w:rsidRPr="001B4F7A" w:rsidRDefault="004B046B" w:rsidP="00E671D9">
      <w:pPr>
        <w:pStyle w:val="Heading2"/>
        <w:rPr>
          <w:lang w:val="es-MX"/>
        </w:rPr>
      </w:pPr>
      <w:r w:rsidRPr="001B4F7A">
        <w:rPr>
          <w:lang w:val="es-MX"/>
        </w:rPr>
        <w:t>Compromiso de detener la fabricación y las ventas de todos los compresores que funcionan con HFC-134a y de inutilizar la capacidad de la segunda línea para fabricar compresores que funcionan HFC-134a, con fecha límite de 1 de enero de 2030, sin costo adicional para el Fondo Multilateral; y</w:t>
      </w:r>
    </w:p>
    <w:p w14:paraId="4B1FCF4B" w14:textId="77777777" w:rsidR="00217E3B" w:rsidRPr="001B4F7A" w:rsidRDefault="00217E3B" w:rsidP="00E671D9">
      <w:pPr>
        <w:pStyle w:val="Heading2"/>
        <w:rPr>
          <w:lang w:val="es-MX"/>
        </w:rPr>
      </w:pPr>
      <w:r w:rsidRPr="001B4F7A">
        <w:rPr>
          <w:lang w:val="es-MX"/>
        </w:rPr>
        <w:t>Compromiso de aplicar medidas regulatorias destinadas a fomentar la introducción de compresores que funcionan con R-600a y otros refrigerantes con bajo potencial de calentamiento atmosférico global en el sector de fabricación de aparatos domésticos y comerciales autónomos a más tardar en el año 2025.</w:t>
      </w:r>
    </w:p>
    <w:p w14:paraId="6CFEB712" w14:textId="77777777" w:rsidR="003B7259" w:rsidRPr="001B4F7A" w:rsidRDefault="003B7259" w:rsidP="00E671D9">
      <w:pPr>
        <w:pStyle w:val="Title1"/>
        <w:jc w:val="both"/>
        <w:rPr>
          <w:b w:val="0"/>
          <w:i/>
          <w:caps w:val="0"/>
          <w:lang w:val="es-MX"/>
        </w:rPr>
      </w:pPr>
      <w:r w:rsidRPr="001B4F7A">
        <w:rPr>
          <w:b w:val="0"/>
          <w:i/>
          <w:caps w:val="0"/>
          <w:lang w:val="es-MX"/>
        </w:rPr>
        <w:t>Componente del PNUMA sobre la transformación del mercado, preparación y creación de capacidad</w:t>
      </w:r>
    </w:p>
    <w:p w14:paraId="02C217F1" w14:textId="77777777" w:rsidR="003B7259" w:rsidRPr="001B4F7A" w:rsidRDefault="003B7259" w:rsidP="00E671D9">
      <w:pPr>
        <w:pStyle w:val="StyleHeader4Para4Left0Firstline0"/>
        <w:numPr>
          <w:ilvl w:val="0"/>
          <w:numId w:val="0"/>
        </w:numPr>
        <w:spacing w:after="0"/>
        <w:rPr>
          <w:sz w:val="22"/>
          <w:lang w:val="es-MX"/>
        </w:rPr>
      </w:pPr>
    </w:p>
    <w:p w14:paraId="6B1D2954" w14:textId="3B151DB9" w:rsidR="003B7259" w:rsidRPr="001B4F7A" w:rsidRDefault="003B7259" w:rsidP="00E671D9">
      <w:pPr>
        <w:pStyle w:val="Heading1"/>
        <w:rPr>
          <w:lang w:val="es-MX"/>
        </w:rPr>
      </w:pPr>
      <w:r w:rsidRPr="001B4F7A">
        <w:rPr>
          <w:lang w:val="es-MX"/>
        </w:rPr>
        <w:t>La Secretaría explicó que la decisión 78/3 g) hacía referencia solamente a proyectos de HFC del sector de fabricación, sin perjuicio de otros tipos diferentes de tecnología, y por lo tanto que el componente relativo a la transformación del mercado, la preparación y la creación de capacidad estimadas en 53.000 $EUA no podían considerarse en el presente proyecto. La ONUDI y el PNUMA acordaron retirar este componente del proyecto y examinar oportunidades para poner en marcha las actividades de creación de capacidad con la ayuda de otras fuentes de financiación, incluyendo el plan de reducción de HFC</w:t>
      </w:r>
      <w:r w:rsidRPr="001B4F7A">
        <w:rPr>
          <w:lang w:val="es-MX"/>
        </w:rPr>
        <w:noBreakHyphen/>
        <w:t xml:space="preserve">134a para Egipto. </w:t>
      </w:r>
    </w:p>
    <w:p w14:paraId="58C75EDF" w14:textId="77777777" w:rsidR="003B7259" w:rsidRPr="001B4F7A" w:rsidRDefault="003B7259" w:rsidP="00E671D9">
      <w:pPr>
        <w:pStyle w:val="Title1"/>
        <w:jc w:val="both"/>
        <w:rPr>
          <w:b w:val="0"/>
          <w:i/>
          <w:caps w:val="0"/>
          <w:lang w:val="es-MX"/>
        </w:rPr>
      </w:pPr>
      <w:r w:rsidRPr="001B4F7A">
        <w:rPr>
          <w:b w:val="0"/>
          <w:i/>
          <w:caps w:val="0"/>
          <w:lang w:val="es-MX"/>
        </w:rPr>
        <w:t>Eficiencia energética de los compresores que funcionan con R-600a</w:t>
      </w:r>
    </w:p>
    <w:p w14:paraId="738F7C62" w14:textId="77777777" w:rsidR="003B7259" w:rsidRPr="001B4F7A" w:rsidRDefault="003B7259" w:rsidP="00E671D9">
      <w:pPr>
        <w:pStyle w:val="StyleHeader4Para4Left0Firstline0"/>
        <w:numPr>
          <w:ilvl w:val="0"/>
          <w:numId w:val="0"/>
        </w:numPr>
        <w:spacing w:after="0"/>
        <w:rPr>
          <w:sz w:val="22"/>
          <w:lang w:val="es-MX"/>
        </w:rPr>
      </w:pPr>
    </w:p>
    <w:p w14:paraId="62A3A09A" w14:textId="0FC7E174" w:rsidR="003B7259" w:rsidRPr="001B4F7A" w:rsidRDefault="003B7259" w:rsidP="00F5513D">
      <w:pPr>
        <w:pStyle w:val="Heading1"/>
        <w:rPr>
          <w:lang w:val="es-MX"/>
        </w:rPr>
      </w:pPr>
      <w:r w:rsidRPr="001B4F7A">
        <w:rPr>
          <w:lang w:val="es-MX"/>
        </w:rPr>
        <w:t>La ONUDI explicó que la conversión a R-600a daría lugar automáticamente a la fabricación de compresores con mayor eficiencia energética, y que la optimización de los nuevos diseños de compresores que funcionan con R-600a crearía una oportunidad para aumentar aún más la eficiencia energética, entre un 45 y un 60 por ciento. Esto requeriría esfuerzos adicionales de investigación y desarrollo e inversiones por parte de MCMC; y según la propuesta actual, se espera que el coeficiente de rendimiento aumente del nivel actual de alrededor de 1,00-1,20 hasta alrededor de 1,60-1,75.</w:t>
      </w:r>
    </w:p>
    <w:p w14:paraId="3A552E74" w14:textId="77777777" w:rsidR="003B7259" w:rsidRPr="001B4F7A" w:rsidRDefault="003B7259" w:rsidP="00E671D9">
      <w:pPr>
        <w:pStyle w:val="Title1"/>
        <w:jc w:val="both"/>
        <w:rPr>
          <w:b w:val="0"/>
          <w:i/>
          <w:caps w:val="0"/>
          <w:lang w:val="es-MX"/>
        </w:rPr>
      </w:pPr>
      <w:r w:rsidRPr="001B4F7A">
        <w:rPr>
          <w:b w:val="0"/>
          <w:i/>
          <w:caps w:val="0"/>
          <w:lang w:val="es-MX"/>
        </w:rPr>
        <w:t>Costos propuestos y nivel de financiación acordado</w:t>
      </w:r>
    </w:p>
    <w:p w14:paraId="70E3F14D" w14:textId="77777777" w:rsidR="003B7259" w:rsidRPr="001B4F7A" w:rsidRDefault="003B7259" w:rsidP="00E671D9">
      <w:pPr>
        <w:pStyle w:val="Title1"/>
        <w:jc w:val="both"/>
        <w:rPr>
          <w:b w:val="0"/>
          <w:caps w:val="0"/>
          <w:u w:val="single"/>
          <w:lang w:val="es-MX"/>
        </w:rPr>
      </w:pPr>
    </w:p>
    <w:p w14:paraId="73AD1D04" w14:textId="7D80BEAF" w:rsidR="003B7259" w:rsidRPr="001B4F7A" w:rsidRDefault="005E05E3" w:rsidP="00E671D9">
      <w:pPr>
        <w:pStyle w:val="Heading1"/>
        <w:rPr>
          <w:lang w:val="es-MX"/>
        </w:rPr>
      </w:pPr>
      <w:r w:rsidRPr="001B4F7A">
        <w:rPr>
          <w:lang w:val="es-MX"/>
        </w:rPr>
        <w:t xml:space="preserve">Los costos adicionales propuestos para la conversión de MCMC se alinearon, en gran medida, con los de los proyectos anteriores de fabricación de compresores aprobados por el Comité Ejecutivo. </w:t>
      </w:r>
    </w:p>
    <w:p w14:paraId="533F2102" w14:textId="4DF2A165" w:rsidR="00231EA1" w:rsidRPr="001B4F7A" w:rsidRDefault="00867F0D" w:rsidP="009B1678">
      <w:pPr>
        <w:pStyle w:val="Heading1"/>
        <w:rPr>
          <w:lang w:val="es-MX"/>
        </w:rPr>
      </w:pPr>
      <w:r w:rsidRPr="001B4F7A">
        <w:rPr>
          <w:lang w:val="es-MX"/>
        </w:rPr>
        <w:t>La Secretaría comparó los costos del proyecto actual con los de otro proyecto de conversión de compresores cuya ejecución se terminó en el año 2020 y solicitó aclaraciones sobre los costos asociados a los cambios de la planta de fabricación (p. ej., motor de compresor, pistón, cigüeñal y otros componentes), del rediseño de productos, de las instalaciones de ensayo y de la formación. La ONUDI aclaró que MCMC proporcionaría cofinanciación para la modificación del motor eléctrico y para los equipos de laboratorio. Tras las deliberaciones, los costos adicionales convenidos para la conversión del proceso de fabricación de compresores ascienden a 1.305.536 $EUA, para la eliminación de 150 t (214.500 t de eq. de CO</w:t>
      </w:r>
      <w:r w:rsidRPr="001B4F7A">
        <w:rPr>
          <w:vertAlign w:val="subscript"/>
          <w:lang w:val="es-MX"/>
        </w:rPr>
        <w:t>2</w:t>
      </w:r>
      <w:r w:rsidRPr="001B4F7A">
        <w:rPr>
          <w:lang w:val="es-MX"/>
        </w:rPr>
        <w:t>) de HFC</w:t>
      </w:r>
      <w:r w:rsidRPr="001B4F7A">
        <w:rPr>
          <w:lang w:val="es-MX"/>
        </w:rPr>
        <w:noBreakHyphen/>
        <w:t>134a, como se indica en el Cuadro 4. La cofinanciación por la empresa contribuiría a la mayor parte de los costos relacionados con las adaptaciones del motor eléctrico y los laboratorios.</w:t>
      </w:r>
    </w:p>
    <w:p w14:paraId="37E21BA0" w14:textId="2122187A" w:rsidR="003B7259" w:rsidRPr="001B4F7A" w:rsidRDefault="003B7259" w:rsidP="00B20F09">
      <w:pPr>
        <w:pStyle w:val="StyleHeader4Para4Left0Firstline0"/>
        <w:keepNext/>
        <w:keepLines/>
        <w:numPr>
          <w:ilvl w:val="0"/>
          <w:numId w:val="0"/>
        </w:numPr>
        <w:spacing w:after="0"/>
        <w:rPr>
          <w:b/>
          <w:sz w:val="21"/>
          <w:szCs w:val="21"/>
          <w:lang w:val="es-MX"/>
        </w:rPr>
      </w:pPr>
      <w:r w:rsidRPr="001B4F7A">
        <w:rPr>
          <w:b/>
          <w:sz w:val="21"/>
          <w:szCs w:val="21"/>
          <w:lang w:val="es-MX"/>
        </w:rPr>
        <w:lastRenderedPageBreak/>
        <w:t>Cuadro 4. Costos adicionales acordados para la conversión de componentes de fabricación de compresores ($EUA)</w:t>
      </w:r>
    </w:p>
    <w:tbl>
      <w:tblPr>
        <w:tblW w:w="9422" w:type="dxa"/>
        <w:tblLook w:val="04A0" w:firstRow="1" w:lastRow="0" w:firstColumn="1" w:lastColumn="0" w:noHBand="0" w:noVBand="1"/>
      </w:tblPr>
      <w:tblGrid>
        <w:gridCol w:w="6745"/>
        <w:gridCol w:w="1440"/>
        <w:gridCol w:w="1237"/>
      </w:tblGrid>
      <w:tr w:rsidR="00231EA1" w:rsidRPr="001B4F7A" w14:paraId="504C61D5" w14:textId="77777777" w:rsidTr="009D35CE">
        <w:tc>
          <w:tcPr>
            <w:tcW w:w="6745" w:type="dxa"/>
            <w:tcBorders>
              <w:top w:val="single" w:sz="4" w:space="0" w:color="auto"/>
              <w:left w:val="single" w:sz="4" w:space="0" w:color="auto"/>
              <w:bottom w:val="single" w:sz="4" w:space="0" w:color="auto"/>
              <w:right w:val="single" w:sz="4" w:space="0" w:color="auto"/>
            </w:tcBorders>
            <w:shd w:val="clear" w:color="auto" w:fill="auto"/>
            <w:noWrap/>
          </w:tcPr>
          <w:p w14:paraId="784A910E" w14:textId="77777777" w:rsidR="00231EA1" w:rsidRPr="001B4F7A" w:rsidRDefault="009D35CE" w:rsidP="009D35CE">
            <w:pPr>
              <w:jc w:val="left"/>
              <w:rPr>
                <w:b/>
                <w:color w:val="000000"/>
                <w:sz w:val="20"/>
                <w:szCs w:val="20"/>
                <w:lang w:val="es-MX"/>
              </w:rPr>
            </w:pPr>
            <w:r w:rsidRPr="001B4F7A">
              <w:rPr>
                <w:b/>
                <w:color w:val="000000"/>
                <w:sz w:val="20"/>
                <w:szCs w:val="20"/>
                <w:lang w:val="es-MX"/>
              </w:rPr>
              <w:t>Elemento</w:t>
            </w:r>
          </w:p>
        </w:tc>
        <w:tc>
          <w:tcPr>
            <w:tcW w:w="1440" w:type="dxa"/>
            <w:tcBorders>
              <w:top w:val="single" w:sz="4" w:space="0" w:color="auto"/>
              <w:left w:val="nil"/>
              <w:bottom w:val="single" w:sz="4" w:space="0" w:color="auto"/>
              <w:right w:val="single" w:sz="4" w:space="0" w:color="auto"/>
            </w:tcBorders>
            <w:shd w:val="clear" w:color="auto" w:fill="auto"/>
            <w:noWrap/>
          </w:tcPr>
          <w:p w14:paraId="5FABAE4F" w14:textId="77777777" w:rsidR="00231EA1" w:rsidRPr="001B4F7A" w:rsidRDefault="009D35CE" w:rsidP="009D35CE">
            <w:pPr>
              <w:jc w:val="center"/>
              <w:rPr>
                <w:b/>
                <w:color w:val="000000"/>
                <w:sz w:val="20"/>
                <w:szCs w:val="20"/>
                <w:lang w:val="es-MX"/>
              </w:rPr>
            </w:pPr>
            <w:r w:rsidRPr="001B4F7A">
              <w:rPr>
                <w:b/>
                <w:color w:val="000000"/>
                <w:sz w:val="20"/>
                <w:szCs w:val="20"/>
                <w:lang w:val="es-MX"/>
              </w:rPr>
              <w:t>Según lo presentado</w:t>
            </w:r>
          </w:p>
        </w:tc>
        <w:tc>
          <w:tcPr>
            <w:tcW w:w="1237" w:type="dxa"/>
            <w:tcBorders>
              <w:top w:val="single" w:sz="4" w:space="0" w:color="auto"/>
              <w:left w:val="nil"/>
              <w:bottom w:val="single" w:sz="4" w:space="0" w:color="auto"/>
              <w:right w:val="single" w:sz="4" w:space="0" w:color="auto"/>
            </w:tcBorders>
            <w:shd w:val="clear" w:color="auto" w:fill="auto"/>
            <w:noWrap/>
          </w:tcPr>
          <w:p w14:paraId="584B0003" w14:textId="77777777" w:rsidR="00231EA1" w:rsidRPr="001B4F7A" w:rsidRDefault="009D35CE" w:rsidP="009D35CE">
            <w:pPr>
              <w:jc w:val="center"/>
              <w:rPr>
                <w:b/>
                <w:color w:val="000000"/>
                <w:sz w:val="20"/>
                <w:szCs w:val="20"/>
                <w:lang w:val="es-MX"/>
              </w:rPr>
            </w:pPr>
            <w:r w:rsidRPr="001B4F7A">
              <w:rPr>
                <w:b/>
                <w:color w:val="000000"/>
                <w:sz w:val="20"/>
                <w:szCs w:val="20"/>
                <w:lang w:val="es-MX"/>
              </w:rPr>
              <w:t>Según lo acordado</w:t>
            </w:r>
          </w:p>
        </w:tc>
      </w:tr>
      <w:tr w:rsidR="009D35CE" w:rsidRPr="001B4F7A" w14:paraId="7F9D9706" w14:textId="77777777" w:rsidTr="009D35CE">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2140E" w14:textId="1B9BE058" w:rsidR="009D35CE" w:rsidRPr="001B4F7A" w:rsidRDefault="009D35CE" w:rsidP="007915AD">
            <w:pPr>
              <w:jc w:val="left"/>
              <w:rPr>
                <w:color w:val="000000"/>
                <w:sz w:val="20"/>
                <w:szCs w:val="20"/>
                <w:lang w:val="es-MX"/>
              </w:rPr>
            </w:pPr>
            <w:r w:rsidRPr="001B4F7A">
              <w:rPr>
                <w:color w:val="000000"/>
                <w:sz w:val="20"/>
                <w:szCs w:val="20"/>
                <w:lang w:val="es-MX"/>
              </w:rPr>
              <w:t>Desarrollo de piezas mecánicas para una nueva bomba y actualización del sistema de suspensión del soporte inferior</w:t>
            </w:r>
          </w:p>
        </w:tc>
        <w:tc>
          <w:tcPr>
            <w:tcW w:w="1440" w:type="dxa"/>
            <w:tcBorders>
              <w:top w:val="single" w:sz="4" w:space="0" w:color="auto"/>
              <w:left w:val="nil"/>
              <w:bottom w:val="single" w:sz="4" w:space="0" w:color="auto"/>
              <w:right w:val="single" w:sz="4" w:space="0" w:color="auto"/>
            </w:tcBorders>
            <w:shd w:val="clear" w:color="auto" w:fill="auto"/>
            <w:noWrap/>
          </w:tcPr>
          <w:p w14:paraId="70D8113C" w14:textId="77777777" w:rsidR="009D35CE" w:rsidRPr="001B4F7A" w:rsidRDefault="009D35CE" w:rsidP="009D35CE">
            <w:pPr>
              <w:jc w:val="right"/>
              <w:rPr>
                <w:color w:val="000000"/>
                <w:sz w:val="20"/>
                <w:szCs w:val="20"/>
                <w:lang w:val="es-MX"/>
              </w:rPr>
            </w:pPr>
            <w:r w:rsidRPr="001B4F7A">
              <w:rPr>
                <w:color w:val="000000"/>
                <w:sz w:val="20"/>
                <w:szCs w:val="20"/>
                <w:lang w:val="es-MX"/>
              </w:rPr>
              <w:t>1.020.000</w:t>
            </w:r>
          </w:p>
        </w:tc>
        <w:tc>
          <w:tcPr>
            <w:tcW w:w="1237" w:type="dxa"/>
            <w:tcBorders>
              <w:top w:val="single" w:sz="4" w:space="0" w:color="auto"/>
              <w:left w:val="nil"/>
              <w:bottom w:val="single" w:sz="4" w:space="0" w:color="auto"/>
              <w:right w:val="single" w:sz="4" w:space="0" w:color="auto"/>
            </w:tcBorders>
            <w:shd w:val="clear" w:color="auto" w:fill="auto"/>
            <w:noWrap/>
          </w:tcPr>
          <w:p w14:paraId="2C1A14D2" w14:textId="77777777" w:rsidR="009D35CE" w:rsidRPr="001B4F7A" w:rsidRDefault="009D35CE" w:rsidP="009D35CE">
            <w:pPr>
              <w:jc w:val="right"/>
              <w:rPr>
                <w:color w:val="000000"/>
                <w:sz w:val="20"/>
                <w:szCs w:val="20"/>
                <w:lang w:val="es-MX"/>
              </w:rPr>
            </w:pPr>
            <w:r w:rsidRPr="001B4F7A">
              <w:rPr>
                <w:color w:val="000000"/>
                <w:sz w:val="20"/>
                <w:szCs w:val="20"/>
                <w:lang w:val="es-MX"/>
              </w:rPr>
              <w:t>1.020.000</w:t>
            </w:r>
          </w:p>
        </w:tc>
      </w:tr>
      <w:tr w:rsidR="009D35CE" w:rsidRPr="001B4F7A" w14:paraId="501A12D9"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5BB7C01B" w14:textId="0FEF0BDD" w:rsidR="009D35CE" w:rsidRPr="001B4F7A" w:rsidRDefault="007915AD" w:rsidP="007915AD">
            <w:pPr>
              <w:jc w:val="left"/>
              <w:rPr>
                <w:color w:val="000000"/>
                <w:sz w:val="20"/>
                <w:szCs w:val="20"/>
                <w:lang w:val="es-MX"/>
              </w:rPr>
            </w:pPr>
            <w:r w:rsidRPr="001B4F7A">
              <w:rPr>
                <w:color w:val="000000"/>
                <w:sz w:val="20"/>
                <w:szCs w:val="20"/>
                <w:lang w:val="es-MX"/>
              </w:rPr>
              <w:t>Modificación de una línea de producción de motores eléctricos</w:t>
            </w:r>
          </w:p>
        </w:tc>
        <w:tc>
          <w:tcPr>
            <w:tcW w:w="1440" w:type="dxa"/>
            <w:tcBorders>
              <w:top w:val="nil"/>
              <w:left w:val="nil"/>
              <w:bottom w:val="single" w:sz="4" w:space="0" w:color="auto"/>
              <w:right w:val="single" w:sz="4" w:space="0" w:color="auto"/>
            </w:tcBorders>
            <w:shd w:val="clear" w:color="auto" w:fill="auto"/>
            <w:noWrap/>
            <w:hideMark/>
          </w:tcPr>
          <w:p w14:paraId="3351C09F" w14:textId="77777777" w:rsidR="009D35CE" w:rsidRPr="001B4F7A" w:rsidRDefault="009D35CE" w:rsidP="009D35CE">
            <w:pPr>
              <w:jc w:val="right"/>
              <w:rPr>
                <w:color w:val="000000"/>
                <w:sz w:val="20"/>
                <w:szCs w:val="20"/>
                <w:lang w:val="es-MX"/>
              </w:rPr>
            </w:pPr>
            <w:r w:rsidRPr="001B4F7A">
              <w:rPr>
                <w:color w:val="000000"/>
                <w:sz w:val="20"/>
                <w:szCs w:val="20"/>
                <w:lang w:val="es-MX"/>
              </w:rPr>
              <w:t>1.404.000</w:t>
            </w:r>
          </w:p>
        </w:tc>
        <w:tc>
          <w:tcPr>
            <w:tcW w:w="1237" w:type="dxa"/>
            <w:tcBorders>
              <w:top w:val="nil"/>
              <w:left w:val="nil"/>
              <w:bottom w:val="single" w:sz="4" w:space="0" w:color="auto"/>
              <w:right w:val="single" w:sz="4" w:space="0" w:color="auto"/>
            </w:tcBorders>
            <w:shd w:val="clear" w:color="auto" w:fill="auto"/>
            <w:noWrap/>
            <w:hideMark/>
          </w:tcPr>
          <w:p w14:paraId="6257746B" w14:textId="77777777" w:rsidR="009D35CE" w:rsidRPr="001B4F7A" w:rsidRDefault="009D35CE" w:rsidP="009D35CE">
            <w:pPr>
              <w:jc w:val="right"/>
              <w:rPr>
                <w:color w:val="000000"/>
                <w:sz w:val="20"/>
                <w:szCs w:val="20"/>
                <w:lang w:val="es-MX"/>
              </w:rPr>
            </w:pPr>
            <w:r w:rsidRPr="001B4F7A">
              <w:rPr>
                <w:color w:val="000000"/>
                <w:sz w:val="20"/>
                <w:szCs w:val="20"/>
                <w:lang w:val="es-MX"/>
              </w:rPr>
              <w:t>1.404.000</w:t>
            </w:r>
          </w:p>
        </w:tc>
      </w:tr>
      <w:tr w:rsidR="009D35CE" w:rsidRPr="001B4F7A" w14:paraId="71CF4D0F"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1351F0D7" w14:textId="43CB318E" w:rsidR="009D35CE" w:rsidRPr="001B4F7A" w:rsidRDefault="007915AD" w:rsidP="009D35CE">
            <w:pPr>
              <w:jc w:val="left"/>
              <w:rPr>
                <w:color w:val="000000"/>
                <w:sz w:val="20"/>
                <w:szCs w:val="20"/>
                <w:lang w:val="es-MX"/>
              </w:rPr>
            </w:pPr>
            <w:r w:rsidRPr="001B4F7A">
              <w:rPr>
                <w:color w:val="000000"/>
                <w:sz w:val="20"/>
                <w:szCs w:val="20"/>
                <w:lang w:val="es-MX"/>
              </w:rPr>
              <w:t>Adaptaciones de laboratorios de la empresa</w:t>
            </w:r>
          </w:p>
        </w:tc>
        <w:tc>
          <w:tcPr>
            <w:tcW w:w="1440" w:type="dxa"/>
            <w:tcBorders>
              <w:top w:val="nil"/>
              <w:left w:val="nil"/>
              <w:bottom w:val="single" w:sz="4" w:space="0" w:color="auto"/>
              <w:right w:val="single" w:sz="4" w:space="0" w:color="auto"/>
            </w:tcBorders>
            <w:shd w:val="clear" w:color="auto" w:fill="auto"/>
            <w:noWrap/>
            <w:hideMark/>
          </w:tcPr>
          <w:p w14:paraId="4991320F" w14:textId="77777777" w:rsidR="009D35CE" w:rsidRPr="001B4F7A" w:rsidRDefault="009D35CE" w:rsidP="009D35CE">
            <w:pPr>
              <w:jc w:val="right"/>
              <w:rPr>
                <w:color w:val="000000"/>
                <w:sz w:val="20"/>
                <w:szCs w:val="20"/>
                <w:lang w:val="es-MX"/>
              </w:rPr>
            </w:pPr>
            <w:r w:rsidRPr="001B4F7A">
              <w:rPr>
                <w:color w:val="000000"/>
                <w:sz w:val="20"/>
                <w:szCs w:val="20"/>
                <w:lang w:val="es-MX"/>
              </w:rPr>
              <w:t>336.000</w:t>
            </w:r>
          </w:p>
        </w:tc>
        <w:tc>
          <w:tcPr>
            <w:tcW w:w="1237" w:type="dxa"/>
            <w:tcBorders>
              <w:top w:val="nil"/>
              <w:left w:val="nil"/>
              <w:bottom w:val="single" w:sz="4" w:space="0" w:color="auto"/>
              <w:right w:val="single" w:sz="4" w:space="0" w:color="auto"/>
            </w:tcBorders>
            <w:shd w:val="clear" w:color="auto" w:fill="auto"/>
            <w:noWrap/>
            <w:hideMark/>
          </w:tcPr>
          <w:p w14:paraId="623A4E00" w14:textId="77777777" w:rsidR="009D35CE" w:rsidRPr="001B4F7A" w:rsidRDefault="009D35CE" w:rsidP="009D35CE">
            <w:pPr>
              <w:jc w:val="right"/>
              <w:rPr>
                <w:color w:val="000000"/>
                <w:sz w:val="20"/>
                <w:szCs w:val="20"/>
                <w:lang w:val="es-MX"/>
              </w:rPr>
            </w:pPr>
            <w:r w:rsidRPr="001B4F7A">
              <w:rPr>
                <w:color w:val="000000"/>
                <w:sz w:val="20"/>
                <w:szCs w:val="20"/>
                <w:lang w:val="es-MX"/>
              </w:rPr>
              <w:t>336.000</w:t>
            </w:r>
          </w:p>
        </w:tc>
      </w:tr>
      <w:tr w:rsidR="009D35CE" w:rsidRPr="001B4F7A" w14:paraId="0E21F823"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38CC2A57" w14:textId="77777777" w:rsidR="009D35CE" w:rsidRPr="001B4F7A" w:rsidRDefault="009D35CE" w:rsidP="009D35CE">
            <w:pPr>
              <w:jc w:val="left"/>
              <w:rPr>
                <w:color w:val="000000"/>
                <w:sz w:val="20"/>
                <w:szCs w:val="20"/>
                <w:lang w:val="es-MX"/>
              </w:rPr>
            </w:pPr>
            <w:r w:rsidRPr="001B4F7A">
              <w:rPr>
                <w:color w:val="000000"/>
                <w:sz w:val="20"/>
                <w:szCs w:val="20"/>
                <w:lang w:val="es-MX"/>
              </w:rPr>
              <w:t>Transferencia de conocimientos técnicos para el nuevo diseño</w:t>
            </w:r>
          </w:p>
        </w:tc>
        <w:tc>
          <w:tcPr>
            <w:tcW w:w="1440" w:type="dxa"/>
            <w:tcBorders>
              <w:top w:val="nil"/>
              <w:left w:val="nil"/>
              <w:bottom w:val="single" w:sz="4" w:space="0" w:color="auto"/>
              <w:right w:val="single" w:sz="4" w:space="0" w:color="auto"/>
            </w:tcBorders>
            <w:shd w:val="clear" w:color="auto" w:fill="auto"/>
            <w:noWrap/>
            <w:hideMark/>
          </w:tcPr>
          <w:p w14:paraId="0B81290B" w14:textId="77777777" w:rsidR="009D35CE" w:rsidRPr="001B4F7A" w:rsidRDefault="009D35CE" w:rsidP="009D35CE">
            <w:pPr>
              <w:jc w:val="right"/>
              <w:rPr>
                <w:color w:val="000000"/>
                <w:sz w:val="20"/>
                <w:szCs w:val="20"/>
                <w:lang w:val="es-MX"/>
              </w:rPr>
            </w:pPr>
            <w:r w:rsidRPr="001B4F7A">
              <w:rPr>
                <w:color w:val="000000"/>
                <w:sz w:val="20"/>
                <w:szCs w:val="20"/>
                <w:lang w:val="es-MX"/>
              </w:rPr>
              <w:t>540.000</w:t>
            </w:r>
          </w:p>
        </w:tc>
        <w:tc>
          <w:tcPr>
            <w:tcW w:w="1237" w:type="dxa"/>
            <w:tcBorders>
              <w:top w:val="nil"/>
              <w:left w:val="nil"/>
              <w:bottom w:val="single" w:sz="4" w:space="0" w:color="auto"/>
              <w:right w:val="single" w:sz="4" w:space="0" w:color="auto"/>
            </w:tcBorders>
            <w:shd w:val="clear" w:color="auto" w:fill="auto"/>
            <w:noWrap/>
            <w:hideMark/>
          </w:tcPr>
          <w:p w14:paraId="751051E0" w14:textId="77777777" w:rsidR="009D35CE" w:rsidRPr="001B4F7A" w:rsidRDefault="009D35CE" w:rsidP="009D35CE">
            <w:pPr>
              <w:jc w:val="right"/>
              <w:rPr>
                <w:color w:val="000000"/>
                <w:sz w:val="20"/>
                <w:szCs w:val="20"/>
                <w:lang w:val="es-MX"/>
              </w:rPr>
            </w:pPr>
            <w:r w:rsidRPr="001B4F7A">
              <w:rPr>
                <w:color w:val="000000"/>
                <w:sz w:val="20"/>
                <w:szCs w:val="20"/>
                <w:lang w:val="es-MX"/>
              </w:rPr>
              <w:t>260.000</w:t>
            </w:r>
          </w:p>
        </w:tc>
      </w:tr>
      <w:tr w:rsidR="009D35CE" w:rsidRPr="001B4F7A" w14:paraId="1D46A7FF"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483910A2" w14:textId="68F4836B" w:rsidR="009D35CE" w:rsidRPr="001B4F7A" w:rsidRDefault="009D35CE" w:rsidP="009D35CE">
            <w:pPr>
              <w:jc w:val="left"/>
              <w:rPr>
                <w:color w:val="000000"/>
                <w:sz w:val="20"/>
                <w:szCs w:val="20"/>
                <w:lang w:val="es-MX"/>
              </w:rPr>
            </w:pPr>
            <w:r w:rsidRPr="001B4F7A">
              <w:rPr>
                <w:color w:val="000000"/>
                <w:sz w:val="20"/>
                <w:szCs w:val="20"/>
                <w:lang w:val="es-MX"/>
              </w:rPr>
              <w:t>Total de costos adicionales de capital</w:t>
            </w:r>
          </w:p>
        </w:tc>
        <w:tc>
          <w:tcPr>
            <w:tcW w:w="1440" w:type="dxa"/>
            <w:tcBorders>
              <w:top w:val="nil"/>
              <w:left w:val="nil"/>
              <w:bottom w:val="single" w:sz="4" w:space="0" w:color="auto"/>
              <w:right w:val="single" w:sz="4" w:space="0" w:color="auto"/>
            </w:tcBorders>
            <w:shd w:val="clear" w:color="auto" w:fill="auto"/>
            <w:noWrap/>
            <w:hideMark/>
          </w:tcPr>
          <w:p w14:paraId="5040005A" w14:textId="77777777" w:rsidR="009D35CE" w:rsidRPr="001B4F7A" w:rsidRDefault="009D35CE" w:rsidP="009D35CE">
            <w:pPr>
              <w:jc w:val="right"/>
              <w:rPr>
                <w:color w:val="000000"/>
                <w:sz w:val="20"/>
                <w:szCs w:val="20"/>
                <w:lang w:val="es-MX"/>
              </w:rPr>
            </w:pPr>
            <w:r w:rsidRPr="001B4F7A">
              <w:rPr>
                <w:color w:val="000000"/>
                <w:sz w:val="20"/>
                <w:szCs w:val="20"/>
                <w:lang w:val="es-MX"/>
              </w:rPr>
              <w:t>3.300.000</w:t>
            </w:r>
          </w:p>
        </w:tc>
        <w:tc>
          <w:tcPr>
            <w:tcW w:w="1237" w:type="dxa"/>
            <w:tcBorders>
              <w:top w:val="nil"/>
              <w:left w:val="nil"/>
              <w:bottom w:val="single" w:sz="4" w:space="0" w:color="auto"/>
              <w:right w:val="single" w:sz="4" w:space="0" w:color="auto"/>
            </w:tcBorders>
            <w:shd w:val="clear" w:color="auto" w:fill="auto"/>
            <w:noWrap/>
            <w:hideMark/>
          </w:tcPr>
          <w:p w14:paraId="425A4CF2" w14:textId="77777777" w:rsidR="009D35CE" w:rsidRPr="001B4F7A" w:rsidRDefault="009D35CE" w:rsidP="009D35CE">
            <w:pPr>
              <w:jc w:val="right"/>
              <w:rPr>
                <w:color w:val="000000"/>
                <w:sz w:val="20"/>
                <w:szCs w:val="20"/>
                <w:lang w:val="es-MX"/>
              </w:rPr>
            </w:pPr>
            <w:r w:rsidRPr="001B4F7A">
              <w:rPr>
                <w:color w:val="000000"/>
                <w:sz w:val="20"/>
                <w:szCs w:val="20"/>
                <w:lang w:val="es-MX"/>
              </w:rPr>
              <w:t>3.020.000</w:t>
            </w:r>
          </w:p>
        </w:tc>
      </w:tr>
      <w:tr w:rsidR="009D35CE" w:rsidRPr="001B4F7A" w14:paraId="098739D1"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3AA7B170" w14:textId="77777777" w:rsidR="009D35CE" w:rsidRPr="001B4F7A" w:rsidRDefault="009D35CE" w:rsidP="009D35CE">
            <w:pPr>
              <w:jc w:val="left"/>
              <w:rPr>
                <w:color w:val="000000"/>
                <w:sz w:val="20"/>
                <w:szCs w:val="20"/>
                <w:lang w:val="es-MX"/>
              </w:rPr>
            </w:pPr>
            <w:r w:rsidRPr="001B4F7A">
              <w:rPr>
                <w:color w:val="000000"/>
                <w:sz w:val="20"/>
                <w:szCs w:val="20"/>
                <w:lang w:val="es-MX"/>
              </w:rPr>
              <w:t>Imprevistos (10%)</w:t>
            </w:r>
          </w:p>
        </w:tc>
        <w:tc>
          <w:tcPr>
            <w:tcW w:w="1440" w:type="dxa"/>
            <w:tcBorders>
              <w:top w:val="nil"/>
              <w:left w:val="nil"/>
              <w:bottom w:val="single" w:sz="4" w:space="0" w:color="auto"/>
              <w:right w:val="single" w:sz="4" w:space="0" w:color="auto"/>
            </w:tcBorders>
            <w:shd w:val="clear" w:color="auto" w:fill="auto"/>
            <w:noWrap/>
            <w:hideMark/>
          </w:tcPr>
          <w:p w14:paraId="4E4EDA52" w14:textId="77777777" w:rsidR="009D35CE" w:rsidRPr="001B4F7A" w:rsidRDefault="009D35CE" w:rsidP="009D35CE">
            <w:pPr>
              <w:jc w:val="right"/>
              <w:rPr>
                <w:color w:val="000000"/>
                <w:sz w:val="20"/>
                <w:szCs w:val="20"/>
                <w:lang w:val="es-MX"/>
              </w:rPr>
            </w:pPr>
            <w:r w:rsidRPr="001B4F7A">
              <w:rPr>
                <w:color w:val="000000"/>
                <w:sz w:val="20"/>
                <w:szCs w:val="20"/>
                <w:lang w:val="es-MX"/>
              </w:rPr>
              <w:t>330.000</w:t>
            </w:r>
          </w:p>
        </w:tc>
        <w:tc>
          <w:tcPr>
            <w:tcW w:w="1237" w:type="dxa"/>
            <w:tcBorders>
              <w:top w:val="nil"/>
              <w:left w:val="nil"/>
              <w:bottom w:val="single" w:sz="4" w:space="0" w:color="auto"/>
              <w:right w:val="single" w:sz="4" w:space="0" w:color="auto"/>
            </w:tcBorders>
            <w:shd w:val="clear" w:color="auto" w:fill="auto"/>
            <w:noWrap/>
            <w:hideMark/>
          </w:tcPr>
          <w:p w14:paraId="421A6450" w14:textId="77777777" w:rsidR="009D35CE" w:rsidRPr="001B4F7A" w:rsidRDefault="009D35CE" w:rsidP="009D35CE">
            <w:pPr>
              <w:jc w:val="right"/>
              <w:rPr>
                <w:color w:val="000000"/>
                <w:sz w:val="20"/>
                <w:szCs w:val="20"/>
                <w:lang w:val="es-MX"/>
              </w:rPr>
            </w:pPr>
            <w:r w:rsidRPr="001B4F7A">
              <w:rPr>
                <w:color w:val="000000"/>
                <w:sz w:val="20"/>
                <w:szCs w:val="20"/>
                <w:lang w:val="es-MX"/>
              </w:rPr>
              <w:t>302.000</w:t>
            </w:r>
          </w:p>
        </w:tc>
      </w:tr>
      <w:tr w:rsidR="009D35CE" w:rsidRPr="001B4F7A" w14:paraId="6958B0B7"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23C1B7DB" w14:textId="56511ECD" w:rsidR="009D35CE" w:rsidRPr="001B4F7A" w:rsidRDefault="009D35CE" w:rsidP="009D35CE">
            <w:pPr>
              <w:jc w:val="left"/>
              <w:rPr>
                <w:color w:val="000000"/>
                <w:sz w:val="20"/>
                <w:szCs w:val="20"/>
                <w:lang w:val="es-MX"/>
              </w:rPr>
            </w:pPr>
            <w:r w:rsidRPr="001B4F7A">
              <w:rPr>
                <w:color w:val="000000"/>
                <w:sz w:val="20"/>
                <w:szCs w:val="20"/>
                <w:lang w:val="es-MX"/>
              </w:rPr>
              <w:t>Total de costos adicionales de capital antes de deducir la propiedad no amparada por el Artículo 5</w:t>
            </w:r>
          </w:p>
        </w:tc>
        <w:tc>
          <w:tcPr>
            <w:tcW w:w="1440" w:type="dxa"/>
            <w:tcBorders>
              <w:top w:val="nil"/>
              <w:left w:val="nil"/>
              <w:bottom w:val="single" w:sz="4" w:space="0" w:color="auto"/>
              <w:right w:val="single" w:sz="4" w:space="0" w:color="auto"/>
            </w:tcBorders>
            <w:shd w:val="clear" w:color="auto" w:fill="auto"/>
            <w:noWrap/>
            <w:hideMark/>
          </w:tcPr>
          <w:p w14:paraId="59B7177C" w14:textId="77777777" w:rsidR="009D35CE" w:rsidRPr="001B4F7A" w:rsidRDefault="009D35CE" w:rsidP="009D35CE">
            <w:pPr>
              <w:jc w:val="right"/>
              <w:rPr>
                <w:color w:val="000000"/>
                <w:sz w:val="20"/>
                <w:szCs w:val="20"/>
                <w:lang w:val="es-MX"/>
              </w:rPr>
            </w:pPr>
            <w:r w:rsidRPr="001B4F7A">
              <w:rPr>
                <w:color w:val="000000"/>
                <w:sz w:val="20"/>
                <w:szCs w:val="20"/>
                <w:lang w:val="es-MX"/>
              </w:rPr>
              <w:t>3.630.000</w:t>
            </w:r>
          </w:p>
        </w:tc>
        <w:tc>
          <w:tcPr>
            <w:tcW w:w="1237" w:type="dxa"/>
            <w:tcBorders>
              <w:top w:val="nil"/>
              <w:left w:val="nil"/>
              <w:bottom w:val="single" w:sz="4" w:space="0" w:color="auto"/>
              <w:right w:val="single" w:sz="4" w:space="0" w:color="auto"/>
            </w:tcBorders>
            <w:shd w:val="clear" w:color="auto" w:fill="auto"/>
            <w:noWrap/>
            <w:hideMark/>
          </w:tcPr>
          <w:p w14:paraId="600CE276" w14:textId="77777777" w:rsidR="009D35CE" w:rsidRPr="001B4F7A" w:rsidRDefault="009D35CE" w:rsidP="009D35CE">
            <w:pPr>
              <w:jc w:val="right"/>
              <w:rPr>
                <w:color w:val="000000"/>
                <w:sz w:val="20"/>
                <w:szCs w:val="20"/>
                <w:lang w:val="es-MX"/>
              </w:rPr>
            </w:pPr>
            <w:r w:rsidRPr="001B4F7A">
              <w:rPr>
                <w:color w:val="000000"/>
                <w:sz w:val="20"/>
                <w:szCs w:val="20"/>
                <w:lang w:val="es-MX"/>
              </w:rPr>
              <w:t>3.322.000</w:t>
            </w:r>
          </w:p>
        </w:tc>
      </w:tr>
      <w:tr w:rsidR="009D35CE" w:rsidRPr="001B4F7A" w14:paraId="4BC5498B"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0A80533F" w14:textId="77777777" w:rsidR="009D35CE" w:rsidRPr="001B4F7A" w:rsidRDefault="009D35CE" w:rsidP="009D35CE">
            <w:pPr>
              <w:jc w:val="left"/>
              <w:rPr>
                <w:color w:val="000000"/>
                <w:sz w:val="20"/>
                <w:szCs w:val="20"/>
                <w:lang w:val="es-MX"/>
              </w:rPr>
            </w:pPr>
            <w:r w:rsidRPr="001B4F7A">
              <w:rPr>
                <w:color w:val="000000"/>
                <w:sz w:val="20"/>
                <w:szCs w:val="20"/>
                <w:lang w:val="es-MX"/>
              </w:rPr>
              <w:t>Deducción por propiedad no amparada por el Artículo 5</w:t>
            </w:r>
          </w:p>
        </w:tc>
        <w:tc>
          <w:tcPr>
            <w:tcW w:w="1440" w:type="dxa"/>
            <w:tcBorders>
              <w:top w:val="nil"/>
              <w:left w:val="nil"/>
              <w:bottom w:val="single" w:sz="4" w:space="0" w:color="auto"/>
              <w:right w:val="single" w:sz="4" w:space="0" w:color="auto"/>
            </w:tcBorders>
            <w:shd w:val="clear" w:color="auto" w:fill="auto"/>
            <w:noWrap/>
            <w:hideMark/>
          </w:tcPr>
          <w:p w14:paraId="7806478A" w14:textId="77777777" w:rsidR="009D35CE" w:rsidRPr="001B4F7A" w:rsidRDefault="009D35CE" w:rsidP="009D35CE">
            <w:pPr>
              <w:jc w:val="right"/>
              <w:rPr>
                <w:color w:val="000000"/>
                <w:sz w:val="20"/>
                <w:szCs w:val="20"/>
                <w:lang w:val="es-MX"/>
              </w:rPr>
            </w:pPr>
            <w:r w:rsidRPr="001B4F7A">
              <w:rPr>
                <w:color w:val="000000"/>
                <w:sz w:val="20"/>
                <w:szCs w:val="20"/>
                <w:lang w:val="es-MX"/>
              </w:rPr>
              <w:t>(385.143)</w:t>
            </w:r>
          </w:p>
        </w:tc>
        <w:tc>
          <w:tcPr>
            <w:tcW w:w="1237" w:type="dxa"/>
            <w:tcBorders>
              <w:top w:val="nil"/>
              <w:left w:val="nil"/>
              <w:bottom w:val="single" w:sz="4" w:space="0" w:color="auto"/>
              <w:right w:val="single" w:sz="4" w:space="0" w:color="auto"/>
            </w:tcBorders>
            <w:shd w:val="clear" w:color="auto" w:fill="auto"/>
            <w:noWrap/>
            <w:hideMark/>
          </w:tcPr>
          <w:p w14:paraId="23F3670E" w14:textId="77777777" w:rsidR="009D35CE" w:rsidRPr="001B4F7A" w:rsidRDefault="009D35CE" w:rsidP="009D35CE">
            <w:pPr>
              <w:jc w:val="right"/>
              <w:rPr>
                <w:color w:val="000000"/>
                <w:sz w:val="20"/>
                <w:szCs w:val="20"/>
                <w:lang w:val="es-MX"/>
              </w:rPr>
            </w:pPr>
            <w:r w:rsidRPr="001B4F7A">
              <w:rPr>
                <w:color w:val="000000"/>
                <w:sz w:val="20"/>
                <w:szCs w:val="20"/>
                <w:lang w:val="es-MX"/>
              </w:rPr>
              <w:t>(352.464)</w:t>
            </w:r>
          </w:p>
        </w:tc>
      </w:tr>
      <w:tr w:rsidR="009D35CE" w:rsidRPr="001B4F7A" w14:paraId="467B83D2"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6AA341F2" w14:textId="77777777" w:rsidR="009D35CE" w:rsidRPr="001B4F7A" w:rsidRDefault="009D35CE" w:rsidP="009D35CE">
            <w:pPr>
              <w:jc w:val="left"/>
              <w:rPr>
                <w:b/>
                <w:color w:val="000000"/>
                <w:sz w:val="20"/>
                <w:szCs w:val="20"/>
                <w:lang w:val="es-MX"/>
              </w:rPr>
            </w:pPr>
            <w:r w:rsidRPr="001B4F7A">
              <w:rPr>
                <w:b/>
                <w:color w:val="000000"/>
                <w:sz w:val="20"/>
                <w:szCs w:val="20"/>
                <w:lang w:val="es-MX"/>
              </w:rPr>
              <w:t>Costo total</w:t>
            </w:r>
          </w:p>
        </w:tc>
        <w:tc>
          <w:tcPr>
            <w:tcW w:w="1440" w:type="dxa"/>
            <w:tcBorders>
              <w:top w:val="nil"/>
              <w:left w:val="nil"/>
              <w:bottom w:val="single" w:sz="4" w:space="0" w:color="auto"/>
              <w:right w:val="single" w:sz="4" w:space="0" w:color="auto"/>
            </w:tcBorders>
            <w:shd w:val="clear" w:color="auto" w:fill="auto"/>
            <w:noWrap/>
            <w:hideMark/>
          </w:tcPr>
          <w:p w14:paraId="1425C2B3" w14:textId="77777777" w:rsidR="009D35CE" w:rsidRPr="001B4F7A" w:rsidRDefault="009D35CE" w:rsidP="009D35CE">
            <w:pPr>
              <w:jc w:val="right"/>
              <w:rPr>
                <w:b/>
                <w:color w:val="000000"/>
                <w:sz w:val="20"/>
                <w:szCs w:val="20"/>
                <w:lang w:val="es-MX"/>
              </w:rPr>
            </w:pPr>
            <w:r w:rsidRPr="001B4F7A">
              <w:rPr>
                <w:b/>
                <w:color w:val="000000"/>
                <w:sz w:val="20"/>
                <w:szCs w:val="20"/>
                <w:lang w:val="es-MX"/>
              </w:rPr>
              <w:t>3.244.857</w:t>
            </w:r>
          </w:p>
        </w:tc>
        <w:tc>
          <w:tcPr>
            <w:tcW w:w="1237" w:type="dxa"/>
            <w:tcBorders>
              <w:top w:val="nil"/>
              <w:left w:val="nil"/>
              <w:bottom w:val="single" w:sz="4" w:space="0" w:color="auto"/>
              <w:right w:val="single" w:sz="4" w:space="0" w:color="auto"/>
            </w:tcBorders>
            <w:shd w:val="clear" w:color="auto" w:fill="auto"/>
            <w:noWrap/>
            <w:hideMark/>
          </w:tcPr>
          <w:p w14:paraId="07AB0215" w14:textId="77777777" w:rsidR="009D35CE" w:rsidRPr="001B4F7A" w:rsidRDefault="009D35CE" w:rsidP="009D35CE">
            <w:pPr>
              <w:jc w:val="right"/>
              <w:rPr>
                <w:b/>
                <w:color w:val="000000"/>
                <w:sz w:val="20"/>
                <w:szCs w:val="20"/>
                <w:lang w:val="es-MX"/>
              </w:rPr>
            </w:pPr>
            <w:r w:rsidRPr="001B4F7A">
              <w:rPr>
                <w:b/>
                <w:color w:val="000000"/>
                <w:sz w:val="20"/>
                <w:szCs w:val="20"/>
                <w:lang w:val="es-MX"/>
              </w:rPr>
              <w:t>2.969.536</w:t>
            </w:r>
          </w:p>
        </w:tc>
      </w:tr>
      <w:tr w:rsidR="009D35CE" w:rsidRPr="001B4F7A" w14:paraId="141BA578" w14:textId="77777777" w:rsidTr="009D35CE">
        <w:tc>
          <w:tcPr>
            <w:tcW w:w="6745" w:type="dxa"/>
            <w:tcBorders>
              <w:top w:val="nil"/>
              <w:left w:val="single" w:sz="4" w:space="0" w:color="auto"/>
              <w:bottom w:val="single" w:sz="4" w:space="0" w:color="auto"/>
              <w:right w:val="single" w:sz="4" w:space="0" w:color="auto"/>
            </w:tcBorders>
            <w:shd w:val="clear" w:color="auto" w:fill="auto"/>
            <w:noWrap/>
            <w:vAlign w:val="bottom"/>
            <w:hideMark/>
          </w:tcPr>
          <w:p w14:paraId="0B7CDEDE" w14:textId="77777777" w:rsidR="009D35CE" w:rsidRPr="001B4F7A" w:rsidRDefault="009D35CE" w:rsidP="009D35CE">
            <w:pPr>
              <w:jc w:val="left"/>
              <w:rPr>
                <w:color w:val="000000"/>
                <w:sz w:val="20"/>
                <w:szCs w:val="20"/>
                <w:lang w:val="es-MX"/>
              </w:rPr>
            </w:pPr>
            <w:r w:rsidRPr="001B4F7A">
              <w:rPr>
                <w:color w:val="000000"/>
                <w:sz w:val="20"/>
                <w:szCs w:val="20"/>
                <w:lang w:val="es-MX"/>
              </w:rPr>
              <w:t>Cofinanciación</w:t>
            </w:r>
          </w:p>
        </w:tc>
        <w:tc>
          <w:tcPr>
            <w:tcW w:w="1440" w:type="dxa"/>
            <w:tcBorders>
              <w:top w:val="nil"/>
              <w:left w:val="nil"/>
              <w:bottom w:val="single" w:sz="4" w:space="0" w:color="auto"/>
              <w:right w:val="single" w:sz="4" w:space="0" w:color="auto"/>
            </w:tcBorders>
            <w:shd w:val="clear" w:color="auto" w:fill="auto"/>
            <w:noWrap/>
            <w:hideMark/>
          </w:tcPr>
          <w:p w14:paraId="507E9A61" w14:textId="77777777" w:rsidR="009D35CE" w:rsidRPr="001B4F7A" w:rsidRDefault="009D35CE" w:rsidP="009D35CE">
            <w:pPr>
              <w:jc w:val="right"/>
              <w:rPr>
                <w:color w:val="000000"/>
                <w:sz w:val="20"/>
                <w:szCs w:val="20"/>
                <w:lang w:val="es-MX"/>
              </w:rPr>
            </w:pPr>
            <w:r w:rsidRPr="001B4F7A">
              <w:rPr>
                <w:color w:val="000000"/>
                <w:sz w:val="20"/>
                <w:szCs w:val="20"/>
                <w:lang w:val="es-MX"/>
              </w:rPr>
              <w:t>(1.664.000)</w:t>
            </w:r>
          </w:p>
        </w:tc>
        <w:tc>
          <w:tcPr>
            <w:tcW w:w="1237" w:type="dxa"/>
            <w:tcBorders>
              <w:top w:val="nil"/>
              <w:left w:val="nil"/>
              <w:bottom w:val="single" w:sz="4" w:space="0" w:color="auto"/>
              <w:right w:val="single" w:sz="4" w:space="0" w:color="auto"/>
            </w:tcBorders>
            <w:shd w:val="clear" w:color="auto" w:fill="auto"/>
            <w:noWrap/>
            <w:hideMark/>
          </w:tcPr>
          <w:p w14:paraId="23F549C4" w14:textId="77777777" w:rsidR="009D35CE" w:rsidRPr="001B4F7A" w:rsidRDefault="009D35CE" w:rsidP="009D35CE">
            <w:pPr>
              <w:jc w:val="right"/>
              <w:rPr>
                <w:color w:val="000000"/>
                <w:sz w:val="20"/>
                <w:szCs w:val="20"/>
                <w:lang w:val="es-MX"/>
              </w:rPr>
            </w:pPr>
            <w:r w:rsidRPr="001B4F7A">
              <w:rPr>
                <w:color w:val="000000"/>
                <w:sz w:val="20"/>
                <w:szCs w:val="20"/>
                <w:lang w:val="es-MX"/>
              </w:rPr>
              <w:t>(1.664.000)</w:t>
            </w:r>
          </w:p>
        </w:tc>
      </w:tr>
      <w:tr w:rsidR="009D35CE" w:rsidRPr="001B4F7A" w14:paraId="053CF1A7" w14:textId="77777777" w:rsidTr="009D35CE">
        <w:tc>
          <w:tcPr>
            <w:tcW w:w="6745" w:type="dxa"/>
            <w:tcBorders>
              <w:top w:val="nil"/>
              <w:left w:val="single" w:sz="4" w:space="0" w:color="auto"/>
              <w:bottom w:val="nil"/>
              <w:right w:val="single" w:sz="4" w:space="0" w:color="auto"/>
            </w:tcBorders>
            <w:shd w:val="clear" w:color="auto" w:fill="auto"/>
            <w:noWrap/>
            <w:vAlign w:val="bottom"/>
            <w:hideMark/>
          </w:tcPr>
          <w:p w14:paraId="03A7A817" w14:textId="77777777" w:rsidR="009D35CE" w:rsidRPr="001B4F7A" w:rsidRDefault="009D35CE" w:rsidP="009D35CE">
            <w:pPr>
              <w:jc w:val="left"/>
              <w:rPr>
                <w:b/>
                <w:color w:val="000000"/>
                <w:sz w:val="20"/>
                <w:szCs w:val="20"/>
                <w:lang w:val="es-MX"/>
              </w:rPr>
            </w:pPr>
            <w:r w:rsidRPr="001B4F7A">
              <w:rPr>
                <w:b/>
                <w:color w:val="000000"/>
                <w:sz w:val="20"/>
                <w:szCs w:val="20"/>
                <w:lang w:val="es-MX"/>
              </w:rPr>
              <w:t>Total componente de inversión</w:t>
            </w:r>
          </w:p>
        </w:tc>
        <w:tc>
          <w:tcPr>
            <w:tcW w:w="1440" w:type="dxa"/>
            <w:tcBorders>
              <w:top w:val="nil"/>
              <w:left w:val="nil"/>
              <w:bottom w:val="nil"/>
              <w:right w:val="single" w:sz="4" w:space="0" w:color="auto"/>
            </w:tcBorders>
            <w:shd w:val="clear" w:color="auto" w:fill="auto"/>
            <w:noWrap/>
            <w:hideMark/>
          </w:tcPr>
          <w:p w14:paraId="51E8365F" w14:textId="77777777" w:rsidR="009D35CE" w:rsidRPr="001B4F7A" w:rsidRDefault="009D35CE" w:rsidP="009D35CE">
            <w:pPr>
              <w:jc w:val="right"/>
              <w:rPr>
                <w:b/>
                <w:color w:val="000000"/>
                <w:sz w:val="20"/>
                <w:szCs w:val="20"/>
                <w:lang w:val="es-MX"/>
              </w:rPr>
            </w:pPr>
            <w:r w:rsidRPr="001B4F7A">
              <w:rPr>
                <w:b/>
                <w:color w:val="000000"/>
                <w:sz w:val="20"/>
                <w:szCs w:val="20"/>
                <w:lang w:val="es-MX"/>
              </w:rPr>
              <w:t>1.580.857</w:t>
            </w:r>
          </w:p>
        </w:tc>
        <w:tc>
          <w:tcPr>
            <w:tcW w:w="1237" w:type="dxa"/>
            <w:tcBorders>
              <w:top w:val="nil"/>
              <w:left w:val="nil"/>
              <w:bottom w:val="nil"/>
              <w:right w:val="single" w:sz="4" w:space="0" w:color="auto"/>
            </w:tcBorders>
            <w:shd w:val="clear" w:color="auto" w:fill="auto"/>
            <w:noWrap/>
            <w:hideMark/>
          </w:tcPr>
          <w:p w14:paraId="547AC74F" w14:textId="77777777" w:rsidR="009D35CE" w:rsidRPr="001B4F7A" w:rsidRDefault="009D35CE" w:rsidP="009D35CE">
            <w:pPr>
              <w:jc w:val="right"/>
              <w:rPr>
                <w:b/>
                <w:color w:val="000000"/>
                <w:sz w:val="20"/>
                <w:szCs w:val="20"/>
                <w:lang w:val="es-MX"/>
              </w:rPr>
            </w:pPr>
            <w:r w:rsidRPr="001B4F7A">
              <w:rPr>
                <w:b/>
                <w:color w:val="000000"/>
                <w:sz w:val="20"/>
                <w:szCs w:val="20"/>
                <w:lang w:val="es-MX"/>
              </w:rPr>
              <w:t>1.305.536</w:t>
            </w:r>
          </w:p>
        </w:tc>
      </w:tr>
      <w:tr w:rsidR="009D35CE" w:rsidRPr="001B4F7A" w14:paraId="2BA323A8" w14:textId="77777777" w:rsidTr="009D35CE">
        <w:trPr>
          <w:trHeight w:val="116"/>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0E0F3FE1" w14:textId="77777777" w:rsidR="009D35CE" w:rsidRPr="001B4F7A" w:rsidRDefault="009D35CE" w:rsidP="009D35CE">
            <w:pPr>
              <w:jc w:val="left"/>
              <w:rPr>
                <w:bCs/>
                <w:color w:val="000000"/>
                <w:sz w:val="20"/>
                <w:szCs w:val="20"/>
                <w:lang w:val="es-MX"/>
              </w:rPr>
            </w:pPr>
            <w:r w:rsidRPr="001B4F7A">
              <w:rPr>
                <w:bCs/>
                <w:color w:val="000000"/>
                <w:sz w:val="20"/>
                <w:szCs w:val="20"/>
                <w:lang w:val="es-MX"/>
              </w:rPr>
              <w:t>Programa de sensibilización y evaluación de la preparación del mercado del PNUMA</w:t>
            </w:r>
          </w:p>
        </w:tc>
        <w:tc>
          <w:tcPr>
            <w:tcW w:w="1440" w:type="dxa"/>
            <w:tcBorders>
              <w:top w:val="single" w:sz="4" w:space="0" w:color="auto"/>
              <w:left w:val="single" w:sz="4" w:space="0" w:color="auto"/>
              <w:bottom w:val="single" w:sz="4" w:space="0" w:color="auto"/>
              <w:right w:val="single" w:sz="4" w:space="0" w:color="auto"/>
            </w:tcBorders>
            <w:tcMar>
              <w:left w:w="115" w:type="dxa"/>
              <w:right w:w="202" w:type="dxa"/>
            </w:tcMar>
          </w:tcPr>
          <w:p w14:paraId="7A1254A8" w14:textId="77777777" w:rsidR="009D35CE" w:rsidRPr="001B4F7A" w:rsidRDefault="009D35CE" w:rsidP="009D35CE">
            <w:pPr>
              <w:ind w:right="-112"/>
              <w:jc w:val="right"/>
              <w:rPr>
                <w:color w:val="000000"/>
                <w:sz w:val="20"/>
                <w:szCs w:val="20"/>
                <w:lang w:val="es-MX"/>
              </w:rPr>
            </w:pPr>
            <w:r w:rsidRPr="001B4F7A">
              <w:rPr>
                <w:color w:val="000000"/>
                <w:sz w:val="20"/>
                <w:szCs w:val="20"/>
                <w:lang w:val="es-MX"/>
              </w:rPr>
              <w:t>53.000</w:t>
            </w:r>
          </w:p>
        </w:tc>
        <w:tc>
          <w:tcPr>
            <w:tcW w:w="1237" w:type="dxa"/>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tcPr>
          <w:p w14:paraId="2C469A88" w14:textId="77777777" w:rsidR="009D35CE" w:rsidRPr="001B4F7A" w:rsidRDefault="009D35CE" w:rsidP="009D35CE">
            <w:pPr>
              <w:ind w:right="-112"/>
              <w:jc w:val="right"/>
              <w:rPr>
                <w:color w:val="000000"/>
                <w:sz w:val="20"/>
                <w:szCs w:val="20"/>
                <w:lang w:val="es-MX"/>
              </w:rPr>
            </w:pPr>
            <w:r w:rsidRPr="001B4F7A">
              <w:rPr>
                <w:color w:val="000000"/>
                <w:sz w:val="20"/>
                <w:szCs w:val="20"/>
                <w:lang w:val="es-MX"/>
              </w:rPr>
              <w:t>-</w:t>
            </w:r>
          </w:p>
        </w:tc>
      </w:tr>
      <w:tr w:rsidR="009D35CE" w:rsidRPr="001B4F7A" w14:paraId="46B4E8E6" w14:textId="77777777" w:rsidTr="009D35CE">
        <w:trPr>
          <w:trHeight w:val="116"/>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2C9BAC1D" w14:textId="77777777" w:rsidR="009D35CE" w:rsidRPr="001B4F7A" w:rsidRDefault="009D35CE" w:rsidP="009D35CE">
            <w:pPr>
              <w:jc w:val="left"/>
              <w:rPr>
                <w:b/>
                <w:bCs/>
                <w:color w:val="000000"/>
                <w:sz w:val="20"/>
                <w:szCs w:val="20"/>
                <w:lang w:val="es-MX"/>
              </w:rPr>
            </w:pPr>
            <w:r w:rsidRPr="001B4F7A">
              <w:rPr>
                <w:b/>
                <w:bCs/>
                <w:color w:val="000000"/>
                <w:sz w:val="20"/>
                <w:szCs w:val="20"/>
                <w:lang w:val="es-MX"/>
              </w:rPr>
              <w:t>Total general</w:t>
            </w:r>
          </w:p>
        </w:tc>
        <w:tc>
          <w:tcPr>
            <w:tcW w:w="1440" w:type="dxa"/>
            <w:tcBorders>
              <w:top w:val="single" w:sz="4" w:space="0" w:color="auto"/>
              <w:left w:val="single" w:sz="4" w:space="0" w:color="auto"/>
              <w:bottom w:val="single" w:sz="4" w:space="0" w:color="auto"/>
              <w:right w:val="single" w:sz="4" w:space="0" w:color="auto"/>
            </w:tcBorders>
            <w:tcMar>
              <w:left w:w="115" w:type="dxa"/>
              <w:right w:w="202" w:type="dxa"/>
            </w:tcMar>
          </w:tcPr>
          <w:p w14:paraId="6B26A455" w14:textId="77777777" w:rsidR="009D35CE" w:rsidRPr="001B4F7A" w:rsidRDefault="009D35CE" w:rsidP="009D35CE">
            <w:pPr>
              <w:ind w:right="-112"/>
              <w:jc w:val="right"/>
              <w:rPr>
                <w:b/>
                <w:color w:val="000000"/>
                <w:sz w:val="20"/>
                <w:szCs w:val="20"/>
                <w:lang w:val="es-MX"/>
              </w:rPr>
            </w:pPr>
            <w:r w:rsidRPr="001B4F7A">
              <w:rPr>
                <w:b/>
                <w:color w:val="000000"/>
                <w:sz w:val="20"/>
                <w:szCs w:val="20"/>
                <w:lang w:val="es-MX"/>
              </w:rPr>
              <w:t>1.633.857</w:t>
            </w:r>
          </w:p>
        </w:tc>
        <w:tc>
          <w:tcPr>
            <w:tcW w:w="1237" w:type="dxa"/>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tcPr>
          <w:p w14:paraId="447B3BE0" w14:textId="77777777" w:rsidR="009D35CE" w:rsidRPr="001B4F7A" w:rsidRDefault="009D35CE" w:rsidP="009D35CE">
            <w:pPr>
              <w:ind w:right="-112"/>
              <w:jc w:val="right"/>
              <w:rPr>
                <w:b/>
                <w:color w:val="000000"/>
                <w:sz w:val="20"/>
                <w:szCs w:val="20"/>
                <w:lang w:val="es-MX"/>
              </w:rPr>
            </w:pPr>
            <w:r w:rsidRPr="001B4F7A">
              <w:rPr>
                <w:b/>
                <w:color w:val="000000"/>
                <w:sz w:val="20"/>
                <w:szCs w:val="20"/>
                <w:lang w:val="es-MX"/>
              </w:rPr>
              <w:t>1.305.536</w:t>
            </w:r>
          </w:p>
        </w:tc>
      </w:tr>
    </w:tbl>
    <w:p w14:paraId="2557A84E" w14:textId="77777777" w:rsidR="006E5A5B" w:rsidRPr="001B4F7A" w:rsidRDefault="006E5A5B" w:rsidP="006E5A5B">
      <w:pPr>
        <w:pStyle w:val="Heading1"/>
        <w:numPr>
          <w:ilvl w:val="0"/>
          <w:numId w:val="0"/>
        </w:numPr>
        <w:rPr>
          <w:lang w:val="es-MX"/>
        </w:rPr>
      </w:pPr>
    </w:p>
    <w:p w14:paraId="2EE08FA1" w14:textId="77777777" w:rsidR="003B7259" w:rsidRPr="001B4F7A" w:rsidRDefault="003B7259" w:rsidP="00E671D9">
      <w:pPr>
        <w:rPr>
          <w:b/>
          <w:lang w:val="es-MX"/>
        </w:rPr>
      </w:pPr>
      <w:r w:rsidRPr="001B4F7A">
        <w:rPr>
          <w:b/>
          <w:lang w:val="es-MX"/>
        </w:rPr>
        <w:t>Plan administrativo para 2019 - 2021</w:t>
      </w:r>
    </w:p>
    <w:p w14:paraId="77F2DE6A" w14:textId="77777777" w:rsidR="003B7259" w:rsidRPr="001B4F7A" w:rsidRDefault="003B7259" w:rsidP="00E671D9">
      <w:pPr>
        <w:tabs>
          <w:tab w:val="left" w:pos="6272"/>
        </w:tabs>
        <w:rPr>
          <w:lang w:val="es-MX"/>
        </w:rPr>
      </w:pPr>
    </w:p>
    <w:p w14:paraId="3B4B7AED" w14:textId="5AB667F4" w:rsidR="003B7259" w:rsidRPr="001B4F7A" w:rsidRDefault="003B7259" w:rsidP="00E671D9">
      <w:pPr>
        <w:pStyle w:val="Heading1"/>
        <w:rPr>
          <w:lang w:val="es-MX"/>
        </w:rPr>
      </w:pPr>
      <w:r w:rsidRPr="001B4F7A">
        <w:rPr>
          <w:lang w:val="es-MX"/>
        </w:rPr>
        <w:t>Este proyecto se incluye en el plan administrativo de 2021-2023 del Fondo Multilateral con un valor de 1.605.000 $EUA, para eliminar 150 t de HFC-134a. La Secretaría toma nota de que, después de ajustar el costo, la financiación requerida, incluidos los gastos de apoyo al organismo, es de 208.076 $EUA por debajo del valor incluido en el plan administrativo.</w:t>
      </w:r>
    </w:p>
    <w:p w14:paraId="59B797A9" w14:textId="77777777" w:rsidR="003B7259" w:rsidRPr="001B4F7A" w:rsidRDefault="003B7259" w:rsidP="00D6596D">
      <w:pPr>
        <w:keepNext/>
        <w:rPr>
          <w:b/>
          <w:lang w:val="es-MX"/>
        </w:rPr>
      </w:pPr>
      <w:r w:rsidRPr="001B4F7A">
        <w:rPr>
          <w:b/>
          <w:lang w:val="es-MX"/>
        </w:rPr>
        <w:t>RECOMENDACIÓN</w:t>
      </w:r>
    </w:p>
    <w:p w14:paraId="734205C2" w14:textId="77777777" w:rsidR="003B7259" w:rsidRPr="001B4F7A" w:rsidRDefault="003B7259" w:rsidP="00D6596D">
      <w:pPr>
        <w:keepNext/>
        <w:rPr>
          <w:b/>
          <w:lang w:val="es-MX"/>
        </w:rPr>
      </w:pPr>
    </w:p>
    <w:p w14:paraId="46E3DBBD" w14:textId="77777777" w:rsidR="003B7259" w:rsidRPr="001B4F7A" w:rsidRDefault="003B7259" w:rsidP="00D6596D">
      <w:pPr>
        <w:pStyle w:val="Heading1"/>
        <w:keepNext/>
        <w:rPr>
          <w:lang w:val="es-MX"/>
        </w:rPr>
      </w:pPr>
      <w:r w:rsidRPr="001B4F7A">
        <w:rPr>
          <w:lang w:val="es-MX"/>
        </w:rPr>
        <w:t xml:space="preserve">El Comité Ejecutivo puede estimar oportuno: </w:t>
      </w:r>
    </w:p>
    <w:p w14:paraId="2E71A9AB" w14:textId="77777777" w:rsidR="003B7259" w:rsidRPr="001B4F7A" w:rsidRDefault="00EB32DE" w:rsidP="00D6596D">
      <w:pPr>
        <w:pStyle w:val="Heading2"/>
        <w:keepNext/>
        <w:widowControl/>
        <w:rPr>
          <w:lang w:val="es-MX"/>
        </w:rPr>
      </w:pPr>
      <w:r w:rsidRPr="001B4F7A">
        <w:rPr>
          <w:lang w:val="es-MX"/>
        </w:rPr>
        <w:t>Tomar nota de la propuesta de proyecto para la conversión de una planta de fabricación de compresores que funcionan con HFC</w:t>
      </w:r>
      <w:r w:rsidRPr="001B4F7A">
        <w:rPr>
          <w:lang w:val="es-MX"/>
        </w:rPr>
        <w:noBreakHyphen/>
        <w:t>134a</w:t>
      </w:r>
      <w:r w:rsidRPr="001B4F7A">
        <w:rPr>
          <w:lang w:val="es-MX"/>
        </w:rPr>
        <w:noBreakHyphen/>
        <w:t xml:space="preserve"> a compresores que funcionan con R</w:t>
      </w:r>
      <w:r w:rsidRPr="001B4F7A">
        <w:rPr>
          <w:lang w:val="es-MX"/>
        </w:rPr>
        <w:noBreakHyphen/>
        <w:t>600a</w:t>
      </w:r>
      <w:r w:rsidRPr="001B4F7A">
        <w:rPr>
          <w:lang w:val="es-MX"/>
        </w:rPr>
        <w:noBreakHyphen/>
        <w:t xml:space="preserve"> en </w:t>
      </w:r>
      <w:r w:rsidRPr="001B4F7A">
        <w:rPr>
          <w:color w:val="000000"/>
          <w:lang w:val="es-MX"/>
        </w:rPr>
        <w:t>Misr Compressor Manufacturing Co. (</w:t>
      </w:r>
      <w:r w:rsidRPr="001B4F7A">
        <w:rPr>
          <w:lang w:val="es-MX"/>
        </w:rPr>
        <w:t xml:space="preserve">MCMC) en Egipto, contenida en el documento UNEP/OzL.Pro/ExCom/87/25; </w:t>
      </w:r>
    </w:p>
    <w:p w14:paraId="5986CDF3" w14:textId="77777777" w:rsidR="003B7259" w:rsidRPr="001B4F7A" w:rsidRDefault="00EB32DE" w:rsidP="00E671D9">
      <w:pPr>
        <w:pStyle w:val="Heading2"/>
        <w:rPr>
          <w:lang w:val="es-MX"/>
        </w:rPr>
      </w:pPr>
      <w:r w:rsidRPr="001B4F7A">
        <w:rPr>
          <w:lang w:val="es-MX"/>
        </w:rPr>
        <w:t xml:space="preserve">Aprobar la propuesta de proyecto recogida en el subapartado a) indicado supra por un monto de 1.305.536 $EUA, más gastos de apoyo al organismo de 91.388 $EUA para la ONUDI, dándose por entendido que: </w:t>
      </w:r>
    </w:p>
    <w:p w14:paraId="2397D266" w14:textId="77777777" w:rsidR="003B7259" w:rsidRPr="001B4F7A" w:rsidRDefault="004E3ECC" w:rsidP="00E671D9">
      <w:pPr>
        <w:pStyle w:val="Heading3"/>
        <w:rPr>
          <w:lang w:val="es-MX"/>
        </w:rPr>
      </w:pPr>
      <w:r w:rsidRPr="001B4F7A">
        <w:rPr>
          <w:lang w:val="es-MX"/>
        </w:rPr>
        <w:t xml:space="preserve">No se dispondrá de más financiación para proyectos de reducción de HFC hasta que el instrumento de ratificación por parte del Gobierno de Egipto haya sido recibido por el depositario de la Sede Central de la Organización de las Naciones Unidas de Nueva York; </w:t>
      </w:r>
    </w:p>
    <w:p w14:paraId="126F54D8" w14:textId="4E20FC65" w:rsidR="003B7259" w:rsidRPr="001B4F7A" w:rsidRDefault="004E3ECC" w:rsidP="00E671D9">
      <w:pPr>
        <w:pStyle w:val="Heading3"/>
        <w:rPr>
          <w:lang w:val="es-MX"/>
        </w:rPr>
      </w:pPr>
      <w:r w:rsidRPr="001B4F7A">
        <w:rPr>
          <w:lang w:val="es-MX"/>
        </w:rPr>
        <w:t>Las 150 toneladas (t) (214.500 t de CO</w:t>
      </w:r>
      <w:r w:rsidRPr="001B4F7A">
        <w:rPr>
          <w:vertAlign w:val="subscript"/>
          <w:lang w:val="es-MX"/>
        </w:rPr>
        <w:t>2</w:t>
      </w:r>
      <w:r w:rsidRPr="001B4F7A">
        <w:rPr>
          <w:lang w:val="es-MX"/>
        </w:rPr>
        <w:t xml:space="preserve">-eq) de HFC-134a se deducirían del punto de partida para la reducción acumulativa sostenida de HFC una vez haya sido definido el punto de partida; </w:t>
      </w:r>
    </w:p>
    <w:p w14:paraId="5416A860" w14:textId="77777777" w:rsidR="003B7259" w:rsidRPr="001B4F7A" w:rsidRDefault="003B7259" w:rsidP="00557A9F">
      <w:pPr>
        <w:pStyle w:val="Heading3"/>
        <w:keepNext/>
        <w:keepLines/>
        <w:rPr>
          <w:lang w:val="es-MX"/>
        </w:rPr>
      </w:pPr>
      <w:r w:rsidRPr="001B4F7A">
        <w:rPr>
          <w:lang w:val="es-MX"/>
        </w:rPr>
        <w:lastRenderedPageBreak/>
        <w:t xml:space="preserve">El proyecto se terminaría en el plazo de 24 meses de efectuarse la transferencia de fondos a la ONUDI, que un informe general de terminación se presentaría en el plazo de seis meses de dicha terminación del proyecto, y que el mismo recogería una información pormenorizada sobre: </w:t>
      </w:r>
    </w:p>
    <w:p w14:paraId="044656C7" w14:textId="77777777" w:rsidR="003B7259" w:rsidRPr="001B4F7A" w:rsidRDefault="003B7259" w:rsidP="00E671D9">
      <w:pPr>
        <w:pStyle w:val="Header4"/>
        <w:tabs>
          <w:tab w:val="clear" w:pos="2520"/>
        </w:tabs>
        <w:ind w:left="2880" w:hanging="720"/>
        <w:rPr>
          <w:lang w:val="es-MX"/>
        </w:rPr>
      </w:pPr>
      <w:r w:rsidRPr="001B4F7A">
        <w:rPr>
          <w:lang w:val="es-MX"/>
        </w:rPr>
        <w:t xml:space="preserve">Los costos adicionales de capital admisibles para todos los equipos y demás componentes, incluidos los financiados en el marco del proyecto; </w:t>
      </w:r>
    </w:p>
    <w:p w14:paraId="197BB2FD" w14:textId="77777777" w:rsidR="003B7259" w:rsidRPr="001B4F7A" w:rsidRDefault="003B7259" w:rsidP="00E671D9">
      <w:pPr>
        <w:pStyle w:val="Header4"/>
        <w:tabs>
          <w:tab w:val="clear" w:pos="2520"/>
          <w:tab w:val="num" w:pos="2880"/>
        </w:tabs>
        <w:ind w:left="2880" w:hanging="720"/>
        <w:rPr>
          <w:lang w:val="es-MX"/>
        </w:rPr>
      </w:pPr>
      <w:r w:rsidRPr="001B4F7A">
        <w:rPr>
          <w:lang w:val="es-MX"/>
        </w:rPr>
        <w:t xml:space="preserve">Los costos adicionales de explotación; </w:t>
      </w:r>
    </w:p>
    <w:p w14:paraId="398E4B35" w14:textId="77777777" w:rsidR="003B7259" w:rsidRPr="001B4F7A" w:rsidRDefault="003B7259" w:rsidP="00BC2E9D">
      <w:pPr>
        <w:pStyle w:val="Header4"/>
        <w:keepNext/>
        <w:keepLines/>
        <w:widowControl/>
        <w:tabs>
          <w:tab w:val="clear" w:pos="2520"/>
          <w:tab w:val="num" w:pos="2880"/>
        </w:tabs>
        <w:ind w:left="2880" w:hanging="720"/>
        <w:rPr>
          <w:lang w:val="es-MX"/>
        </w:rPr>
      </w:pPr>
      <w:r w:rsidRPr="001B4F7A">
        <w:rPr>
          <w:lang w:val="es-MX"/>
        </w:rPr>
        <w:t>Todo posible ahorro acaecido durante la conversión y los factores pertinentes que facilitaron la implantación (por ejemplo, si hubo alguna adquisición y/o equipos instalados o suministros que hayan sido sometidos a un proceso de licitación/cotización competitivo, junto con los pormenores a su respecto); y</w:t>
      </w:r>
    </w:p>
    <w:p w14:paraId="22E80C0B" w14:textId="77777777" w:rsidR="003B7259" w:rsidRPr="001B4F7A" w:rsidRDefault="003B7259" w:rsidP="00B4500A">
      <w:pPr>
        <w:pStyle w:val="Header4"/>
        <w:tabs>
          <w:tab w:val="clear" w:pos="2520"/>
          <w:tab w:val="num" w:pos="2880"/>
        </w:tabs>
        <w:ind w:left="2880" w:hanging="720"/>
        <w:rPr>
          <w:lang w:val="es-MX"/>
        </w:rPr>
      </w:pPr>
      <w:r w:rsidRPr="001B4F7A">
        <w:rPr>
          <w:lang w:val="es-MX"/>
        </w:rPr>
        <w:t>Cambios en la eficiencia energética de los productos que se estén fabricando y toda política que el Gobierno haya establecido al respecto;</w:t>
      </w:r>
    </w:p>
    <w:p w14:paraId="3B22C907" w14:textId="77777777" w:rsidR="00ED0CCB" w:rsidRPr="001B4F7A" w:rsidRDefault="00ED0CCB" w:rsidP="00E671D9">
      <w:pPr>
        <w:pStyle w:val="Heading3"/>
        <w:rPr>
          <w:lang w:val="es-MX"/>
        </w:rPr>
      </w:pPr>
      <w:r w:rsidRPr="001B4F7A">
        <w:rPr>
          <w:lang w:val="es-MX"/>
        </w:rPr>
        <w:t>Que la empresa se comprometió a:</w:t>
      </w:r>
    </w:p>
    <w:p w14:paraId="4086F2E0" w14:textId="5AAA565F" w:rsidR="00937BD1" w:rsidRPr="001B4F7A" w:rsidRDefault="00CE542D" w:rsidP="00E671D9">
      <w:pPr>
        <w:pStyle w:val="Header4"/>
        <w:numPr>
          <w:ilvl w:val="0"/>
          <w:numId w:val="37"/>
        </w:numPr>
        <w:tabs>
          <w:tab w:val="clear" w:pos="2520"/>
          <w:tab w:val="num" w:pos="2880"/>
        </w:tabs>
        <w:ind w:left="2880" w:hanging="720"/>
        <w:rPr>
          <w:lang w:val="es-MX"/>
        </w:rPr>
      </w:pPr>
      <w:r w:rsidRPr="001B4F7A">
        <w:rPr>
          <w:lang w:val="es-MX"/>
        </w:rPr>
        <w:t>Detener la fabricación y las ventas de compresores que funcionan con HFC</w:t>
      </w:r>
      <w:r w:rsidRPr="001B4F7A">
        <w:rPr>
          <w:lang w:val="es-MX"/>
        </w:rPr>
        <w:noBreakHyphen/>
        <w:t>134a para la fabricación de equipos de refrigeración nuevos domésticos y comerciales autónomos e inutilizar la capacidad de fabricar compresores que funcionan con HFC</w:t>
      </w:r>
      <w:r w:rsidRPr="001B4F7A">
        <w:rPr>
          <w:lang w:val="es-MX"/>
        </w:rPr>
        <w:noBreakHyphen/>
        <w:t>134a en la línea convertida, con fecha límite de 1 de enero de 2025;</w:t>
      </w:r>
    </w:p>
    <w:p w14:paraId="14205358" w14:textId="54A756C6" w:rsidR="00ED0CCB" w:rsidRPr="001B4F7A" w:rsidRDefault="00CE542D" w:rsidP="00E671D9">
      <w:pPr>
        <w:pStyle w:val="Header4"/>
        <w:numPr>
          <w:ilvl w:val="0"/>
          <w:numId w:val="37"/>
        </w:numPr>
        <w:tabs>
          <w:tab w:val="clear" w:pos="2520"/>
          <w:tab w:val="num" w:pos="2880"/>
        </w:tabs>
        <w:ind w:left="2880" w:hanging="720"/>
        <w:rPr>
          <w:lang w:val="es-MX"/>
        </w:rPr>
      </w:pPr>
      <w:r w:rsidRPr="001B4F7A">
        <w:rPr>
          <w:lang w:val="es-MX"/>
        </w:rPr>
        <w:t>Limitar la fabricación anual de compresores que funcionan con HFC</w:t>
      </w:r>
      <w:r w:rsidRPr="001B4F7A">
        <w:rPr>
          <w:lang w:val="es-MX"/>
        </w:rPr>
        <w:noBreakHyphen/>
        <w:t>134a a un máximo de 150.000 unidades al año entre 2025 y 2027, y un máximo de 100.000 unidades al año en 2028 y 2029, exclusivamente para dar servicio al equipo existente que funcione con HFC</w:t>
      </w:r>
      <w:r w:rsidRPr="001B4F7A">
        <w:rPr>
          <w:lang w:val="es-MX"/>
        </w:rPr>
        <w:noBreakHyphen/>
        <w:t xml:space="preserve">134a; </w:t>
      </w:r>
    </w:p>
    <w:p w14:paraId="372A13E3" w14:textId="4B4287D1" w:rsidR="00743B75" w:rsidRPr="001B4F7A" w:rsidRDefault="00CE542D" w:rsidP="00E671D9">
      <w:pPr>
        <w:pStyle w:val="Header4"/>
        <w:numPr>
          <w:ilvl w:val="0"/>
          <w:numId w:val="37"/>
        </w:numPr>
        <w:tabs>
          <w:tab w:val="clear" w:pos="2520"/>
          <w:tab w:val="num" w:pos="2880"/>
        </w:tabs>
        <w:ind w:left="2880" w:hanging="720"/>
        <w:rPr>
          <w:lang w:val="es-MX"/>
        </w:rPr>
      </w:pPr>
      <w:r w:rsidRPr="001B4F7A">
        <w:rPr>
          <w:lang w:val="es-MX"/>
        </w:rPr>
        <w:t>Detener la fabricación y las ventas de todos los compresores que funcionan con HFC-134a y de inutilizar la capacidad de la segunda línea para fabricar compresores que funcionan HFC-134a, con fecha límite de 1 de enero de 2030, sin costo adicional para el Fondo Multilateral;</w:t>
      </w:r>
    </w:p>
    <w:p w14:paraId="6449B8CA" w14:textId="2CDA2D4B" w:rsidR="00743B75" w:rsidRPr="001B4F7A" w:rsidRDefault="00ED0CCB" w:rsidP="00E671D9">
      <w:pPr>
        <w:pStyle w:val="Heading3"/>
        <w:rPr>
          <w:lang w:val="es-MX"/>
        </w:rPr>
      </w:pPr>
      <w:r w:rsidRPr="001B4F7A">
        <w:rPr>
          <w:lang w:val="es-MX"/>
        </w:rPr>
        <w:t>Que el Gobierno de Egipto aplicaría medidas regulatorias destinadas a fomentar la introducción de compresores que funcionan con R-600a y otros refrigerantes con bajo potencial de calentamiento atmosférico global en el sector de fabricación de aparatos domésticos y comerciales autónomos a más tardar en el año 2025; y</w:t>
      </w:r>
    </w:p>
    <w:p w14:paraId="7B43089A" w14:textId="6095A0FE" w:rsidR="00FC2DDE" w:rsidRPr="001B4F7A" w:rsidRDefault="004E3ECC" w:rsidP="00E671D9">
      <w:pPr>
        <w:pStyle w:val="Heading3"/>
        <w:rPr>
          <w:lang w:val="es-MX"/>
        </w:rPr>
      </w:pPr>
      <w:r w:rsidRPr="001B4F7A">
        <w:rPr>
          <w:lang w:val="es-MX"/>
        </w:rPr>
        <w:t>Que todo fondo remanente se reembolsaría al Fondo Multilateral pasado un año desde la fecha de terminación del proyecto.</w:t>
      </w:r>
    </w:p>
    <w:p w14:paraId="674E2C0E" w14:textId="22548952" w:rsidR="00D6596D" w:rsidRPr="001B4F7A" w:rsidRDefault="00D6596D" w:rsidP="00D6596D">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C2E9D" w:rsidRPr="001B4F7A" w14:paraId="12EB2F55" w14:textId="77777777" w:rsidTr="00F462F1">
        <w:tc>
          <w:tcPr>
            <w:tcW w:w="1871" w:type="dxa"/>
          </w:tcPr>
          <w:p w14:paraId="55ADF960" w14:textId="77777777" w:rsidR="00BC2E9D" w:rsidRPr="001B4F7A" w:rsidRDefault="00BC2E9D" w:rsidP="00BC2E9D">
            <w:pPr>
              <w:jc w:val="center"/>
              <w:rPr>
                <w:lang w:val="es-MX"/>
              </w:rPr>
            </w:pPr>
          </w:p>
        </w:tc>
        <w:tc>
          <w:tcPr>
            <w:tcW w:w="1872" w:type="dxa"/>
          </w:tcPr>
          <w:p w14:paraId="0E44B46A" w14:textId="77777777" w:rsidR="00BC2E9D" w:rsidRPr="001B4F7A" w:rsidRDefault="00BC2E9D" w:rsidP="00BC2E9D">
            <w:pPr>
              <w:jc w:val="center"/>
              <w:rPr>
                <w:lang w:val="es-MX"/>
              </w:rPr>
            </w:pPr>
          </w:p>
        </w:tc>
        <w:tc>
          <w:tcPr>
            <w:tcW w:w="1872" w:type="dxa"/>
            <w:tcBorders>
              <w:bottom w:val="single" w:sz="4" w:space="0" w:color="auto"/>
            </w:tcBorders>
          </w:tcPr>
          <w:p w14:paraId="7CCA067E" w14:textId="77777777" w:rsidR="00BC2E9D" w:rsidRPr="001B4F7A" w:rsidRDefault="00BC2E9D" w:rsidP="00BC2E9D">
            <w:pPr>
              <w:jc w:val="center"/>
              <w:rPr>
                <w:lang w:val="es-MX"/>
              </w:rPr>
            </w:pPr>
          </w:p>
        </w:tc>
        <w:tc>
          <w:tcPr>
            <w:tcW w:w="1872" w:type="dxa"/>
          </w:tcPr>
          <w:p w14:paraId="6D68149E" w14:textId="77777777" w:rsidR="00BC2E9D" w:rsidRPr="001B4F7A" w:rsidRDefault="00BC2E9D" w:rsidP="00BC2E9D">
            <w:pPr>
              <w:jc w:val="center"/>
              <w:rPr>
                <w:lang w:val="es-MX"/>
              </w:rPr>
            </w:pPr>
          </w:p>
        </w:tc>
        <w:tc>
          <w:tcPr>
            <w:tcW w:w="1873" w:type="dxa"/>
          </w:tcPr>
          <w:p w14:paraId="4CEBF38C" w14:textId="77777777" w:rsidR="00BC2E9D" w:rsidRPr="001B4F7A" w:rsidRDefault="00BC2E9D" w:rsidP="00BC2E9D">
            <w:pPr>
              <w:jc w:val="center"/>
              <w:rPr>
                <w:lang w:val="es-MX"/>
              </w:rPr>
            </w:pPr>
          </w:p>
        </w:tc>
      </w:tr>
    </w:tbl>
    <w:p w14:paraId="638391D0" w14:textId="77777777" w:rsidR="00B20F09" w:rsidRPr="001B4F7A" w:rsidRDefault="00B20F09" w:rsidP="00B20F09">
      <w:pPr>
        <w:tabs>
          <w:tab w:val="left" w:pos="5593"/>
        </w:tabs>
        <w:jc w:val="center"/>
        <w:rPr>
          <w:lang w:val="es-MX"/>
        </w:rPr>
      </w:pPr>
    </w:p>
    <w:sectPr w:rsidR="00B20F09" w:rsidRPr="001B4F7A"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D73B" w14:textId="77777777" w:rsidR="00E23A9F" w:rsidRDefault="00E23A9F" w:rsidP="004A504B">
      <w:r>
        <w:separator/>
      </w:r>
    </w:p>
  </w:endnote>
  <w:endnote w:type="continuationSeparator" w:id="0">
    <w:p w14:paraId="791042A3" w14:textId="77777777" w:rsidR="00E23A9F" w:rsidRDefault="00E23A9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1198" w14:textId="46D1F50F" w:rsidR="00174133" w:rsidRPr="0033525D" w:rsidRDefault="00174133">
    <w:pPr>
      <w:jc w:val="center"/>
    </w:pPr>
    <w:r>
      <w:fldChar w:fldCharType="begin"/>
    </w:r>
    <w:r>
      <w:instrText xml:space="preserve"> PAGE </w:instrText>
    </w:r>
    <w:r>
      <w:fldChar w:fldCharType="separate"/>
    </w:r>
    <w:r w:rsidR="0062749D">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1294" w14:textId="7834C9E3" w:rsidR="00174133" w:rsidRPr="0033525D" w:rsidRDefault="00174133">
    <w:pPr>
      <w:jc w:val="center"/>
    </w:pPr>
    <w:r>
      <w:fldChar w:fldCharType="begin"/>
    </w:r>
    <w:r>
      <w:instrText xml:space="preserve"> PAGE </w:instrText>
    </w:r>
    <w:r>
      <w:fldChar w:fldCharType="separate"/>
    </w:r>
    <w:r w:rsidR="0062749D">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E5F6" w14:textId="7D4EB07D" w:rsidR="00174133" w:rsidRPr="00696BEB" w:rsidRDefault="00696BEB" w:rsidP="00696BEB">
    <w:pPr>
      <w:pStyle w:val="Footer"/>
      <w:pBdr>
        <w:top w:val="single" w:sz="4" w:space="1" w:color="auto"/>
        <w:left w:val="single" w:sz="4" w:space="4" w:color="auto"/>
        <w:bottom w:val="single" w:sz="4" w:space="1" w:color="auto"/>
        <w:right w:val="single" w:sz="4" w:space="4" w:color="auto"/>
      </w:pBdr>
      <w:ind w:left="-142" w:firstLine="142"/>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AF02" w14:textId="77777777" w:rsidR="00E23A9F" w:rsidRDefault="00E23A9F" w:rsidP="004A504B">
      <w:r>
        <w:separator/>
      </w:r>
    </w:p>
  </w:footnote>
  <w:footnote w:type="continuationSeparator" w:id="0">
    <w:p w14:paraId="23621D8B" w14:textId="77777777" w:rsidR="00E23A9F" w:rsidRDefault="00E23A9F" w:rsidP="004A504B">
      <w:r>
        <w:continuationSeparator/>
      </w:r>
    </w:p>
  </w:footnote>
  <w:footnote w:id="1">
    <w:p w14:paraId="7D2F6E23" w14:textId="77777777" w:rsidR="003B3FB0" w:rsidRPr="009C74FD" w:rsidRDefault="00696BEB" w:rsidP="003B3FB0">
      <w:pPr>
        <w:pStyle w:val="FootnoteText"/>
        <w:rPr>
          <w:lang w:val="es-MX"/>
        </w:rPr>
      </w:pPr>
      <w:r>
        <w:rPr>
          <w:rStyle w:val="FootnoteReference"/>
        </w:rPr>
        <w:footnoteRef/>
      </w:r>
      <w:r w:rsidRPr="009C74FD">
        <w:rPr>
          <w:lang w:val="es-MX"/>
        </w:rPr>
        <w:t xml:space="preserve"> </w:t>
      </w:r>
      <w:r w:rsidR="003B3FB0" w:rsidRPr="008D6A1A">
        <w:rPr>
          <w:lang w:val="es-MX"/>
        </w:rPr>
        <w:t>En junio y julio de 2021 se celebrarán reunion</w:t>
      </w:r>
      <w:r w:rsidR="003B3FB0">
        <w:rPr>
          <w:lang w:val="es-MX"/>
        </w:rPr>
        <w:t>e</w:t>
      </w:r>
      <w:r w:rsidR="003B3FB0" w:rsidRPr="008D6A1A">
        <w:rPr>
          <w:lang w:val="es-MX"/>
        </w:rPr>
        <w:t xml:space="preserve">s en </w:t>
      </w:r>
      <w:r w:rsidR="003B3FB0">
        <w:rPr>
          <w:lang w:val="es-MX"/>
        </w:rPr>
        <w:t>líneas y se llevará a cabo el proceso de aprobación entre período de sesiones, debido al coronavirus (COVID-19).</w:t>
      </w:r>
    </w:p>
    <w:p w14:paraId="0259E076" w14:textId="33E1EC35" w:rsidR="00696BEB" w:rsidRPr="009C74FD" w:rsidRDefault="00696BEB" w:rsidP="003B3FB0">
      <w:pPr>
        <w:pStyle w:val="FootnoteText"/>
        <w:rPr>
          <w:lang w:val="es-MX"/>
        </w:rPr>
      </w:pPr>
    </w:p>
  </w:footnote>
  <w:footnote w:id="2">
    <w:p w14:paraId="4439B7FE" w14:textId="77777777" w:rsidR="00174133" w:rsidRDefault="00174133">
      <w:pPr>
        <w:pStyle w:val="FootnoteText"/>
      </w:pPr>
      <w:r>
        <w:rPr>
          <w:rStyle w:val="FootnoteReference"/>
        </w:rPr>
        <w:footnoteRef/>
      </w:r>
      <w:r>
        <w:t xml:space="preserve"> El proyecto se aprobó con una financiación total de 2.800.000 $EUA asignados al Banco Mundial. Se incluyó la adquisición de calorímetros para compresores, bancos de ensayo de vida útil de compresores, dinamómetros de motor, células de ensayo ambientales controladas, máquinas de lavado para piezas de acero y piezas de goma, reequipamiento, transferencia de tecnología y formación. Tras la terminación de la conversión, se devolvió al fondo un saldo de 950.000 $EUA (en las reuniones 17ª y 36ª). </w:t>
      </w:r>
    </w:p>
  </w:footnote>
  <w:footnote w:id="3">
    <w:p w14:paraId="755451A1" w14:textId="77777777" w:rsidR="00174133" w:rsidRPr="00B31D57" w:rsidRDefault="00174133">
      <w:pPr>
        <w:pStyle w:val="FootnoteText"/>
      </w:pPr>
      <w:r>
        <w:rPr>
          <w:rStyle w:val="FootnoteReference"/>
        </w:rPr>
        <w:footnoteRef/>
      </w:r>
      <w:r>
        <w:t xml:space="preserve"> Aplicada solamente al componente de inversión asociado a la empresa.</w:t>
      </w:r>
    </w:p>
  </w:footnote>
  <w:footnote w:id="4">
    <w:p w14:paraId="3ECC7CD5" w14:textId="057713B2" w:rsidR="00174133" w:rsidRPr="00DE53B6" w:rsidRDefault="00174133" w:rsidP="00DE53B6">
      <w:pPr>
        <w:pStyle w:val="FootnoteText"/>
      </w:pPr>
      <w:r>
        <w:rPr>
          <w:rStyle w:val="FootnoteReference"/>
        </w:rPr>
        <w:footnoteRef/>
      </w:r>
      <w:r>
        <w:t xml:space="preserve"> De conformidad con las políticas existentes, cuando las exportaciones a países que no operan al amparo del Artículo 5 sean iguales o inferiores al 10 por ciento de la producción total, se cubrirá el total de los costos adicionales (documento UNEP/OzL.Pro/ExCom/15/45, apartados 146</w:t>
      </w:r>
      <w:r>
        <w:noBreakHyphen/>
        <w:t>147).</w:t>
      </w:r>
    </w:p>
  </w:footnote>
  <w:footnote w:id="5">
    <w:p w14:paraId="45DDCE39" w14:textId="49498EC3" w:rsidR="00174133" w:rsidRPr="00120B00" w:rsidRDefault="00174133">
      <w:pPr>
        <w:pStyle w:val="FootnoteText"/>
      </w:pPr>
      <w:r>
        <w:rPr>
          <w:rStyle w:val="FootnoteReference"/>
        </w:rPr>
        <w:footnoteRef/>
      </w:r>
      <w:r>
        <w:t xml:space="preserve"> La decisión 84/53 permite la presentación de propuestas de proyectos de inversión de HFC hasta la 87ª reunión, y da prioridad a los sectores de aire acondicionado fijo, refrigeración comercial y aire acondicionado portátil.</w:t>
      </w:r>
    </w:p>
  </w:footnote>
  <w:footnote w:id="6">
    <w:p w14:paraId="693D2830" w14:textId="77777777" w:rsidR="00174133" w:rsidRPr="00120B00" w:rsidRDefault="00174133">
      <w:pPr>
        <w:pStyle w:val="FootnoteText"/>
      </w:pPr>
      <w:r>
        <w:rPr>
          <w:rStyle w:val="FootnoteReference"/>
        </w:rPr>
        <w:footnoteRef/>
      </w:r>
      <w:r>
        <w:t xml:space="preserve"> UNEP/OzL.Pro/ExCom/80/32</w:t>
      </w:r>
    </w:p>
  </w:footnote>
  <w:footnote w:id="7">
    <w:p w14:paraId="6A3B9E37" w14:textId="77777777" w:rsidR="00174133" w:rsidRDefault="00174133">
      <w:pPr>
        <w:pStyle w:val="FootnoteText"/>
      </w:pPr>
      <w:r>
        <w:rPr>
          <w:rStyle w:val="FootnoteReference"/>
        </w:rPr>
        <w:footnoteRef/>
      </w:r>
      <w:r>
        <w:t xml:space="preserve"> UNEP/OzL.Pro/ExCom/81/45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858D" w14:textId="336C78DE" w:rsidR="00174133" w:rsidRPr="0033525D" w:rsidRDefault="003B3FB0">
    <w:fldSimple w:instr=" DOCPROPERTY &quot;Document number&quot;  \* MERGEFORMAT ">
      <w:r w:rsidR="00F55516">
        <w:t>UNEP/OzL.Pro/ExCom/87/25</w:t>
      </w:r>
    </w:fldSimple>
  </w:p>
  <w:p w14:paraId="7EE9404B" w14:textId="77777777" w:rsidR="00174133" w:rsidRPr="0033525D" w:rsidRDefault="00174133"/>
  <w:p w14:paraId="555487CA" w14:textId="77777777" w:rsidR="00174133" w:rsidRPr="0033525D" w:rsidRDefault="0017413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E7F2" w14:textId="511F1F2F" w:rsidR="00174133" w:rsidRPr="0033525D" w:rsidRDefault="003B3FB0">
    <w:pPr>
      <w:jc w:val="right"/>
    </w:pPr>
    <w:fldSimple w:instr=" DOCPROPERTY &quot;Document number&quot;  \* MERGEFORMAT ">
      <w:r w:rsidR="00F55516">
        <w:t>UNEP/OzL.Pro/ExCom/87/25</w:t>
      </w:r>
    </w:fldSimple>
  </w:p>
  <w:p w14:paraId="02082CB9" w14:textId="77777777" w:rsidR="00174133" w:rsidRPr="0033525D" w:rsidRDefault="00174133" w:rsidP="00076FA6">
    <w:pPr>
      <w:jc w:val="right"/>
    </w:pPr>
  </w:p>
  <w:p w14:paraId="0EA867C9" w14:textId="77777777" w:rsidR="00174133" w:rsidRPr="0033525D" w:rsidRDefault="00174133" w:rsidP="00076FA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A107472"/>
    <w:lvl w:ilvl="0">
      <w:start w:val="1"/>
      <w:numFmt w:val="decimal"/>
      <w:pStyle w:val="Heading1"/>
      <w:lvlText w:val="%1."/>
      <w:lvlJc w:val="left"/>
      <w:pPr>
        <w:tabs>
          <w:tab w:val="num" w:pos="0"/>
        </w:tabs>
        <w:ind w:left="0" w:firstLine="0"/>
      </w:pPr>
      <w:rPr>
        <w:b w:val="0"/>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ED1DD0"/>
    <w:multiLevelType w:val="hybridMultilevel"/>
    <w:tmpl w:val="3F0C07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920246"/>
    <w:multiLevelType w:val="hybridMultilevel"/>
    <w:tmpl w:val="27C86BD6"/>
    <w:lvl w:ilvl="0" w:tplc="6A7E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57F3F"/>
    <w:multiLevelType w:val="hybridMultilevel"/>
    <w:tmpl w:val="22C2C7B6"/>
    <w:lvl w:ilvl="0" w:tplc="73C6D8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E0CEF"/>
    <w:multiLevelType w:val="hybridMultilevel"/>
    <w:tmpl w:val="CCC8AEAE"/>
    <w:lvl w:ilvl="0" w:tplc="FE02445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C11C4E"/>
    <w:multiLevelType w:val="hybridMultilevel"/>
    <w:tmpl w:val="3CD2D874"/>
    <w:lvl w:ilvl="0" w:tplc="BD761080">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500761C"/>
    <w:multiLevelType w:val="hybridMultilevel"/>
    <w:tmpl w:val="2E503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1A394C"/>
    <w:multiLevelType w:val="hybridMultilevel"/>
    <w:tmpl w:val="D2CEC00E"/>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8A3719"/>
    <w:multiLevelType w:val="hybridMultilevel"/>
    <w:tmpl w:val="D1844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3048F"/>
    <w:multiLevelType w:val="hybridMultilevel"/>
    <w:tmpl w:val="F2A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C32CA"/>
    <w:multiLevelType w:val="hybridMultilevel"/>
    <w:tmpl w:val="145687A6"/>
    <w:lvl w:ilvl="0" w:tplc="D4BA92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5"/>
  </w:num>
  <w:num w:numId="18">
    <w:abstractNumId w:val="26"/>
  </w:num>
  <w:num w:numId="19">
    <w:abstractNumId w:val="27"/>
  </w:num>
  <w:num w:numId="20">
    <w:abstractNumId w:val="18"/>
  </w:num>
  <w:num w:numId="21">
    <w:abstractNumId w:val="23"/>
  </w:num>
  <w:num w:numId="22">
    <w:abstractNumId w:val="21"/>
  </w:num>
  <w:num w:numId="23">
    <w:abstractNumId w:val="12"/>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9"/>
  </w:num>
  <w:num w:numId="31">
    <w:abstractNumId w:val="22"/>
  </w:num>
  <w:num w:numId="32">
    <w:abstractNumId w:val="24"/>
  </w:num>
  <w:num w:numId="33">
    <w:abstractNumId w:val="13"/>
  </w:num>
  <w:num w:numId="34">
    <w:abstractNumId w:val="15"/>
  </w:num>
  <w:num w:numId="35">
    <w:abstractNumId w:val="17"/>
  </w:num>
  <w:num w:numId="36">
    <w:abstractNumId w:val="20"/>
  </w:num>
  <w:num w:numId="37">
    <w:abstractNumId w:val="27"/>
    <w:lvlOverride w:ilvl="0">
      <w:startOverride w:val="1"/>
    </w:lvlOverride>
  </w:num>
  <w:num w:numId="38">
    <w:abstractNumId w:val="10"/>
  </w:num>
  <w:num w:numId="3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DC23AC"/>
    <w:rsid w:val="00000FED"/>
    <w:rsid w:val="000011CF"/>
    <w:rsid w:val="00002556"/>
    <w:rsid w:val="0000434E"/>
    <w:rsid w:val="0000575D"/>
    <w:rsid w:val="00011D27"/>
    <w:rsid w:val="000211A9"/>
    <w:rsid w:val="00022E49"/>
    <w:rsid w:val="00031260"/>
    <w:rsid w:val="000350CC"/>
    <w:rsid w:val="0003681A"/>
    <w:rsid w:val="000372B7"/>
    <w:rsid w:val="0004009A"/>
    <w:rsid w:val="000432CD"/>
    <w:rsid w:val="00050F6E"/>
    <w:rsid w:val="00057725"/>
    <w:rsid w:val="00061EC2"/>
    <w:rsid w:val="0006457E"/>
    <w:rsid w:val="00065D6B"/>
    <w:rsid w:val="00066CE8"/>
    <w:rsid w:val="00076FA6"/>
    <w:rsid w:val="00080ED0"/>
    <w:rsid w:val="00085110"/>
    <w:rsid w:val="000854D4"/>
    <w:rsid w:val="00085B8F"/>
    <w:rsid w:val="00090012"/>
    <w:rsid w:val="00090481"/>
    <w:rsid w:val="00090BD3"/>
    <w:rsid w:val="00096770"/>
    <w:rsid w:val="000970F1"/>
    <w:rsid w:val="000A03B5"/>
    <w:rsid w:val="000A2922"/>
    <w:rsid w:val="000A3826"/>
    <w:rsid w:val="000A44ED"/>
    <w:rsid w:val="000A5E72"/>
    <w:rsid w:val="000A6C26"/>
    <w:rsid w:val="000B18A6"/>
    <w:rsid w:val="000B498E"/>
    <w:rsid w:val="000B5A38"/>
    <w:rsid w:val="000D52A4"/>
    <w:rsid w:val="000D5E0A"/>
    <w:rsid w:val="000E07BC"/>
    <w:rsid w:val="000E391C"/>
    <w:rsid w:val="000E4457"/>
    <w:rsid w:val="000F1CD4"/>
    <w:rsid w:val="000F4103"/>
    <w:rsid w:val="000F4856"/>
    <w:rsid w:val="000F70A7"/>
    <w:rsid w:val="00102509"/>
    <w:rsid w:val="001078DD"/>
    <w:rsid w:val="00110CE6"/>
    <w:rsid w:val="00111940"/>
    <w:rsid w:val="00113CCA"/>
    <w:rsid w:val="00120B00"/>
    <w:rsid w:val="00122F25"/>
    <w:rsid w:val="00135980"/>
    <w:rsid w:val="00135C88"/>
    <w:rsid w:val="00137AB4"/>
    <w:rsid w:val="001400A0"/>
    <w:rsid w:val="00142557"/>
    <w:rsid w:val="001559F9"/>
    <w:rsid w:val="00164719"/>
    <w:rsid w:val="0016641B"/>
    <w:rsid w:val="00166FC4"/>
    <w:rsid w:val="001677AC"/>
    <w:rsid w:val="00170FE2"/>
    <w:rsid w:val="00171220"/>
    <w:rsid w:val="00171AB5"/>
    <w:rsid w:val="00174133"/>
    <w:rsid w:val="00177E51"/>
    <w:rsid w:val="001804EA"/>
    <w:rsid w:val="00182CE2"/>
    <w:rsid w:val="00187CC8"/>
    <w:rsid w:val="00190A61"/>
    <w:rsid w:val="0019434A"/>
    <w:rsid w:val="001A2215"/>
    <w:rsid w:val="001A23E0"/>
    <w:rsid w:val="001A3342"/>
    <w:rsid w:val="001A3E3D"/>
    <w:rsid w:val="001A55B3"/>
    <w:rsid w:val="001A7049"/>
    <w:rsid w:val="001B0256"/>
    <w:rsid w:val="001B0BD5"/>
    <w:rsid w:val="001B1DBC"/>
    <w:rsid w:val="001B1E40"/>
    <w:rsid w:val="001B4F7A"/>
    <w:rsid w:val="001C0B6F"/>
    <w:rsid w:val="001C764E"/>
    <w:rsid w:val="001C790B"/>
    <w:rsid w:val="001D0A07"/>
    <w:rsid w:val="001D3434"/>
    <w:rsid w:val="001E1052"/>
    <w:rsid w:val="001E21B1"/>
    <w:rsid w:val="001E2DEA"/>
    <w:rsid w:val="001E2F93"/>
    <w:rsid w:val="001E4554"/>
    <w:rsid w:val="001E61E5"/>
    <w:rsid w:val="001F1C1F"/>
    <w:rsid w:val="001F2159"/>
    <w:rsid w:val="001F6823"/>
    <w:rsid w:val="001F7832"/>
    <w:rsid w:val="00210B8B"/>
    <w:rsid w:val="0021227B"/>
    <w:rsid w:val="00214863"/>
    <w:rsid w:val="002156B4"/>
    <w:rsid w:val="00217E3B"/>
    <w:rsid w:val="00224B0A"/>
    <w:rsid w:val="00224FCD"/>
    <w:rsid w:val="00231EA1"/>
    <w:rsid w:val="002324F9"/>
    <w:rsid w:val="00232E4E"/>
    <w:rsid w:val="00240E78"/>
    <w:rsid w:val="00241E80"/>
    <w:rsid w:val="00253222"/>
    <w:rsid w:val="0025325B"/>
    <w:rsid w:val="00253EEE"/>
    <w:rsid w:val="002558C6"/>
    <w:rsid w:val="00262847"/>
    <w:rsid w:val="00265298"/>
    <w:rsid w:val="00270ABF"/>
    <w:rsid w:val="00270ACD"/>
    <w:rsid w:val="00273B24"/>
    <w:rsid w:val="002778DB"/>
    <w:rsid w:val="00281BB2"/>
    <w:rsid w:val="00296127"/>
    <w:rsid w:val="002B254E"/>
    <w:rsid w:val="002B5B4A"/>
    <w:rsid w:val="002B72E9"/>
    <w:rsid w:val="002C37C6"/>
    <w:rsid w:val="002C43CB"/>
    <w:rsid w:val="002C566B"/>
    <w:rsid w:val="002C7998"/>
    <w:rsid w:val="002D277F"/>
    <w:rsid w:val="002D2956"/>
    <w:rsid w:val="002D2A50"/>
    <w:rsid w:val="002E02A5"/>
    <w:rsid w:val="002F1E53"/>
    <w:rsid w:val="002F2CAA"/>
    <w:rsid w:val="002F3428"/>
    <w:rsid w:val="0030052C"/>
    <w:rsid w:val="003107DF"/>
    <w:rsid w:val="003306E1"/>
    <w:rsid w:val="003320E4"/>
    <w:rsid w:val="00332DFE"/>
    <w:rsid w:val="0033525D"/>
    <w:rsid w:val="003414F3"/>
    <w:rsid w:val="00347812"/>
    <w:rsid w:val="0035613E"/>
    <w:rsid w:val="00363EE9"/>
    <w:rsid w:val="003677A5"/>
    <w:rsid w:val="00370657"/>
    <w:rsid w:val="003749A0"/>
    <w:rsid w:val="00375247"/>
    <w:rsid w:val="00375A50"/>
    <w:rsid w:val="00376128"/>
    <w:rsid w:val="00377405"/>
    <w:rsid w:val="0037742E"/>
    <w:rsid w:val="00377D56"/>
    <w:rsid w:val="0038245A"/>
    <w:rsid w:val="003840E6"/>
    <w:rsid w:val="00385265"/>
    <w:rsid w:val="00385CFC"/>
    <w:rsid w:val="00386BF0"/>
    <w:rsid w:val="0038702D"/>
    <w:rsid w:val="0039337A"/>
    <w:rsid w:val="00396209"/>
    <w:rsid w:val="00397D32"/>
    <w:rsid w:val="003A1800"/>
    <w:rsid w:val="003A3189"/>
    <w:rsid w:val="003A3CA7"/>
    <w:rsid w:val="003A4787"/>
    <w:rsid w:val="003B33BD"/>
    <w:rsid w:val="003B3FB0"/>
    <w:rsid w:val="003B569D"/>
    <w:rsid w:val="003B7259"/>
    <w:rsid w:val="003C2D06"/>
    <w:rsid w:val="003C3C0E"/>
    <w:rsid w:val="003C5D0C"/>
    <w:rsid w:val="003C5E50"/>
    <w:rsid w:val="003C603E"/>
    <w:rsid w:val="003D27ED"/>
    <w:rsid w:val="003D2E0D"/>
    <w:rsid w:val="003D42A6"/>
    <w:rsid w:val="003D4F21"/>
    <w:rsid w:val="003D4FAC"/>
    <w:rsid w:val="003D7F5B"/>
    <w:rsid w:val="003E34E2"/>
    <w:rsid w:val="003E383C"/>
    <w:rsid w:val="003E7906"/>
    <w:rsid w:val="003F3665"/>
    <w:rsid w:val="003F3C50"/>
    <w:rsid w:val="003F5E40"/>
    <w:rsid w:val="003F6AAD"/>
    <w:rsid w:val="003F7A3E"/>
    <w:rsid w:val="003F7EC1"/>
    <w:rsid w:val="003F7F74"/>
    <w:rsid w:val="00404991"/>
    <w:rsid w:val="00406A6A"/>
    <w:rsid w:val="00406B22"/>
    <w:rsid w:val="004076AE"/>
    <w:rsid w:val="00414144"/>
    <w:rsid w:val="00416B9B"/>
    <w:rsid w:val="00422E71"/>
    <w:rsid w:val="004246F3"/>
    <w:rsid w:val="004326F9"/>
    <w:rsid w:val="004328A7"/>
    <w:rsid w:val="00432C1B"/>
    <w:rsid w:val="00434C74"/>
    <w:rsid w:val="00436527"/>
    <w:rsid w:val="00456EB4"/>
    <w:rsid w:val="00462C28"/>
    <w:rsid w:val="00463D1C"/>
    <w:rsid w:val="004718F3"/>
    <w:rsid w:val="0047345C"/>
    <w:rsid w:val="00475040"/>
    <w:rsid w:val="00481564"/>
    <w:rsid w:val="004827A2"/>
    <w:rsid w:val="00483ECF"/>
    <w:rsid w:val="004858A0"/>
    <w:rsid w:val="00485FE2"/>
    <w:rsid w:val="0048639D"/>
    <w:rsid w:val="00493D40"/>
    <w:rsid w:val="004967B6"/>
    <w:rsid w:val="0049713D"/>
    <w:rsid w:val="004A1363"/>
    <w:rsid w:val="004A2713"/>
    <w:rsid w:val="004A504B"/>
    <w:rsid w:val="004A5559"/>
    <w:rsid w:val="004A6911"/>
    <w:rsid w:val="004B046B"/>
    <w:rsid w:val="004B053E"/>
    <w:rsid w:val="004B54E0"/>
    <w:rsid w:val="004B59E5"/>
    <w:rsid w:val="004B7384"/>
    <w:rsid w:val="004C3224"/>
    <w:rsid w:val="004C4269"/>
    <w:rsid w:val="004D04F8"/>
    <w:rsid w:val="004D33CD"/>
    <w:rsid w:val="004D57D7"/>
    <w:rsid w:val="004D6236"/>
    <w:rsid w:val="004D6712"/>
    <w:rsid w:val="004D7F90"/>
    <w:rsid w:val="004D7FB8"/>
    <w:rsid w:val="004E3ECC"/>
    <w:rsid w:val="004E4DBB"/>
    <w:rsid w:val="004E4E41"/>
    <w:rsid w:val="004E4EB4"/>
    <w:rsid w:val="004E5E1D"/>
    <w:rsid w:val="004E7F9C"/>
    <w:rsid w:val="004F0383"/>
    <w:rsid w:val="004F3493"/>
    <w:rsid w:val="004F5143"/>
    <w:rsid w:val="005062E3"/>
    <w:rsid w:val="00512B09"/>
    <w:rsid w:val="00513F73"/>
    <w:rsid w:val="00520939"/>
    <w:rsid w:val="0052203E"/>
    <w:rsid w:val="005220ED"/>
    <w:rsid w:val="00530D90"/>
    <w:rsid w:val="00533796"/>
    <w:rsid w:val="00537343"/>
    <w:rsid w:val="00540510"/>
    <w:rsid w:val="00555D75"/>
    <w:rsid w:val="00557764"/>
    <w:rsid w:val="00557A9F"/>
    <w:rsid w:val="00560DF0"/>
    <w:rsid w:val="0056759C"/>
    <w:rsid w:val="0059513E"/>
    <w:rsid w:val="005955BA"/>
    <w:rsid w:val="005A1AC5"/>
    <w:rsid w:val="005A3BE9"/>
    <w:rsid w:val="005A6AA4"/>
    <w:rsid w:val="005A6D9F"/>
    <w:rsid w:val="005B028E"/>
    <w:rsid w:val="005B0F97"/>
    <w:rsid w:val="005B46E8"/>
    <w:rsid w:val="005B48FF"/>
    <w:rsid w:val="005B4FD3"/>
    <w:rsid w:val="005B6905"/>
    <w:rsid w:val="005B6B1F"/>
    <w:rsid w:val="005B7E89"/>
    <w:rsid w:val="005C29E0"/>
    <w:rsid w:val="005D2367"/>
    <w:rsid w:val="005D363F"/>
    <w:rsid w:val="005D4F84"/>
    <w:rsid w:val="005E05E3"/>
    <w:rsid w:val="005E08C6"/>
    <w:rsid w:val="005E1AFD"/>
    <w:rsid w:val="005E1FC9"/>
    <w:rsid w:val="005F41ED"/>
    <w:rsid w:val="00604C15"/>
    <w:rsid w:val="0060710D"/>
    <w:rsid w:val="006158D5"/>
    <w:rsid w:val="00616304"/>
    <w:rsid w:val="0062061F"/>
    <w:rsid w:val="00625D83"/>
    <w:rsid w:val="00626FF8"/>
    <w:rsid w:val="0062749D"/>
    <w:rsid w:val="006332B8"/>
    <w:rsid w:val="006468FA"/>
    <w:rsid w:val="00660857"/>
    <w:rsid w:val="006623E7"/>
    <w:rsid w:val="00662B80"/>
    <w:rsid w:val="00667FB2"/>
    <w:rsid w:val="00670F6C"/>
    <w:rsid w:val="00671189"/>
    <w:rsid w:val="006765B9"/>
    <w:rsid w:val="00676B0E"/>
    <w:rsid w:val="006835C0"/>
    <w:rsid w:val="00683C73"/>
    <w:rsid w:val="00684463"/>
    <w:rsid w:val="00684E04"/>
    <w:rsid w:val="006852C7"/>
    <w:rsid w:val="006852CE"/>
    <w:rsid w:val="00692D14"/>
    <w:rsid w:val="00696BEB"/>
    <w:rsid w:val="006B0773"/>
    <w:rsid w:val="006B1458"/>
    <w:rsid w:val="006B65C7"/>
    <w:rsid w:val="006B67BA"/>
    <w:rsid w:val="006C1727"/>
    <w:rsid w:val="006C2A20"/>
    <w:rsid w:val="006C32FD"/>
    <w:rsid w:val="006C39CE"/>
    <w:rsid w:val="006D0FCC"/>
    <w:rsid w:val="006D1973"/>
    <w:rsid w:val="006D21F5"/>
    <w:rsid w:val="006E126D"/>
    <w:rsid w:val="006E1FC3"/>
    <w:rsid w:val="006E5A5B"/>
    <w:rsid w:val="006E5AE3"/>
    <w:rsid w:val="006E5C18"/>
    <w:rsid w:val="006E7A7D"/>
    <w:rsid w:val="006F329D"/>
    <w:rsid w:val="006F47B0"/>
    <w:rsid w:val="006F579F"/>
    <w:rsid w:val="006F6B72"/>
    <w:rsid w:val="00702DCB"/>
    <w:rsid w:val="00704CE9"/>
    <w:rsid w:val="0070616B"/>
    <w:rsid w:val="00706295"/>
    <w:rsid w:val="00706FDA"/>
    <w:rsid w:val="00707855"/>
    <w:rsid w:val="00711F9A"/>
    <w:rsid w:val="00713810"/>
    <w:rsid w:val="00717B78"/>
    <w:rsid w:val="007224E6"/>
    <w:rsid w:val="007274B1"/>
    <w:rsid w:val="007303A5"/>
    <w:rsid w:val="00730605"/>
    <w:rsid w:val="00730B3E"/>
    <w:rsid w:val="00732932"/>
    <w:rsid w:val="0073420B"/>
    <w:rsid w:val="0074001E"/>
    <w:rsid w:val="00741161"/>
    <w:rsid w:val="00743B75"/>
    <w:rsid w:val="00744A61"/>
    <w:rsid w:val="007462A2"/>
    <w:rsid w:val="0074760E"/>
    <w:rsid w:val="00750D47"/>
    <w:rsid w:val="00754ABA"/>
    <w:rsid w:val="00754CE5"/>
    <w:rsid w:val="00761969"/>
    <w:rsid w:val="00763BB5"/>
    <w:rsid w:val="00770D23"/>
    <w:rsid w:val="00783CF7"/>
    <w:rsid w:val="00784EFA"/>
    <w:rsid w:val="007915AD"/>
    <w:rsid w:val="00791D4B"/>
    <w:rsid w:val="00794B6F"/>
    <w:rsid w:val="007968CA"/>
    <w:rsid w:val="007A1546"/>
    <w:rsid w:val="007A228C"/>
    <w:rsid w:val="007A368E"/>
    <w:rsid w:val="007A3C34"/>
    <w:rsid w:val="007A5868"/>
    <w:rsid w:val="007B04CE"/>
    <w:rsid w:val="007B5F6D"/>
    <w:rsid w:val="007B6871"/>
    <w:rsid w:val="007B7A2F"/>
    <w:rsid w:val="007C3D33"/>
    <w:rsid w:val="007D0473"/>
    <w:rsid w:val="007D294A"/>
    <w:rsid w:val="007D47D2"/>
    <w:rsid w:val="007D6EC0"/>
    <w:rsid w:val="007D7CE0"/>
    <w:rsid w:val="007D7E1D"/>
    <w:rsid w:val="007E197C"/>
    <w:rsid w:val="007E4DA1"/>
    <w:rsid w:val="007E6571"/>
    <w:rsid w:val="007E7274"/>
    <w:rsid w:val="007F2179"/>
    <w:rsid w:val="007F2B54"/>
    <w:rsid w:val="007F4024"/>
    <w:rsid w:val="00803996"/>
    <w:rsid w:val="00803ACF"/>
    <w:rsid w:val="00806F82"/>
    <w:rsid w:val="008137EE"/>
    <w:rsid w:val="0081476E"/>
    <w:rsid w:val="00816A13"/>
    <w:rsid w:val="00820775"/>
    <w:rsid w:val="008226E8"/>
    <w:rsid w:val="00822A43"/>
    <w:rsid w:val="008313C8"/>
    <w:rsid w:val="00831979"/>
    <w:rsid w:val="00832C5D"/>
    <w:rsid w:val="00837455"/>
    <w:rsid w:val="0084487F"/>
    <w:rsid w:val="008511E4"/>
    <w:rsid w:val="00851352"/>
    <w:rsid w:val="008523CA"/>
    <w:rsid w:val="00852680"/>
    <w:rsid w:val="008557D9"/>
    <w:rsid w:val="00857077"/>
    <w:rsid w:val="00863230"/>
    <w:rsid w:val="008651FB"/>
    <w:rsid w:val="00865BD0"/>
    <w:rsid w:val="00867F0D"/>
    <w:rsid w:val="008717D8"/>
    <w:rsid w:val="00871E36"/>
    <w:rsid w:val="0087215C"/>
    <w:rsid w:val="00875D25"/>
    <w:rsid w:val="00876790"/>
    <w:rsid w:val="00880E35"/>
    <w:rsid w:val="008833C7"/>
    <w:rsid w:val="00885598"/>
    <w:rsid w:val="008875FE"/>
    <w:rsid w:val="00887F8E"/>
    <w:rsid w:val="00896234"/>
    <w:rsid w:val="00897E43"/>
    <w:rsid w:val="008A0EBD"/>
    <w:rsid w:val="008A20CA"/>
    <w:rsid w:val="008A756E"/>
    <w:rsid w:val="008B210E"/>
    <w:rsid w:val="008B3BE5"/>
    <w:rsid w:val="008B41D3"/>
    <w:rsid w:val="008C295E"/>
    <w:rsid w:val="008C5738"/>
    <w:rsid w:val="008C75AE"/>
    <w:rsid w:val="008C7EAD"/>
    <w:rsid w:val="008D0CFE"/>
    <w:rsid w:val="008D4A4B"/>
    <w:rsid w:val="008D6152"/>
    <w:rsid w:val="008E180A"/>
    <w:rsid w:val="008E7BA9"/>
    <w:rsid w:val="008F0F81"/>
    <w:rsid w:val="008F22C7"/>
    <w:rsid w:val="008F27BF"/>
    <w:rsid w:val="008F525B"/>
    <w:rsid w:val="00911A3D"/>
    <w:rsid w:val="009142EC"/>
    <w:rsid w:val="009145BD"/>
    <w:rsid w:val="009154C3"/>
    <w:rsid w:val="0092039F"/>
    <w:rsid w:val="00920C32"/>
    <w:rsid w:val="00923540"/>
    <w:rsid w:val="00926767"/>
    <w:rsid w:val="009278DF"/>
    <w:rsid w:val="009361D5"/>
    <w:rsid w:val="009369DE"/>
    <w:rsid w:val="00937BD1"/>
    <w:rsid w:val="009428A4"/>
    <w:rsid w:val="00943942"/>
    <w:rsid w:val="00953491"/>
    <w:rsid w:val="00954A84"/>
    <w:rsid w:val="00963E1F"/>
    <w:rsid w:val="009651A4"/>
    <w:rsid w:val="009659F4"/>
    <w:rsid w:val="00966158"/>
    <w:rsid w:val="00970D60"/>
    <w:rsid w:val="00977C4B"/>
    <w:rsid w:val="00992861"/>
    <w:rsid w:val="00992EE2"/>
    <w:rsid w:val="0099390E"/>
    <w:rsid w:val="00994AF6"/>
    <w:rsid w:val="009960E5"/>
    <w:rsid w:val="009A0F2F"/>
    <w:rsid w:val="009A22F8"/>
    <w:rsid w:val="009A4B21"/>
    <w:rsid w:val="009A7ADC"/>
    <w:rsid w:val="009B0D30"/>
    <w:rsid w:val="009B1678"/>
    <w:rsid w:val="009B19F4"/>
    <w:rsid w:val="009B55A3"/>
    <w:rsid w:val="009C19B7"/>
    <w:rsid w:val="009C342A"/>
    <w:rsid w:val="009C413A"/>
    <w:rsid w:val="009C5ABB"/>
    <w:rsid w:val="009C70B6"/>
    <w:rsid w:val="009D35CE"/>
    <w:rsid w:val="009D5A71"/>
    <w:rsid w:val="009D7C51"/>
    <w:rsid w:val="009E196C"/>
    <w:rsid w:val="009E7648"/>
    <w:rsid w:val="009F2C3D"/>
    <w:rsid w:val="009F2C7C"/>
    <w:rsid w:val="009F36BF"/>
    <w:rsid w:val="009F5A10"/>
    <w:rsid w:val="009F63AE"/>
    <w:rsid w:val="009F683C"/>
    <w:rsid w:val="009F7FBA"/>
    <w:rsid w:val="00A04A1C"/>
    <w:rsid w:val="00A102D9"/>
    <w:rsid w:val="00A1074D"/>
    <w:rsid w:val="00A111B6"/>
    <w:rsid w:val="00A12B3A"/>
    <w:rsid w:val="00A26D27"/>
    <w:rsid w:val="00A376EE"/>
    <w:rsid w:val="00A42A99"/>
    <w:rsid w:val="00A45205"/>
    <w:rsid w:val="00A50CE5"/>
    <w:rsid w:val="00A5151A"/>
    <w:rsid w:val="00A53A53"/>
    <w:rsid w:val="00A5459E"/>
    <w:rsid w:val="00A57E0A"/>
    <w:rsid w:val="00A658C3"/>
    <w:rsid w:val="00A823F6"/>
    <w:rsid w:val="00A83A23"/>
    <w:rsid w:val="00A8719E"/>
    <w:rsid w:val="00A94782"/>
    <w:rsid w:val="00AA00AE"/>
    <w:rsid w:val="00AA07B9"/>
    <w:rsid w:val="00AA0A89"/>
    <w:rsid w:val="00AA11FB"/>
    <w:rsid w:val="00AA38C6"/>
    <w:rsid w:val="00AA3D6C"/>
    <w:rsid w:val="00AA6429"/>
    <w:rsid w:val="00AB08A7"/>
    <w:rsid w:val="00AC01AA"/>
    <w:rsid w:val="00AC07F2"/>
    <w:rsid w:val="00AC12DD"/>
    <w:rsid w:val="00AC4F72"/>
    <w:rsid w:val="00AE35D2"/>
    <w:rsid w:val="00AE3956"/>
    <w:rsid w:val="00AE3E66"/>
    <w:rsid w:val="00AE4836"/>
    <w:rsid w:val="00AF741A"/>
    <w:rsid w:val="00B01ADB"/>
    <w:rsid w:val="00B04161"/>
    <w:rsid w:val="00B056F9"/>
    <w:rsid w:val="00B0769F"/>
    <w:rsid w:val="00B117FE"/>
    <w:rsid w:val="00B11E3D"/>
    <w:rsid w:val="00B14432"/>
    <w:rsid w:val="00B1559B"/>
    <w:rsid w:val="00B17E82"/>
    <w:rsid w:val="00B20F09"/>
    <w:rsid w:val="00B2634E"/>
    <w:rsid w:val="00B31D57"/>
    <w:rsid w:val="00B332BE"/>
    <w:rsid w:val="00B338F0"/>
    <w:rsid w:val="00B36F7F"/>
    <w:rsid w:val="00B426D5"/>
    <w:rsid w:val="00B437E6"/>
    <w:rsid w:val="00B4500A"/>
    <w:rsid w:val="00B4575A"/>
    <w:rsid w:val="00B56867"/>
    <w:rsid w:val="00B575BA"/>
    <w:rsid w:val="00B60131"/>
    <w:rsid w:val="00B65989"/>
    <w:rsid w:val="00B70AFD"/>
    <w:rsid w:val="00B71608"/>
    <w:rsid w:val="00B72473"/>
    <w:rsid w:val="00B726A5"/>
    <w:rsid w:val="00B74578"/>
    <w:rsid w:val="00B76429"/>
    <w:rsid w:val="00B8103C"/>
    <w:rsid w:val="00B82FCD"/>
    <w:rsid w:val="00B83588"/>
    <w:rsid w:val="00B956D4"/>
    <w:rsid w:val="00B96E3D"/>
    <w:rsid w:val="00B97446"/>
    <w:rsid w:val="00B97B0B"/>
    <w:rsid w:val="00BA6E6C"/>
    <w:rsid w:val="00BA7432"/>
    <w:rsid w:val="00BB2764"/>
    <w:rsid w:val="00BB6816"/>
    <w:rsid w:val="00BC0F09"/>
    <w:rsid w:val="00BC1AA0"/>
    <w:rsid w:val="00BC2495"/>
    <w:rsid w:val="00BC2E9D"/>
    <w:rsid w:val="00BC5E3C"/>
    <w:rsid w:val="00BC7EB9"/>
    <w:rsid w:val="00BD2643"/>
    <w:rsid w:val="00BD56B1"/>
    <w:rsid w:val="00BD6558"/>
    <w:rsid w:val="00BD7909"/>
    <w:rsid w:val="00BE13D7"/>
    <w:rsid w:val="00BE4FF7"/>
    <w:rsid w:val="00BF2F76"/>
    <w:rsid w:val="00BF3022"/>
    <w:rsid w:val="00BF3214"/>
    <w:rsid w:val="00BF5573"/>
    <w:rsid w:val="00C009AC"/>
    <w:rsid w:val="00C043A1"/>
    <w:rsid w:val="00C10D22"/>
    <w:rsid w:val="00C11CF3"/>
    <w:rsid w:val="00C1525C"/>
    <w:rsid w:val="00C15867"/>
    <w:rsid w:val="00C220E6"/>
    <w:rsid w:val="00C2296D"/>
    <w:rsid w:val="00C23155"/>
    <w:rsid w:val="00C26814"/>
    <w:rsid w:val="00C308A6"/>
    <w:rsid w:val="00C30E74"/>
    <w:rsid w:val="00C37897"/>
    <w:rsid w:val="00C40457"/>
    <w:rsid w:val="00C40C41"/>
    <w:rsid w:val="00C415BC"/>
    <w:rsid w:val="00C439DB"/>
    <w:rsid w:val="00C45885"/>
    <w:rsid w:val="00C4773F"/>
    <w:rsid w:val="00C50197"/>
    <w:rsid w:val="00C50F22"/>
    <w:rsid w:val="00C53BEF"/>
    <w:rsid w:val="00C53C22"/>
    <w:rsid w:val="00C57971"/>
    <w:rsid w:val="00C63D0E"/>
    <w:rsid w:val="00C65BD7"/>
    <w:rsid w:val="00C74496"/>
    <w:rsid w:val="00C76BA4"/>
    <w:rsid w:val="00C81DBF"/>
    <w:rsid w:val="00C83A48"/>
    <w:rsid w:val="00C85865"/>
    <w:rsid w:val="00C85E85"/>
    <w:rsid w:val="00C90147"/>
    <w:rsid w:val="00C93EC9"/>
    <w:rsid w:val="00C967C1"/>
    <w:rsid w:val="00C96FD1"/>
    <w:rsid w:val="00CA0A5D"/>
    <w:rsid w:val="00CA2EAE"/>
    <w:rsid w:val="00CA4AC1"/>
    <w:rsid w:val="00CA6601"/>
    <w:rsid w:val="00CA72DA"/>
    <w:rsid w:val="00CA797F"/>
    <w:rsid w:val="00CA7CC7"/>
    <w:rsid w:val="00CB0316"/>
    <w:rsid w:val="00CB0B11"/>
    <w:rsid w:val="00CB2123"/>
    <w:rsid w:val="00CB253A"/>
    <w:rsid w:val="00CB426A"/>
    <w:rsid w:val="00CB499C"/>
    <w:rsid w:val="00CB5354"/>
    <w:rsid w:val="00CB605D"/>
    <w:rsid w:val="00CB7538"/>
    <w:rsid w:val="00CC2F06"/>
    <w:rsid w:val="00CC3C9E"/>
    <w:rsid w:val="00CC6A14"/>
    <w:rsid w:val="00CC70A3"/>
    <w:rsid w:val="00CD23FD"/>
    <w:rsid w:val="00CD3CC0"/>
    <w:rsid w:val="00CD4314"/>
    <w:rsid w:val="00CD4442"/>
    <w:rsid w:val="00CD53C3"/>
    <w:rsid w:val="00CD574E"/>
    <w:rsid w:val="00CE1A35"/>
    <w:rsid w:val="00CE38D1"/>
    <w:rsid w:val="00CE4C22"/>
    <w:rsid w:val="00CE542D"/>
    <w:rsid w:val="00CF3901"/>
    <w:rsid w:val="00CF41EC"/>
    <w:rsid w:val="00CF5D04"/>
    <w:rsid w:val="00CF64A1"/>
    <w:rsid w:val="00D0110D"/>
    <w:rsid w:val="00D02854"/>
    <w:rsid w:val="00D04DE4"/>
    <w:rsid w:val="00D063F1"/>
    <w:rsid w:val="00D07AF4"/>
    <w:rsid w:val="00D14223"/>
    <w:rsid w:val="00D14F22"/>
    <w:rsid w:val="00D16C07"/>
    <w:rsid w:val="00D17998"/>
    <w:rsid w:val="00D2081F"/>
    <w:rsid w:val="00D2209C"/>
    <w:rsid w:val="00D4741C"/>
    <w:rsid w:val="00D53665"/>
    <w:rsid w:val="00D57918"/>
    <w:rsid w:val="00D6561F"/>
    <w:rsid w:val="00D65959"/>
    <w:rsid w:val="00D6596D"/>
    <w:rsid w:val="00D711B6"/>
    <w:rsid w:val="00D73B19"/>
    <w:rsid w:val="00D73DC6"/>
    <w:rsid w:val="00D74025"/>
    <w:rsid w:val="00D7446D"/>
    <w:rsid w:val="00D74C1A"/>
    <w:rsid w:val="00D7547E"/>
    <w:rsid w:val="00D754C1"/>
    <w:rsid w:val="00D76D69"/>
    <w:rsid w:val="00D77393"/>
    <w:rsid w:val="00D77A35"/>
    <w:rsid w:val="00D77DC2"/>
    <w:rsid w:val="00D81B3E"/>
    <w:rsid w:val="00D82829"/>
    <w:rsid w:val="00D834B1"/>
    <w:rsid w:val="00D84FEA"/>
    <w:rsid w:val="00D87287"/>
    <w:rsid w:val="00D9037A"/>
    <w:rsid w:val="00D90C70"/>
    <w:rsid w:val="00D90E49"/>
    <w:rsid w:val="00D96ADE"/>
    <w:rsid w:val="00DA0CE2"/>
    <w:rsid w:val="00DA2FE5"/>
    <w:rsid w:val="00DA6A9B"/>
    <w:rsid w:val="00DB1011"/>
    <w:rsid w:val="00DB6B86"/>
    <w:rsid w:val="00DC23AC"/>
    <w:rsid w:val="00DC2724"/>
    <w:rsid w:val="00DC6A10"/>
    <w:rsid w:val="00DD01EF"/>
    <w:rsid w:val="00DE238E"/>
    <w:rsid w:val="00DE53B6"/>
    <w:rsid w:val="00DE657E"/>
    <w:rsid w:val="00DE6CF4"/>
    <w:rsid w:val="00DF0142"/>
    <w:rsid w:val="00DF4704"/>
    <w:rsid w:val="00DF50F8"/>
    <w:rsid w:val="00DF5EAF"/>
    <w:rsid w:val="00DF735C"/>
    <w:rsid w:val="00DF7811"/>
    <w:rsid w:val="00E01FBD"/>
    <w:rsid w:val="00E024AA"/>
    <w:rsid w:val="00E058AA"/>
    <w:rsid w:val="00E1260C"/>
    <w:rsid w:val="00E15C77"/>
    <w:rsid w:val="00E16C51"/>
    <w:rsid w:val="00E207DA"/>
    <w:rsid w:val="00E220AC"/>
    <w:rsid w:val="00E23A9F"/>
    <w:rsid w:val="00E250F1"/>
    <w:rsid w:val="00E33E23"/>
    <w:rsid w:val="00E3550D"/>
    <w:rsid w:val="00E4394C"/>
    <w:rsid w:val="00E461A1"/>
    <w:rsid w:val="00E46D07"/>
    <w:rsid w:val="00E51156"/>
    <w:rsid w:val="00E52838"/>
    <w:rsid w:val="00E56B15"/>
    <w:rsid w:val="00E614E0"/>
    <w:rsid w:val="00E62634"/>
    <w:rsid w:val="00E62A2B"/>
    <w:rsid w:val="00E671D9"/>
    <w:rsid w:val="00E712A1"/>
    <w:rsid w:val="00E72A4E"/>
    <w:rsid w:val="00E73921"/>
    <w:rsid w:val="00E73F7F"/>
    <w:rsid w:val="00E77735"/>
    <w:rsid w:val="00E81F40"/>
    <w:rsid w:val="00E85409"/>
    <w:rsid w:val="00E95129"/>
    <w:rsid w:val="00EA23DD"/>
    <w:rsid w:val="00EA429F"/>
    <w:rsid w:val="00EA45E1"/>
    <w:rsid w:val="00EA4C38"/>
    <w:rsid w:val="00EA4F9E"/>
    <w:rsid w:val="00EA63CA"/>
    <w:rsid w:val="00EA6D3B"/>
    <w:rsid w:val="00EB00AD"/>
    <w:rsid w:val="00EB136C"/>
    <w:rsid w:val="00EB32DE"/>
    <w:rsid w:val="00EB480E"/>
    <w:rsid w:val="00EB5EC6"/>
    <w:rsid w:val="00EB63E6"/>
    <w:rsid w:val="00EB7FC9"/>
    <w:rsid w:val="00EC35D8"/>
    <w:rsid w:val="00EC48CD"/>
    <w:rsid w:val="00EC724E"/>
    <w:rsid w:val="00ED0CCB"/>
    <w:rsid w:val="00ED27E8"/>
    <w:rsid w:val="00ED33D7"/>
    <w:rsid w:val="00ED55EA"/>
    <w:rsid w:val="00ED6351"/>
    <w:rsid w:val="00ED7137"/>
    <w:rsid w:val="00ED74CF"/>
    <w:rsid w:val="00EE0DD9"/>
    <w:rsid w:val="00EE47BA"/>
    <w:rsid w:val="00EE4DD4"/>
    <w:rsid w:val="00EE5055"/>
    <w:rsid w:val="00EE55FE"/>
    <w:rsid w:val="00EF06EA"/>
    <w:rsid w:val="00EF1876"/>
    <w:rsid w:val="00EF412B"/>
    <w:rsid w:val="00F015D4"/>
    <w:rsid w:val="00F038F6"/>
    <w:rsid w:val="00F03D4E"/>
    <w:rsid w:val="00F047CB"/>
    <w:rsid w:val="00F10D7B"/>
    <w:rsid w:val="00F21088"/>
    <w:rsid w:val="00F327E7"/>
    <w:rsid w:val="00F35746"/>
    <w:rsid w:val="00F36546"/>
    <w:rsid w:val="00F408AC"/>
    <w:rsid w:val="00F447C7"/>
    <w:rsid w:val="00F459B4"/>
    <w:rsid w:val="00F462F1"/>
    <w:rsid w:val="00F5211B"/>
    <w:rsid w:val="00F528E2"/>
    <w:rsid w:val="00F54E8A"/>
    <w:rsid w:val="00F5513D"/>
    <w:rsid w:val="00F554A9"/>
    <w:rsid w:val="00F55516"/>
    <w:rsid w:val="00F62287"/>
    <w:rsid w:val="00F645A4"/>
    <w:rsid w:val="00F674BC"/>
    <w:rsid w:val="00F711E6"/>
    <w:rsid w:val="00F716FD"/>
    <w:rsid w:val="00F743BD"/>
    <w:rsid w:val="00F80355"/>
    <w:rsid w:val="00F84F86"/>
    <w:rsid w:val="00F87C43"/>
    <w:rsid w:val="00F95EB6"/>
    <w:rsid w:val="00F9680B"/>
    <w:rsid w:val="00FA4BF1"/>
    <w:rsid w:val="00FA5722"/>
    <w:rsid w:val="00FA752A"/>
    <w:rsid w:val="00FB0C81"/>
    <w:rsid w:val="00FB5E2A"/>
    <w:rsid w:val="00FC2200"/>
    <w:rsid w:val="00FC2540"/>
    <w:rsid w:val="00FC2DDE"/>
    <w:rsid w:val="00FC7E4E"/>
    <w:rsid w:val="00FD03F6"/>
    <w:rsid w:val="00FD4CC6"/>
    <w:rsid w:val="00FE2312"/>
    <w:rsid w:val="00FE3E09"/>
    <w:rsid w:val="00FF0204"/>
    <w:rsid w:val="00FF07E8"/>
    <w:rsid w:val="00FF28BB"/>
    <w:rsid w:val="00FF3AED"/>
    <w:rsid w:val="00FF7D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198"/>
  <w15:docId w15:val="{388FCB38-DD9D-4DCC-A73E-02D3AF01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s-ES"/>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ListParagraph">
    <w:name w:val="List Paragraph"/>
    <w:basedOn w:val="Normal"/>
    <w:uiPriority w:val="34"/>
    <w:qFormat/>
    <w:rsid w:val="00D76D69"/>
    <w:pPr>
      <w:ind w:left="720"/>
      <w:contextualSpacing/>
    </w:pPr>
  </w:style>
  <w:style w:type="table" w:customStyle="1" w:styleId="TableGrid10">
    <w:name w:val="Table Grid1"/>
    <w:basedOn w:val="TableNormal"/>
    <w:next w:val="TableGrid"/>
    <w:uiPriority w:val="59"/>
    <w:rsid w:val="00ED74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E35D2"/>
    <w:rPr>
      <w:sz w:val="22"/>
      <w:szCs w:val="22"/>
      <w:lang w:val="es-ES"/>
    </w:rPr>
  </w:style>
  <w:style w:type="character" w:customStyle="1" w:styleId="Heading4Char">
    <w:name w:val="Heading 4 Char"/>
    <w:aliases w:val="Heading 11 Char,para 4 Char,Título 41 Char,heading 4 Char,Heading 41 Char,标题 41 Char"/>
    <w:basedOn w:val="DefaultParagraphFont"/>
    <w:link w:val="Heading4"/>
    <w:rsid w:val="00AE35D2"/>
    <w:rPr>
      <w:sz w:val="22"/>
      <w:szCs w:val="22"/>
      <w:lang w:val="es-ES"/>
    </w:rPr>
  </w:style>
  <w:style w:type="character" w:customStyle="1" w:styleId="Heading5Char">
    <w:name w:val="Heading 5 Char"/>
    <w:basedOn w:val="DefaultParagraphFont"/>
    <w:link w:val="Heading5"/>
    <w:rsid w:val="00AE35D2"/>
    <w:rPr>
      <w:sz w:val="22"/>
      <w:szCs w:val="22"/>
      <w:lang w:val="es-ES"/>
    </w:rPr>
  </w:style>
  <w:style w:type="character" w:customStyle="1" w:styleId="Heading6Char">
    <w:name w:val="Heading 6 Char"/>
    <w:basedOn w:val="DefaultParagraphFont"/>
    <w:link w:val="Heading6"/>
    <w:rsid w:val="00AE35D2"/>
    <w:rPr>
      <w:rFonts w:ascii="Arial" w:hAnsi="Arial"/>
      <w:i/>
      <w:sz w:val="22"/>
      <w:szCs w:val="22"/>
      <w:lang w:val="es-ES"/>
    </w:rPr>
  </w:style>
  <w:style w:type="character" w:customStyle="1" w:styleId="Heading7Char">
    <w:name w:val="Heading 7 Char"/>
    <w:basedOn w:val="DefaultParagraphFont"/>
    <w:link w:val="Heading7"/>
    <w:rsid w:val="00AE35D2"/>
    <w:rPr>
      <w:rFonts w:ascii="Arial" w:hAnsi="Arial"/>
      <w:sz w:val="22"/>
      <w:szCs w:val="22"/>
      <w:lang w:val="es-ES"/>
    </w:rPr>
  </w:style>
  <w:style w:type="character" w:customStyle="1" w:styleId="Heading8Char">
    <w:name w:val="Heading 8 Char"/>
    <w:basedOn w:val="DefaultParagraphFont"/>
    <w:link w:val="Heading8"/>
    <w:rsid w:val="00AE35D2"/>
    <w:rPr>
      <w:b/>
      <w:sz w:val="22"/>
      <w:szCs w:val="22"/>
      <w:lang w:val="es-ES"/>
    </w:rPr>
  </w:style>
  <w:style w:type="character" w:customStyle="1" w:styleId="Heading9Char">
    <w:name w:val="Heading 9 Char"/>
    <w:basedOn w:val="DefaultParagraphFont"/>
    <w:link w:val="Heading9"/>
    <w:rsid w:val="00AE35D2"/>
    <w:rPr>
      <w:rFonts w:ascii="Arial" w:hAnsi="Arial"/>
      <w:i/>
      <w:sz w:val="18"/>
      <w:szCs w:val="22"/>
      <w:lang w:val="es-ES"/>
    </w:rPr>
  </w:style>
  <w:style w:type="numbering" w:customStyle="1" w:styleId="1111111">
    <w:name w:val="1 / 1.1 / 1.1.11"/>
    <w:basedOn w:val="NoList"/>
    <w:next w:val="111111"/>
    <w:semiHidden/>
    <w:rsid w:val="00AE35D2"/>
  </w:style>
  <w:style w:type="character" w:customStyle="1" w:styleId="HeaderChar">
    <w:name w:val="Header Char"/>
    <w:basedOn w:val="DefaultParagraphFont"/>
    <w:link w:val="Header"/>
    <w:rsid w:val="00AE35D2"/>
    <w:rPr>
      <w:sz w:val="22"/>
      <w:szCs w:val="22"/>
      <w:lang w:val="es-ES"/>
    </w:rPr>
  </w:style>
  <w:style w:type="character" w:customStyle="1" w:styleId="FooterChar">
    <w:name w:val="Footer Char"/>
    <w:basedOn w:val="DefaultParagraphFont"/>
    <w:link w:val="Footer"/>
    <w:uiPriority w:val="99"/>
    <w:rsid w:val="00AE35D2"/>
    <w:rPr>
      <w:sz w:val="22"/>
      <w:szCs w:val="22"/>
      <w:lang w:val="es-ES"/>
    </w:rPr>
  </w:style>
  <w:style w:type="numbering" w:customStyle="1" w:styleId="1ai1">
    <w:name w:val="1 / a / i1"/>
    <w:basedOn w:val="NoList"/>
    <w:next w:val="1ai"/>
    <w:semiHidden/>
    <w:rsid w:val="00AE35D2"/>
  </w:style>
  <w:style w:type="numbering" w:customStyle="1" w:styleId="ArticleSection1">
    <w:name w:val="Article / Section1"/>
    <w:basedOn w:val="NoList"/>
    <w:next w:val="ArticleSection"/>
    <w:semiHidden/>
    <w:rsid w:val="00AE35D2"/>
  </w:style>
  <w:style w:type="character" w:customStyle="1" w:styleId="BodyText3Char">
    <w:name w:val="Body Text 3 Char"/>
    <w:basedOn w:val="DefaultParagraphFont"/>
    <w:link w:val="BodyText3"/>
    <w:semiHidden/>
    <w:rsid w:val="00AE35D2"/>
    <w:rPr>
      <w:sz w:val="16"/>
      <w:szCs w:val="16"/>
      <w:lang w:val="es-ES"/>
    </w:rPr>
  </w:style>
  <w:style w:type="character" w:customStyle="1" w:styleId="BodyTextIndent3Char">
    <w:name w:val="Body Text Indent 3 Char"/>
    <w:basedOn w:val="DefaultParagraphFont"/>
    <w:link w:val="BodyTextIndent3"/>
    <w:semiHidden/>
    <w:rsid w:val="00AE35D2"/>
    <w:rPr>
      <w:sz w:val="16"/>
      <w:szCs w:val="16"/>
      <w:lang w:val="es-ES"/>
    </w:rPr>
  </w:style>
  <w:style w:type="character" w:customStyle="1" w:styleId="PlainTextChar">
    <w:name w:val="Plain Text Char"/>
    <w:basedOn w:val="DefaultParagraphFont"/>
    <w:link w:val="PlainText"/>
    <w:semiHidden/>
    <w:rsid w:val="00AE35D2"/>
    <w:rPr>
      <w:rFonts w:ascii="Courier New" w:hAnsi="Courier New" w:cs="Courier New"/>
      <w:szCs w:val="22"/>
      <w:lang w:val="es-ES"/>
    </w:rPr>
  </w:style>
  <w:style w:type="character" w:customStyle="1" w:styleId="SubtitleChar">
    <w:name w:val="Subtitle Char"/>
    <w:basedOn w:val="DefaultParagraphFont"/>
    <w:link w:val="Subtitle"/>
    <w:rsid w:val="00AE35D2"/>
    <w:rPr>
      <w:rFonts w:ascii="Arial" w:hAnsi="Arial" w:cs="Arial"/>
      <w:sz w:val="22"/>
      <w:szCs w:val="22"/>
      <w:lang w:val="es-ES"/>
    </w:rPr>
  </w:style>
  <w:style w:type="character" w:customStyle="1" w:styleId="TitleChar">
    <w:name w:val="Title Char"/>
    <w:basedOn w:val="DefaultParagraphFont"/>
    <w:link w:val="Title"/>
    <w:rsid w:val="00AE35D2"/>
    <w:rPr>
      <w:rFonts w:ascii="Arial" w:hAnsi="Arial" w:cs="Arial"/>
      <w:b/>
      <w:bCs/>
      <w:kern w:val="28"/>
      <w:sz w:val="22"/>
      <w:szCs w:val="22"/>
      <w:lang w:val="es-ES"/>
    </w:rPr>
  </w:style>
  <w:style w:type="character" w:customStyle="1" w:styleId="DateChar">
    <w:name w:val="Date Char"/>
    <w:basedOn w:val="DefaultParagraphFont"/>
    <w:link w:val="Date"/>
    <w:rsid w:val="00AE35D2"/>
    <w:rPr>
      <w:sz w:val="22"/>
      <w:szCs w:val="22"/>
      <w:lang w:val="es-ES"/>
    </w:rPr>
  </w:style>
  <w:style w:type="paragraph" w:customStyle="1" w:styleId="Footer1">
    <w:name w:val="Footer1"/>
    <w:basedOn w:val="Normal"/>
    <w:rsid w:val="00AE35D2"/>
    <w:pPr>
      <w:widowControl w:val="0"/>
      <w:tabs>
        <w:tab w:val="center" w:pos="4320"/>
        <w:tab w:val="right" w:pos="8640"/>
        <w:tab w:val="left" w:pos="9000"/>
      </w:tabs>
      <w:jc w:val="left"/>
    </w:pPr>
    <w:rPr>
      <w:snapToGrid w:val="0"/>
      <w:sz w:val="20"/>
      <w:szCs w:val="20"/>
    </w:rPr>
  </w:style>
  <w:style w:type="paragraph" w:styleId="Revision">
    <w:name w:val="Revision"/>
    <w:hidden/>
    <w:uiPriority w:val="99"/>
    <w:semiHidden/>
    <w:rsid w:val="00AE35D2"/>
    <w:rPr>
      <w:sz w:val="22"/>
      <w:szCs w:val="22"/>
    </w:rPr>
  </w:style>
  <w:style w:type="character" w:styleId="Hyperlink">
    <w:name w:val="Hyperlink"/>
    <w:basedOn w:val="DefaultParagraphFont"/>
    <w:uiPriority w:val="99"/>
    <w:unhideWhenUsed/>
    <w:rsid w:val="00AE35D2"/>
    <w:rPr>
      <w:color w:val="0000FF" w:themeColor="hyperlink"/>
      <w:u w:val="single"/>
    </w:rPr>
  </w:style>
  <w:style w:type="table" w:customStyle="1" w:styleId="GridTable1Light-Accent11">
    <w:name w:val="Grid Table 1 Light - Accent 11"/>
    <w:basedOn w:val="TableNormal"/>
    <w:uiPriority w:val="46"/>
    <w:rsid w:val="006D1973"/>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xmsonormal">
    <w:name w:val="x_x_msonormal"/>
    <w:basedOn w:val="Normal"/>
    <w:rsid w:val="009F5A10"/>
    <w:pPr>
      <w:jc w:val="left"/>
    </w:pPr>
    <w:rPr>
      <w:rFonts w:eastAsiaTheme="minorHAnsi"/>
      <w:sz w:val="24"/>
      <w:szCs w:val="24"/>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
    <w:qFormat/>
    <w:rsid w:val="00696B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8671">
      <w:bodyDiv w:val="1"/>
      <w:marLeft w:val="0"/>
      <w:marRight w:val="0"/>
      <w:marTop w:val="0"/>
      <w:marBottom w:val="0"/>
      <w:divBdr>
        <w:top w:val="none" w:sz="0" w:space="0" w:color="auto"/>
        <w:left w:val="none" w:sz="0" w:space="0" w:color="auto"/>
        <w:bottom w:val="none" w:sz="0" w:space="0" w:color="auto"/>
        <w:right w:val="none" w:sz="0" w:space="0" w:color="auto"/>
      </w:divBdr>
    </w:div>
    <w:div w:id="327950722">
      <w:bodyDiv w:val="1"/>
      <w:marLeft w:val="0"/>
      <w:marRight w:val="0"/>
      <w:marTop w:val="0"/>
      <w:marBottom w:val="0"/>
      <w:divBdr>
        <w:top w:val="none" w:sz="0" w:space="0" w:color="auto"/>
        <w:left w:val="none" w:sz="0" w:space="0" w:color="auto"/>
        <w:bottom w:val="none" w:sz="0" w:space="0" w:color="auto"/>
        <w:right w:val="none" w:sz="0" w:space="0" w:color="auto"/>
      </w:divBdr>
    </w:div>
    <w:div w:id="581570871">
      <w:bodyDiv w:val="1"/>
      <w:marLeft w:val="0"/>
      <w:marRight w:val="0"/>
      <w:marTop w:val="0"/>
      <w:marBottom w:val="0"/>
      <w:divBdr>
        <w:top w:val="none" w:sz="0" w:space="0" w:color="auto"/>
        <w:left w:val="none" w:sz="0" w:space="0" w:color="auto"/>
        <w:bottom w:val="none" w:sz="0" w:space="0" w:color="auto"/>
        <w:right w:val="none" w:sz="0" w:space="0" w:color="auto"/>
      </w:divBdr>
    </w:div>
    <w:div w:id="728572347">
      <w:bodyDiv w:val="1"/>
      <w:marLeft w:val="0"/>
      <w:marRight w:val="0"/>
      <w:marTop w:val="0"/>
      <w:marBottom w:val="0"/>
      <w:divBdr>
        <w:top w:val="none" w:sz="0" w:space="0" w:color="auto"/>
        <w:left w:val="none" w:sz="0" w:space="0" w:color="auto"/>
        <w:bottom w:val="none" w:sz="0" w:space="0" w:color="auto"/>
        <w:right w:val="none" w:sz="0" w:space="0" w:color="auto"/>
      </w:divBdr>
    </w:div>
    <w:div w:id="981927494">
      <w:bodyDiv w:val="1"/>
      <w:marLeft w:val="0"/>
      <w:marRight w:val="0"/>
      <w:marTop w:val="0"/>
      <w:marBottom w:val="0"/>
      <w:divBdr>
        <w:top w:val="none" w:sz="0" w:space="0" w:color="auto"/>
        <w:left w:val="none" w:sz="0" w:space="0" w:color="auto"/>
        <w:bottom w:val="none" w:sz="0" w:space="0" w:color="auto"/>
        <w:right w:val="none" w:sz="0" w:space="0" w:color="auto"/>
      </w:divBdr>
    </w:div>
    <w:div w:id="1241017483">
      <w:bodyDiv w:val="1"/>
      <w:marLeft w:val="0"/>
      <w:marRight w:val="0"/>
      <w:marTop w:val="0"/>
      <w:marBottom w:val="0"/>
      <w:divBdr>
        <w:top w:val="none" w:sz="0" w:space="0" w:color="auto"/>
        <w:left w:val="none" w:sz="0" w:space="0" w:color="auto"/>
        <w:bottom w:val="none" w:sz="0" w:space="0" w:color="auto"/>
        <w:right w:val="none" w:sz="0" w:space="0" w:color="auto"/>
      </w:divBdr>
    </w:div>
    <w:div w:id="1448543390">
      <w:bodyDiv w:val="1"/>
      <w:marLeft w:val="0"/>
      <w:marRight w:val="0"/>
      <w:marTop w:val="0"/>
      <w:marBottom w:val="0"/>
      <w:divBdr>
        <w:top w:val="none" w:sz="0" w:space="0" w:color="auto"/>
        <w:left w:val="none" w:sz="0" w:space="0" w:color="auto"/>
        <w:bottom w:val="none" w:sz="0" w:space="0" w:color="auto"/>
        <w:right w:val="none" w:sz="0" w:space="0" w:color="auto"/>
      </w:divBdr>
    </w:div>
    <w:div w:id="178253265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UNEP/OzL.Pro/ExCom/87/25</Document_x0020_Number>
  </documentManagement>
</p:properties>
</file>

<file path=customXml/itemProps1.xml><?xml version="1.0" encoding="utf-8"?>
<ds:datastoreItem xmlns:ds="http://schemas.openxmlformats.org/officeDocument/2006/customXml" ds:itemID="{DA2786AF-D708-4A19-8D37-75D4D0C9EE0A}"/>
</file>

<file path=customXml/itemProps2.xml><?xml version="1.0" encoding="utf-8"?>
<ds:datastoreItem xmlns:ds="http://schemas.openxmlformats.org/officeDocument/2006/customXml" ds:itemID="{9526E109-CAC5-408D-9491-64EBD4163930}"/>
</file>

<file path=customXml/itemProps3.xml><?xml version="1.0" encoding="utf-8"?>
<ds:datastoreItem xmlns:ds="http://schemas.openxmlformats.org/officeDocument/2006/customXml" ds:itemID="{88063D18-03CE-45A7-AE63-70BF237F6184}"/>
</file>

<file path=customXml/itemProps4.xml><?xml version="1.0" encoding="utf-8"?>
<ds:datastoreItem xmlns:ds="http://schemas.openxmlformats.org/officeDocument/2006/customXml" ds:itemID="{268FA5D8-7216-4EFB-A716-1002DB7A687F}"/>
</file>

<file path=docProps/app.xml><?xml version="1.0" encoding="utf-8"?>
<Properties xmlns="http://schemas.openxmlformats.org/officeDocument/2006/extended-properties" xmlns:vt="http://schemas.openxmlformats.org/officeDocument/2006/docPropsVTypes">
  <Template>Normal</Template>
  <TotalTime>17</TotalTime>
  <Pages>13</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Propuesta de proyecto: Egipto</vt:lpstr>
    </vt:vector>
  </TitlesOfParts>
  <Company>UNMFS</Company>
  <LinksUpToDate>false</LinksUpToDate>
  <CharactersWithSpaces>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Egipto</dc:title>
  <dc:creator>Dominika Anna Suwik</dc:creator>
  <cp:lastModifiedBy>HB</cp:lastModifiedBy>
  <cp:revision>9</cp:revision>
  <cp:lastPrinted>2001-05-26T16:40:00Z</cp:lastPrinted>
  <dcterms:created xsi:type="dcterms:W3CDTF">2021-06-15T20:29:00Z</dcterms:created>
  <dcterms:modified xsi:type="dcterms:W3CDTF">2021-06-22T02:31:00Z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UNEP/OzL.Pro/ExCom/87/25</vt:lpwstr>
  </property>
  <property fmtid="{D5CDD505-2E9C-101B-9397-08002B2CF9AE}" pid="3" name="Revision date">
    <vt:lpwstr>6/15/2021</vt:lpwstr>
  </property>
  <property fmtid="{D5CDD505-2E9C-101B-9397-08002B2CF9AE}" pid="4" name="ContentTypeId">
    <vt:lpwstr>0x010100ACD79882E53CBD488ABE60AC614F6D01</vt:lpwstr>
  </property>
</Properties>
</file>