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2" w:type="dxa"/>
        <w:tblInd w:w="-432" w:type="dxa"/>
        <w:tblLayout w:type="fixed"/>
        <w:tblLook w:val="0000" w:firstRow="0" w:lastRow="0" w:firstColumn="0" w:lastColumn="0" w:noHBand="0" w:noVBand="0"/>
      </w:tblPr>
      <w:tblGrid>
        <w:gridCol w:w="2070"/>
        <w:gridCol w:w="3942"/>
        <w:gridCol w:w="4590"/>
      </w:tblGrid>
      <w:tr w:rsidR="00C15867" w:rsidRPr="00B924EB" w14:paraId="4F63FD17" w14:textId="77777777" w:rsidTr="001B79A2">
        <w:trPr>
          <w:trHeight w:val="720"/>
        </w:trPr>
        <w:tc>
          <w:tcPr>
            <w:tcW w:w="6012" w:type="dxa"/>
            <w:gridSpan w:val="2"/>
            <w:tcBorders>
              <w:bottom w:val="single" w:sz="18" w:space="0" w:color="auto"/>
            </w:tcBorders>
          </w:tcPr>
          <w:p w14:paraId="6954A977" w14:textId="6378B520" w:rsidR="00C15867" w:rsidRPr="00B924EB" w:rsidRDefault="00755C5D" w:rsidP="00755C5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sz w:val="28"/>
                <w:szCs w:val="28"/>
                <w:lang w:val="es-ES_tradnl"/>
              </w:rPr>
            </w:pPr>
            <w:r w:rsidRPr="00B924EB">
              <w:rPr>
                <w:rFonts w:ascii="Univers" w:hAnsi="Univers"/>
                <w:b/>
                <w:sz w:val="28"/>
                <w:szCs w:val="28"/>
                <w:lang w:val="es-ES_tradnl"/>
              </w:rPr>
              <w:t>NACIONES</w:t>
            </w:r>
            <w:r w:rsidRPr="00B924EB">
              <w:rPr>
                <w:rFonts w:ascii="Univers" w:hAnsi="Univers"/>
                <w:b/>
                <w:sz w:val="28"/>
                <w:szCs w:val="28"/>
                <w:lang w:val="es-ES_tradnl"/>
              </w:rPr>
              <w:br/>
              <w:t>UNIDAS</w:t>
            </w:r>
          </w:p>
        </w:tc>
        <w:tc>
          <w:tcPr>
            <w:tcW w:w="4590" w:type="dxa"/>
            <w:tcBorders>
              <w:bottom w:val="single" w:sz="18" w:space="0" w:color="auto"/>
            </w:tcBorders>
          </w:tcPr>
          <w:p w14:paraId="6FF61A83" w14:textId="77777777" w:rsidR="00C15867" w:rsidRPr="00B924EB" w:rsidRDefault="00C15867" w:rsidP="00E02DF4">
            <w:pPr>
              <w:jc w:val="right"/>
              <w:rPr>
                <w:sz w:val="52"/>
                <w:szCs w:val="52"/>
                <w:lang w:val="es-ES_tradnl"/>
              </w:rPr>
            </w:pPr>
            <w:r w:rsidRPr="00B924EB">
              <w:rPr>
                <w:rFonts w:ascii="Univers Bold" w:hAnsi="Univers Bold"/>
                <w:b/>
                <w:sz w:val="72"/>
                <w:lang w:val="es-ES_tradnl"/>
              </w:rPr>
              <w:t>EP</w:t>
            </w:r>
          </w:p>
        </w:tc>
      </w:tr>
      <w:tr w:rsidR="00C15867" w:rsidRPr="00B924EB" w14:paraId="13BB206C" w14:textId="77777777" w:rsidTr="001B7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9F12B9A" w14:textId="77777777" w:rsidR="00C15867" w:rsidRPr="00B924EB" w:rsidRDefault="00E52838" w:rsidP="00E02DF4">
            <w:pPr>
              <w:spacing w:before="120"/>
              <w:rPr>
                <w:lang w:val="es-ES_tradnl"/>
              </w:rPr>
            </w:pPr>
            <w:r w:rsidRPr="00B924EB">
              <w:rPr>
                <w:noProof/>
                <w:lang w:val="en-US"/>
              </w:rPr>
              <mc:AlternateContent>
                <mc:Choice Requires="wpg">
                  <w:drawing>
                    <wp:anchor distT="0" distB="0" distL="114300" distR="114300" simplePos="0" relativeHeight="251660288" behindDoc="0" locked="0" layoutInCell="1" allowOverlap="1" wp14:anchorId="705FCFAB" wp14:editId="26AED32D">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1ADF84F9"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942" w:type="dxa"/>
            <w:tcBorders>
              <w:top w:val="nil"/>
              <w:left w:val="nil"/>
              <w:bottom w:val="single" w:sz="36" w:space="0" w:color="auto"/>
              <w:right w:val="nil"/>
            </w:tcBorders>
          </w:tcPr>
          <w:p w14:paraId="6D9DBF08" w14:textId="77777777" w:rsidR="001B79A2" w:rsidRDefault="001B79A2" w:rsidP="00E02D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ES_tradnl"/>
              </w:rPr>
            </w:pPr>
          </w:p>
          <w:p w14:paraId="70504BC3" w14:textId="598565C3" w:rsidR="00755C5D" w:rsidRPr="00B924EB" w:rsidRDefault="00755C5D" w:rsidP="00E02D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s-ES_tradnl"/>
              </w:rPr>
            </w:pPr>
            <w:r w:rsidRPr="00B924EB">
              <w:rPr>
                <w:rFonts w:ascii="Univers" w:hAnsi="Univers"/>
                <w:b/>
                <w:sz w:val="32"/>
                <w:lang w:val="es-ES_tradnl"/>
              </w:rPr>
              <w:t>Programa</w:t>
            </w:r>
            <w:r w:rsidR="00A13BEA" w:rsidRPr="00B924EB">
              <w:rPr>
                <w:rFonts w:ascii="Univers" w:hAnsi="Univers"/>
                <w:b/>
                <w:sz w:val="32"/>
                <w:lang w:val="es-ES_tradnl"/>
              </w:rPr>
              <w:t xml:space="preserve"> </w:t>
            </w:r>
            <w:r w:rsidRPr="00B924EB">
              <w:rPr>
                <w:rFonts w:ascii="Univers" w:hAnsi="Univers"/>
                <w:b/>
                <w:sz w:val="32"/>
                <w:lang w:val="es-ES_tradnl"/>
              </w:rPr>
              <w:t>de</w:t>
            </w:r>
            <w:r w:rsidR="00A13BEA" w:rsidRPr="00B924EB">
              <w:rPr>
                <w:rFonts w:ascii="Univers" w:hAnsi="Univers"/>
                <w:b/>
                <w:sz w:val="32"/>
                <w:lang w:val="es-ES_tradnl"/>
              </w:rPr>
              <w:t xml:space="preserve"> </w:t>
            </w:r>
            <w:r w:rsidRPr="00B924EB">
              <w:rPr>
                <w:rFonts w:ascii="Univers" w:hAnsi="Univers"/>
                <w:b/>
                <w:sz w:val="32"/>
                <w:lang w:val="es-ES_tradnl"/>
              </w:rPr>
              <w:t>las</w:t>
            </w:r>
          </w:p>
          <w:p w14:paraId="43803B9F" w14:textId="77AD56CD" w:rsidR="00755C5D" w:rsidRPr="00B924EB" w:rsidRDefault="00755C5D" w:rsidP="00874CE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B924EB">
              <w:rPr>
                <w:rFonts w:ascii="Univers" w:hAnsi="Univers"/>
                <w:b/>
                <w:sz w:val="32"/>
                <w:lang w:val="es-ES_tradnl"/>
              </w:rPr>
              <w:t>Naciones</w:t>
            </w:r>
            <w:r w:rsidR="00A13BEA" w:rsidRPr="00B924EB">
              <w:rPr>
                <w:rFonts w:ascii="Univers" w:hAnsi="Univers"/>
                <w:b/>
                <w:sz w:val="32"/>
                <w:lang w:val="es-ES_tradnl"/>
              </w:rPr>
              <w:t xml:space="preserve"> </w:t>
            </w:r>
            <w:r w:rsidRPr="00B924EB">
              <w:rPr>
                <w:rFonts w:ascii="Univers" w:hAnsi="Univers"/>
                <w:b/>
                <w:sz w:val="32"/>
                <w:lang w:val="es-ES_tradnl"/>
              </w:rPr>
              <w:t>Unidas</w:t>
            </w:r>
          </w:p>
          <w:p w14:paraId="14E11338" w14:textId="77777777" w:rsidR="00C15867" w:rsidRPr="00B924EB" w:rsidRDefault="00755C5D" w:rsidP="00755C5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es-ES_tradnl"/>
              </w:rPr>
            </w:pPr>
            <w:r w:rsidRPr="00B924EB">
              <w:rPr>
                <w:rFonts w:ascii="Univers" w:hAnsi="Univers"/>
                <w:b/>
                <w:sz w:val="32"/>
                <w:lang w:val="es-ES_tradnl"/>
              </w:rPr>
              <w:t>para</w:t>
            </w:r>
            <w:r w:rsidR="00A13BEA" w:rsidRPr="00B924EB">
              <w:rPr>
                <w:rFonts w:ascii="Univers" w:hAnsi="Univers"/>
                <w:b/>
                <w:sz w:val="32"/>
                <w:lang w:val="es-ES_tradnl"/>
              </w:rPr>
              <w:t xml:space="preserve"> </w:t>
            </w:r>
            <w:r w:rsidRPr="00B924EB">
              <w:rPr>
                <w:rFonts w:ascii="Univers" w:hAnsi="Univers"/>
                <w:b/>
                <w:sz w:val="32"/>
                <w:lang w:val="es-ES_tradnl"/>
              </w:rPr>
              <w:t>el</w:t>
            </w:r>
            <w:r w:rsidR="00A13BEA" w:rsidRPr="00B924EB">
              <w:rPr>
                <w:rFonts w:ascii="Univers" w:hAnsi="Univers"/>
                <w:b/>
                <w:sz w:val="32"/>
                <w:lang w:val="es-ES_tradnl"/>
              </w:rPr>
              <w:t xml:space="preserve"> </w:t>
            </w:r>
            <w:r w:rsidRPr="00B924EB">
              <w:rPr>
                <w:rFonts w:ascii="Univers" w:hAnsi="Univers"/>
                <w:b/>
                <w:sz w:val="32"/>
                <w:lang w:val="es-ES_tradnl"/>
              </w:rPr>
              <w:t>Medio</w:t>
            </w:r>
            <w:r w:rsidR="00A13BEA" w:rsidRPr="00B924EB">
              <w:rPr>
                <w:rFonts w:ascii="Univers" w:hAnsi="Univers"/>
                <w:b/>
                <w:sz w:val="32"/>
                <w:lang w:val="es-ES_tradnl"/>
              </w:rPr>
              <w:t xml:space="preserve"> </w:t>
            </w:r>
            <w:r w:rsidRPr="00B924EB">
              <w:rPr>
                <w:rFonts w:ascii="Univers" w:hAnsi="Univers"/>
                <w:b/>
                <w:sz w:val="32"/>
                <w:lang w:val="es-ES_tradnl"/>
              </w:rPr>
              <w:t>Ambiente</w:t>
            </w:r>
          </w:p>
          <w:p w14:paraId="297C2B4A" w14:textId="77777777" w:rsidR="00C15867" w:rsidRPr="00B924EB" w:rsidRDefault="00C15867" w:rsidP="00E02DF4">
            <w:pPr>
              <w:spacing w:before="720"/>
              <w:ind w:left="158"/>
              <w:rPr>
                <w:lang w:val="es-ES_tradnl"/>
              </w:rPr>
            </w:pPr>
          </w:p>
        </w:tc>
        <w:tc>
          <w:tcPr>
            <w:tcW w:w="4590" w:type="dxa"/>
            <w:tcBorders>
              <w:top w:val="nil"/>
              <w:left w:val="nil"/>
              <w:bottom w:val="single" w:sz="36" w:space="0" w:color="auto"/>
              <w:right w:val="nil"/>
            </w:tcBorders>
          </w:tcPr>
          <w:p w14:paraId="5BC7580A" w14:textId="77777777" w:rsidR="001B79A2" w:rsidRDefault="001B79A2" w:rsidP="00E02DF4">
            <w:pPr>
              <w:rPr>
                <w:lang w:val="es-ES_tradnl"/>
              </w:rPr>
            </w:pPr>
          </w:p>
          <w:p w14:paraId="1B957846" w14:textId="06829CD5" w:rsidR="00C15867" w:rsidRPr="00B924EB" w:rsidRDefault="00C15867" w:rsidP="00E02DF4">
            <w:pPr>
              <w:rPr>
                <w:lang w:val="es-ES_tradnl"/>
              </w:rPr>
            </w:pPr>
            <w:proofErr w:type="spellStart"/>
            <w:r w:rsidRPr="00B924EB">
              <w:rPr>
                <w:lang w:val="es-ES_tradnl"/>
              </w:rPr>
              <w:t>Distr</w:t>
            </w:r>
            <w:proofErr w:type="spellEnd"/>
            <w:r w:rsidRPr="00B924EB">
              <w:rPr>
                <w:lang w:val="es-ES_tradnl"/>
              </w:rPr>
              <w:t>.</w:t>
            </w:r>
          </w:p>
          <w:p w14:paraId="5033C65B" w14:textId="77777777" w:rsidR="00923540" w:rsidRPr="00B924EB" w:rsidRDefault="00923540" w:rsidP="00923540">
            <w:pPr>
              <w:rPr>
                <w:lang w:val="es-ES_tradnl"/>
              </w:rPr>
            </w:pPr>
            <w:r w:rsidRPr="00B924EB">
              <w:rPr>
                <w:lang w:val="es-ES_tradnl"/>
              </w:rPr>
              <w:t>GENERAL</w:t>
            </w:r>
          </w:p>
          <w:p w14:paraId="6D4D8259" w14:textId="77777777" w:rsidR="00C15867" w:rsidRPr="00B924EB" w:rsidRDefault="00C15867" w:rsidP="00E02DF4">
            <w:pPr>
              <w:rPr>
                <w:lang w:val="es-ES_tradnl"/>
              </w:rPr>
            </w:pPr>
          </w:p>
          <w:p w14:paraId="633AC14F" w14:textId="0C302D80" w:rsidR="00C15867" w:rsidRPr="00B924EB" w:rsidRDefault="00075E40" w:rsidP="00E02DF4">
            <w:pPr>
              <w:rPr>
                <w:lang w:val="es-ES_tradnl"/>
              </w:rPr>
            </w:pPr>
            <w:r w:rsidRPr="00B924EB">
              <w:rPr>
                <w:lang w:val="es-ES_tradnl"/>
              </w:rPr>
              <w:fldChar w:fldCharType="begin"/>
            </w:r>
            <w:r w:rsidRPr="00B924EB">
              <w:rPr>
                <w:lang w:val="es-ES_tradnl"/>
              </w:rPr>
              <w:instrText xml:space="preserve"> DOCPROPERTY "Document number"  \* MERGEFORMAT </w:instrText>
            </w:r>
            <w:r w:rsidRPr="00B924EB">
              <w:rPr>
                <w:lang w:val="es-ES_tradnl"/>
              </w:rPr>
              <w:fldChar w:fldCharType="separate"/>
            </w:r>
            <w:r w:rsidR="00DB3D7B" w:rsidRPr="00B924EB">
              <w:rPr>
                <w:lang w:val="es-ES_tradnl"/>
              </w:rPr>
              <w:t>UNEP/</w:t>
            </w:r>
            <w:proofErr w:type="spellStart"/>
            <w:r w:rsidR="00DB3D7B" w:rsidRPr="00B924EB">
              <w:rPr>
                <w:lang w:val="es-ES_tradnl"/>
              </w:rPr>
              <w:t>OzL.Pro</w:t>
            </w:r>
            <w:proofErr w:type="spellEnd"/>
            <w:r w:rsidR="006F07CB" w:rsidRPr="00B924EB">
              <w:rPr>
                <w:lang w:val="es-ES_tradnl"/>
              </w:rPr>
              <w:t>/</w:t>
            </w:r>
            <w:proofErr w:type="spellStart"/>
            <w:r w:rsidR="006F07CB" w:rsidRPr="00B924EB">
              <w:rPr>
                <w:lang w:val="es-ES_tradnl"/>
              </w:rPr>
              <w:t>ExCom</w:t>
            </w:r>
            <w:proofErr w:type="spellEnd"/>
            <w:r w:rsidR="006F07CB" w:rsidRPr="00B924EB">
              <w:rPr>
                <w:lang w:val="es-ES_tradnl"/>
              </w:rPr>
              <w:t>/87/30</w:t>
            </w:r>
            <w:r w:rsidRPr="00B924EB">
              <w:rPr>
                <w:lang w:val="es-ES_tradnl"/>
              </w:rPr>
              <w:fldChar w:fldCharType="end"/>
            </w:r>
          </w:p>
          <w:p w14:paraId="6016F16D" w14:textId="60FC818A" w:rsidR="00C15867" w:rsidRPr="00B924EB" w:rsidRDefault="00BC2495" w:rsidP="00E02DF4">
            <w:pPr>
              <w:rPr>
                <w:lang w:val="es-ES_tradnl"/>
              </w:rPr>
            </w:pPr>
            <w:r w:rsidRPr="00B924EB">
              <w:rPr>
                <w:lang w:val="es-ES_tradnl"/>
              </w:rPr>
              <w:fldChar w:fldCharType="begin"/>
            </w:r>
            <w:r w:rsidR="00851352" w:rsidRPr="00B924EB">
              <w:rPr>
                <w:lang w:val="es-ES_tradnl"/>
              </w:rPr>
              <w:instrText xml:space="preserve"> DOCPROPERTY "Revision date" \@ "d MMMM YYYY"  \* MERGEFORMAT </w:instrText>
            </w:r>
            <w:r w:rsidRPr="00B924EB">
              <w:rPr>
                <w:lang w:val="es-ES_tradnl"/>
              </w:rPr>
              <w:fldChar w:fldCharType="separate"/>
            </w:r>
            <w:r w:rsidR="006F07CB" w:rsidRPr="00B924EB">
              <w:rPr>
                <w:lang w:val="es-ES_tradnl"/>
              </w:rPr>
              <w:t>14</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junio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6F07CB" w:rsidRPr="00B924EB">
              <w:rPr>
                <w:lang w:val="es-ES_tradnl"/>
              </w:rPr>
              <w:t>2021</w:t>
            </w:r>
            <w:r w:rsidRPr="00B924EB">
              <w:rPr>
                <w:lang w:val="es-ES_tradnl"/>
              </w:rPr>
              <w:fldChar w:fldCharType="end"/>
            </w:r>
          </w:p>
          <w:p w14:paraId="6B38DADB" w14:textId="77777777" w:rsidR="00C15867" w:rsidRPr="00B924EB" w:rsidRDefault="00C15867" w:rsidP="00E02DF4">
            <w:pPr>
              <w:rPr>
                <w:caps/>
                <w:lang w:val="es-ES_tradnl"/>
              </w:rPr>
            </w:pPr>
          </w:p>
          <w:p w14:paraId="4925072F" w14:textId="77777777" w:rsidR="00755C5D" w:rsidRPr="00B924EB" w:rsidRDefault="00755C5D" w:rsidP="00E02DF4">
            <w:pPr>
              <w:rPr>
                <w:lang w:val="es-ES_tradnl"/>
              </w:rPr>
            </w:pPr>
            <w:r w:rsidRPr="00B924EB">
              <w:rPr>
                <w:lang w:val="es-ES_tradnl"/>
              </w:rPr>
              <w:t>ESPAÑOL</w:t>
            </w:r>
          </w:p>
          <w:p w14:paraId="7F30F1D9" w14:textId="44C549A4" w:rsidR="00C15867" w:rsidRPr="00B924EB" w:rsidRDefault="00755C5D" w:rsidP="00E02DF4">
            <w:pPr>
              <w:rPr>
                <w:lang w:val="es-ES_tradnl"/>
              </w:rPr>
            </w:pPr>
            <w:r w:rsidRPr="00B924EB">
              <w:rPr>
                <w:lang w:val="es-ES_tradnl"/>
              </w:rPr>
              <w:t>ORIGINAL:</w:t>
            </w:r>
            <w:r w:rsidR="00A13BEA" w:rsidRPr="00B924EB">
              <w:rPr>
                <w:lang w:val="es-ES_tradnl"/>
              </w:rPr>
              <w:t xml:space="preserve"> </w:t>
            </w:r>
            <w:r w:rsidRPr="00B924EB">
              <w:rPr>
                <w:lang w:val="es-ES_tradnl"/>
              </w:rPr>
              <w:t>INGLÉS</w:t>
            </w:r>
          </w:p>
        </w:tc>
      </w:tr>
    </w:tbl>
    <w:p w14:paraId="0CD79C30" w14:textId="281206E9" w:rsidR="00704CE9" w:rsidRPr="00B924EB" w:rsidRDefault="00755C5D" w:rsidP="00704CE9">
      <w:pPr>
        <w:jc w:val="left"/>
        <w:rPr>
          <w:lang w:val="es-ES_tradnl"/>
        </w:rPr>
      </w:pPr>
      <w:r w:rsidRPr="00B924EB">
        <w:rPr>
          <w:lang w:val="es-ES_tradnl"/>
        </w:rPr>
        <w:t>COMITÉ</w:t>
      </w:r>
      <w:r w:rsidR="00A13BEA" w:rsidRPr="00B924EB">
        <w:rPr>
          <w:lang w:val="es-ES_tradnl"/>
        </w:rPr>
        <w:t xml:space="preserve"> </w:t>
      </w:r>
      <w:r w:rsidRPr="00B924EB">
        <w:rPr>
          <w:lang w:val="es-ES_tradnl"/>
        </w:rPr>
        <w:t>EJECUTIVO</w:t>
      </w:r>
      <w:r w:rsidR="00A13BEA" w:rsidRPr="00B924EB">
        <w:rPr>
          <w:lang w:val="es-ES_tradnl"/>
        </w:rPr>
        <w:t xml:space="preserve"> </w:t>
      </w:r>
      <w:r w:rsidRPr="00B924EB">
        <w:rPr>
          <w:lang w:val="es-ES_tradnl"/>
        </w:rPr>
        <w:t>DEL</w:t>
      </w:r>
      <w:r w:rsidR="00A13BEA" w:rsidRPr="00B924EB">
        <w:rPr>
          <w:lang w:val="es-ES_tradnl"/>
        </w:rPr>
        <w:t xml:space="preserve"> </w:t>
      </w:r>
      <w:r w:rsidRPr="00B924EB">
        <w:rPr>
          <w:lang w:val="es-ES_tradnl"/>
        </w:rPr>
        <w:t>FONDO</w:t>
      </w:r>
      <w:r w:rsidR="00A13BEA" w:rsidRPr="00B924EB">
        <w:rPr>
          <w:lang w:val="es-ES_tradnl"/>
        </w:rPr>
        <w:t xml:space="preserve"> </w:t>
      </w:r>
      <w:r w:rsidRPr="00B924EB">
        <w:rPr>
          <w:lang w:val="es-ES_tradnl"/>
        </w:rPr>
        <w:t>MULTILATERAL</w:t>
      </w:r>
      <w:r w:rsidRPr="00B924EB">
        <w:rPr>
          <w:lang w:val="es-ES_tradnl"/>
        </w:rPr>
        <w:br/>
        <w:t>PARA</w:t>
      </w:r>
      <w:r w:rsidR="00A13BEA" w:rsidRPr="00B924EB">
        <w:rPr>
          <w:lang w:val="es-ES_tradnl"/>
        </w:rPr>
        <w:t xml:space="preserve"> </w:t>
      </w:r>
      <w:r w:rsidRPr="00B924EB">
        <w:rPr>
          <w:lang w:val="es-ES_tradnl"/>
        </w:rPr>
        <w:t>LA</w:t>
      </w:r>
      <w:r w:rsidR="00A13BEA" w:rsidRPr="00B924EB">
        <w:rPr>
          <w:lang w:val="es-ES_tradnl"/>
        </w:rPr>
        <w:t xml:space="preserve"> </w:t>
      </w:r>
      <w:r w:rsidRPr="00B924EB">
        <w:rPr>
          <w:lang w:val="es-ES_tradnl"/>
        </w:rPr>
        <w:t>APLICACIÓN</w:t>
      </w:r>
      <w:r w:rsidR="00A13BEA" w:rsidRPr="00B924EB">
        <w:rPr>
          <w:lang w:val="es-ES_tradnl"/>
        </w:rPr>
        <w:t xml:space="preserve"> </w:t>
      </w:r>
      <w:r w:rsidRPr="00B924EB">
        <w:rPr>
          <w:lang w:val="es-ES_tradnl"/>
        </w:rPr>
        <w:t>DEL</w:t>
      </w:r>
      <w:r w:rsidRPr="00B924EB">
        <w:rPr>
          <w:lang w:val="es-ES_tradnl"/>
        </w:rPr>
        <w:br/>
        <w:t>PROTOCOLO</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MONTREAL</w:t>
      </w:r>
      <w:r w:rsidR="00C15867" w:rsidRPr="00B924EB">
        <w:rPr>
          <w:lang w:val="es-ES_tradnl"/>
        </w:rPr>
        <w:br/>
      </w:r>
      <w:r w:rsidR="00365156">
        <w:rPr>
          <w:lang w:val="es-ES_tradnl"/>
        </w:rPr>
        <w:t>Octogésima séptima Reunión</w:t>
      </w:r>
    </w:p>
    <w:p w14:paraId="468FA5D1" w14:textId="11591588" w:rsidR="00704CE9" w:rsidRPr="00B924EB" w:rsidRDefault="007F346A" w:rsidP="00704CE9">
      <w:pPr>
        <w:jc w:val="left"/>
        <w:rPr>
          <w:lang w:val="es-ES_tradnl"/>
        </w:rPr>
      </w:pPr>
      <w:r w:rsidRPr="00B924EB">
        <w:rPr>
          <w:lang w:val="es-ES_tradnl"/>
        </w:rPr>
        <w:t>Montreal,</w:t>
      </w:r>
      <w:r w:rsidR="00A13BEA" w:rsidRPr="00B924EB">
        <w:rPr>
          <w:lang w:val="es-ES_tradnl"/>
        </w:rPr>
        <w:t xml:space="preserve"> </w:t>
      </w:r>
      <w:r w:rsidRPr="00B924EB">
        <w:rPr>
          <w:lang w:val="es-ES_tradnl"/>
        </w:rPr>
        <w:t>28</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junio-</w:t>
      </w:r>
      <w:r w:rsidRPr="00B924EB">
        <w:rPr>
          <w:lang w:val="es-ES_tradnl"/>
        </w:rPr>
        <w:t>2</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julio</w:t>
      </w:r>
      <w:r w:rsidR="00A13BEA" w:rsidRPr="00B924EB">
        <w:rPr>
          <w:lang w:val="es-ES_tradnl"/>
        </w:rPr>
        <w:t xml:space="preserve"> </w:t>
      </w:r>
      <w:r w:rsidR="00755C5D" w:rsidRPr="00B924EB">
        <w:rPr>
          <w:lang w:val="es-ES_tradnl"/>
        </w:rPr>
        <w:t>de</w:t>
      </w:r>
      <w:r w:rsidR="00A13BEA" w:rsidRPr="00B924EB">
        <w:rPr>
          <w:lang w:val="es-ES_tradnl"/>
        </w:rPr>
        <w:t xml:space="preserve"> </w:t>
      </w:r>
      <w:r w:rsidRPr="00B924EB">
        <w:rPr>
          <w:lang w:val="es-ES_tradnl"/>
        </w:rPr>
        <w:t>2021</w:t>
      </w:r>
      <w:r w:rsidR="00DB23C6" w:rsidRPr="00B924EB">
        <w:rPr>
          <w:rStyle w:val="FootnoteReference"/>
          <w:lang w:val="es-ES_tradnl"/>
        </w:rPr>
        <w:footnoteReference w:id="1"/>
      </w:r>
    </w:p>
    <w:p w14:paraId="0FD92E9A" w14:textId="77777777" w:rsidR="00C15867" w:rsidRPr="00B924EB" w:rsidRDefault="00C15867" w:rsidP="00857077">
      <w:pPr>
        <w:jc w:val="left"/>
        <w:rPr>
          <w:lang w:val="es-ES_tradnl"/>
        </w:rPr>
      </w:pPr>
    </w:p>
    <w:p w14:paraId="19DD7E19" w14:textId="79D457B1" w:rsidR="004E7F9C" w:rsidRPr="00B924EB" w:rsidRDefault="004E7F9C" w:rsidP="004E7F9C">
      <w:pPr>
        <w:pStyle w:val="Title1"/>
        <w:rPr>
          <w:lang w:val="es-ES_tradnl"/>
        </w:rPr>
      </w:pPr>
    </w:p>
    <w:p w14:paraId="62350AF3" w14:textId="77777777" w:rsidR="003A3217" w:rsidRPr="00B924EB" w:rsidRDefault="003A3217" w:rsidP="004E7F9C">
      <w:pPr>
        <w:pStyle w:val="Title1"/>
        <w:rPr>
          <w:lang w:val="es-ES_tradnl"/>
        </w:rPr>
      </w:pPr>
    </w:p>
    <w:p w14:paraId="613B48BE" w14:textId="7DF46D2C" w:rsidR="00C679D6" w:rsidRDefault="0083084B" w:rsidP="00C679D6">
      <w:pPr>
        <w:jc w:val="center"/>
        <w:rPr>
          <w:b/>
          <w:lang w:val="es-ES_tradnl"/>
        </w:rPr>
      </w:pPr>
      <w:r w:rsidRPr="00B924EB">
        <w:rPr>
          <w:b/>
          <w:lang w:val="es-ES_tradnl"/>
        </w:rPr>
        <w:t xml:space="preserve">PROPUESTA DE PROYECTO: </w:t>
      </w:r>
      <w:r>
        <w:rPr>
          <w:b/>
          <w:lang w:val="es-ES_tradnl"/>
        </w:rPr>
        <w:t>I</w:t>
      </w:r>
      <w:r w:rsidRPr="00B924EB">
        <w:rPr>
          <w:b/>
          <w:lang w:val="es-ES_tradnl"/>
        </w:rPr>
        <w:t>RAQ</w:t>
      </w:r>
    </w:p>
    <w:p w14:paraId="250D3F5A" w14:textId="77777777" w:rsidR="00166373" w:rsidRPr="00B924EB" w:rsidRDefault="00166373" w:rsidP="00C679D6">
      <w:pPr>
        <w:jc w:val="center"/>
        <w:rPr>
          <w:b/>
          <w:lang w:val="es-ES_tradnl"/>
        </w:rPr>
      </w:pPr>
    </w:p>
    <w:p w14:paraId="3A627BB0" w14:textId="77777777" w:rsidR="00C679D6" w:rsidRPr="00B924EB" w:rsidRDefault="00C679D6" w:rsidP="00C679D6">
      <w:pPr>
        <w:rPr>
          <w:lang w:val="es-ES_tradnl"/>
        </w:rPr>
      </w:pPr>
    </w:p>
    <w:p w14:paraId="6F2FE088" w14:textId="77777777" w:rsidR="00C679D6" w:rsidRPr="00B924EB" w:rsidRDefault="00C679D6" w:rsidP="00C679D6">
      <w:pPr>
        <w:rPr>
          <w:lang w:val="es-ES_tradnl"/>
        </w:rPr>
      </w:pPr>
    </w:p>
    <w:p w14:paraId="38EFF786" w14:textId="32EBF411" w:rsidR="000521A3" w:rsidRPr="00B924EB" w:rsidRDefault="00755C5D" w:rsidP="00C679D6">
      <w:pPr>
        <w:ind w:firstLine="720"/>
        <w:rPr>
          <w:lang w:val="es-ES_tradnl"/>
        </w:rPr>
      </w:pPr>
      <w:r w:rsidRPr="00B924EB">
        <w:rPr>
          <w:lang w:val="es-ES_tradnl"/>
        </w:rPr>
        <w:t>El</w:t>
      </w:r>
      <w:r w:rsidR="00A13BEA" w:rsidRPr="00B924EB">
        <w:rPr>
          <w:lang w:val="es-ES_tradnl"/>
        </w:rPr>
        <w:t xml:space="preserve"> </w:t>
      </w:r>
      <w:r w:rsidRPr="00B924EB">
        <w:rPr>
          <w:lang w:val="es-ES_tradnl"/>
        </w:rPr>
        <w:t>presente</w:t>
      </w:r>
      <w:r w:rsidR="00A13BEA" w:rsidRPr="00B924EB">
        <w:rPr>
          <w:lang w:val="es-ES_tradnl"/>
        </w:rPr>
        <w:t xml:space="preserve"> </w:t>
      </w:r>
      <w:r w:rsidRPr="00B924EB">
        <w:rPr>
          <w:lang w:val="es-ES_tradnl"/>
        </w:rPr>
        <w:t>documento</w:t>
      </w:r>
      <w:r w:rsidR="00A13BEA" w:rsidRPr="00B924EB">
        <w:rPr>
          <w:lang w:val="es-ES_tradnl"/>
        </w:rPr>
        <w:t xml:space="preserve"> </w:t>
      </w:r>
      <w:r w:rsidRPr="00B924EB">
        <w:rPr>
          <w:lang w:val="es-ES_tradnl"/>
        </w:rPr>
        <w:t>contiene</w:t>
      </w:r>
      <w:r w:rsidR="00A13BEA" w:rsidRPr="00B924EB">
        <w:rPr>
          <w:lang w:val="es-ES_tradnl"/>
        </w:rPr>
        <w:t xml:space="preserve"> </w:t>
      </w:r>
      <w:r w:rsidRPr="00B924EB">
        <w:rPr>
          <w:lang w:val="es-ES_tradnl"/>
        </w:rPr>
        <w:t>las</w:t>
      </w:r>
      <w:r w:rsidR="00A13BEA" w:rsidRPr="00B924EB">
        <w:rPr>
          <w:lang w:val="es-ES_tradnl"/>
        </w:rPr>
        <w:t xml:space="preserve"> </w:t>
      </w:r>
      <w:r w:rsidRPr="00B924EB">
        <w:rPr>
          <w:lang w:val="es-ES_tradnl"/>
        </w:rPr>
        <w:t>observaciones</w:t>
      </w:r>
      <w:r w:rsidR="00A13BEA" w:rsidRPr="00B924EB">
        <w:rPr>
          <w:lang w:val="es-ES_tradnl"/>
        </w:rPr>
        <w:t xml:space="preserve"> </w:t>
      </w:r>
      <w:r w:rsidRPr="00B924EB">
        <w:rPr>
          <w:lang w:val="es-ES_tradnl"/>
        </w:rPr>
        <w:t>y</w:t>
      </w:r>
      <w:r w:rsidR="00A13BEA" w:rsidRPr="00B924EB">
        <w:rPr>
          <w:lang w:val="es-ES_tradnl"/>
        </w:rPr>
        <w:t xml:space="preserve"> </w:t>
      </w:r>
      <w:r w:rsidRPr="00B924EB">
        <w:rPr>
          <w:lang w:val="es-ES_tradnl"/>
        </w:rPr>
        <w:t>recomendaciones</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la</w:t>
      </w:r>
      <w:r w:rsidR="00A13BEA" w:rsidRPr="00B924EB">
        <w:rPr>
          <w:lang w:val="es-ES_tradnl"/>
        </w:rPr>
        <w:t xml:space="preserve"> </w:t>
      </w:r>
      <w:r w:rsidRPr="00B924EB">
        <w:rPr>
          <w:lang w:val="es-ES_tradnl"/>
        </w:rPr>
        <w:t>Secretaría</w:t>
      </w:r>
      <w:r w:rsidR="00A13BEA" w:rsidRPr="00B924EB">
        <w:rPr>
          <w:lang w:val="es-ES_tradnl"/>
        </w:rPr>
        <w:t xml:space="preserve"> </w:t>
      </w:r>
      <w:r w:rsidRPr="00B924EB">
        <w:rPr>
          <w:lang w:val="es-ES_tradnl"/>
        </w:rPr>
        <w:t>sobre</w:t>
      </w:r>
      <w:r w:rsidR="00A13BEA" w:rsidRPr="00B924EB">
        <w:rPr>
          <w:lang w:val="es-ES_tradnl"/>
        </w:rPr>
        <w:t xml:space="preserve"> </w:t>
      </w:r>
      <w:r w:rsidRPr="00B924EB">
        <w:rPr>
          <w:lang w:val="es-ES_tradnl"/>
        </w:rPr>
        <w:t>la</w:t>
      </w:r>
      <w:r w:rsidR="00A13BEA" w:rsidRPr="00B924EB">
        <w:rPr>
          <w:lang w:val="es-ES_tradnl"/>
        </w:rPr>
        <w:t xml:space="preserve"> </w:t>
      </w:r>
      <w:r w:rsidRPr="00B924EB">
        <w:rPr>
          <w:lang w:val="es-ES_tradnl"/>
        </w:rPr>
        <w:t>siguiente</w:t>
      </w:r>
      <w:r w:rsidR="00A13BEA" w:rsidRPr="00B924EB">
        <w:rPr>
          <w:lang w:val="es-ES_tradnl"/>
        </w:rPr>
        <w:t xml:space="preserve"> </w:t>
      </w:r>
      <w:r w:rsidRPr="00B924EB">
        <w:rPr>
          <w:lang w:val="es-ES_tradnl"/>
        </w:rPr>
        <w:t>propuesta</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proyecto</w:t>
      </w:r>
      <w:r w:rsidR="00C679D6" w:rsidRPr="00B924EB">
        <w:rPr>
          <w:lang w:val="es-ES_tradnl"/>
        </w:rPr>
        <w:t>:</w:t>
      </w:r>
    </w:p>
    <w:p w14:paraId="2E84BC26" w14:textId="52F26A97" w:rsidR="00C679D6" w:rsidRPr="00B924EB" w:rsidRDefault="00C679D6" w:rsidP="00C679D6">
      <w:pPr>
        <w:rPr>
          <w:lang w:val="es-ES_tradnl"/>
        </w:rPr>
      </w:pPr>
    </w:p>
    <w:p w14:paraId="3532C92F" w14:textId="57A7E7DE" w:rsidR="00C679D6" w:rsidRPr="00B924EB" w:rsidRDefault="00755C5D" w:rsidP="00C679D6">
      <w:pPr>
        <w:rPr>
          <w:u w:val="single"/>
          <w:lang w:val="es-ES_tradnl"/>
        </w:rPr>
      </w:pPr>
      <w:r w:rsidRPr="00B924EB">
        <w:rPr>
          <w:u w:val="single"/>
          <w:lang w:val="es-ES_tradnl"/>
        </w:rPr>
        <w:t>Eliminación</w:t>
      </w:r>
    </w:p>
    <w:p w14:paraId="785CDF92" w14:textId="77777777" w:rsidR="00C7777B" w:rsidRPr="00B924EB" w:rsidRDefault="00C7777B" w:rsidP="00C679D6">
      <w:pPr>
        <w:rPr>
          <w:lang w:val="es-ES_tradnl"/>
        </w:rPr>
      </w:pPr>
    </w:p>
    <w:p w14:paraId="1DF9D987" w14:textId="77777777" w:rsidR="00C7777B" w:rsidRPr="00B924EB" w:rsidRDefault="00C7777B" w:rsidP="00C679D6">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409"/>
      </w:tblGrid>
      <w:tr w:rsidR="00C679D6" w:rsidRPr="00B924EB" w14:paraId="55D853D1" w14:textId="77777777" w:rsidTr="001A4F35">
        <w:tc>
          <w:tcPr>
            <w:tcW w:w="6204" w:type="dxa"/>
          </w:tcPr>
          <w:p w14:paraId="151AE2B1" w14:textId="7C934A4F" w:rsidR="00C679D6" w:rsidRPr="00B924EB" w:rsidRDefault="00755C5D" w:rsidP="00E02DF4">
            <w:pPr>
              <w:pStyle w:val="ListParagraph"/>
              <w:numPr>
                <w:ilvl w:val="0"/>
                <w:numId w:val="21"/>
              </w:numPr>
              <w:ind w:hanging="830"/>
              <w:rPr>
                <w:lang w:val="es-ES_tradnl"/>
              </w:rPr>
            </w:pPr>
            <w:r w:rsidRPr="00B924EB">
              <w:rPr>
                <w:lang w:val="es-ES_tradnl"/>
              </w:rPr>
              <w:t>Plan</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gestión</w:t>
            </w:r>
            <w:r w:rsidR="00A13BEA" w:rsidRPr="00B924EB">
              <w:rPr>
                <w:lang w:val="es-ES_tradnl"/>
              </w:rPr>
              <w:t xml:space="preserve"> </w:t>
            </w:r>
            <w:r w:rsidRPr="00B924EB">
              <w:rPr>
                <w:lang w:val="es-ES_tradnl"/>
              </w:rPr>
              <w:t>para</w:t>
            </w:r>
            <w:r w:rsidR="00A13BEA" w:rsidRPr="00B924EB">
              <w:rPr>
                <w:lang w:val="es-ES_tradnl"/>
              </w:rPr>
              <w:t xml:space="preserve"> </w:t>
            </w:r>
            <w:r w:rsidRPr="00B924EB">
              <w:rPr>
                <w:lang w:val="es-ES_tradnl"/>
              </w:rPr>
              <w:t>la</w:t>
            </w:r>
            <w:r w:rsidR="00A13BEA" w:rsidRPr="00B924EB">
              <w:rPr>
                <w:lang w:val="es-ES_tradnl"/>
              </w:rPr>
              <w:t xml:space="preserve"> </w:t>
            </w:r>
            <w:r w:rsidRPr="00B924EB">
              <w:rPr>
                <w:lang w:val="es-ES_tradnl"/>
              </w:rPr>
              <w:t>eliminación</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HCFC</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C679D6" w:rsidRPr="00B924EB">
              <w:rPr>
                <w:lang w:val="es-ES_tradnl"/>
              </w:rPr>
              <w:t>I,</w:t>
            </w:r>
            <w:r w:rsidR="00A13BEA" w:rsidRPr="00B924EB">
              <w:rPr>
                <w:lang w:val="es-ES_tradnl"/>
              </w:rPr>
              <w:t xml:space="preserve"> </w:t>
            </w:r>
            <w:r w:rsidRPr="00B924EB">
              <w:rPr>
                <w:lang w:val="es-ES_tradnl"/>
              </w:rPr>
              <w:t>primer</w:t>
            </w:r>
            <w:r w:rsidR="00A13BEA" w:rsidRPr="00B924EB">
              <w:rPr>
                <w:lang w:val="es-ES_tradnl"/>
              </w:rPr>
              <w:t xml:space="preserve"> </w:t>
            </w:r>
            <w:r w:rsidRPr="00B924EB">
              <w:rPr>
                <w:lang w:val="es-ES_tradnl"/>
              </w:rPr>
              <w:t>tramo</w:t>
            </w:r>
            <w:r w:rsidR="00C679D6" w:rsidRPr="00B924EB">
              <w:rPr>
                <w:lang w:val="es-ES_tradnl"/>
              </w:rPr>
              <w:t>)</w:t>
            </w:r>
          </w:p>
        </w:tc>
        <w:tc>
          <w:tcPr>
            <w:tcW w:w="2409" w:type="dxa"/>
          </w:tcPr>
          <w:p w14:paraId="43776130" w14:textId="764039D2" w:rsidR="00C679D6" w:rsidRPr="00B924EB" w:rsidRDefault="001A4F35" w:rsidP="00D647E9">
            <w:pPr>
              <w:jc w:val="right"/>
              <w:rPr>
                <w:lang w:val="es-ES_tradnl"/>
              </w:rPr>
            </w:pPr>
            <w:r>
              <w:rPr>
                <w:lang w:val="es-ES_tradnl"/>
              </w:rPr>
              <w:t>PNUMA</w:t>
            </w:r>
            <w:r w:rsidR="00A13BEA" w:rsidRPr="00B924EB">
              <w:rPr>
                <w:lang w:val="es-ES_tradnl"/>
              </w:rPr>
              <w:t xml:space="preserve"> </w:t>
            </w:r>
            <w:r w:rsidR="00755C5D" w:rsidRPr="00B924EB">
              <w:rPr>
                <w:lang w:val="es-ES_tradnl"/>
              </w:rPr>
              <w:t>y</w:t>
            </w:r>
            <w:r w:rsidR="00A13BEA" w:rsidRPr="00B924EB">
              <w:rPr>
                <w:lang w:val="es-ES_tradnl"/>
              </w:rPr>
              <w:t xml:space="preserve"> </w:t>
            </w:r>
            <w:r>
              <w:rPr>
                <w:lang w:val="es-ES_tradnl"/>
              </w:rPr>
              <w:t>ONUDI</w:t>
            </w:r>
          </w:p>
        </w:tc>
      </w:tr>
    </w:tbl>
    <w:p w14:paraId="6714498C" w14:textId="77777777" w:rsidR="00C679D6" w:rsidRPr="00B924EB" w:rsidRDefault="00C679D6" w:rsidP="00C679D6">
      <w:pPr>
        <w:rPr>
          <w:lang w:val="es-ES_tradnl"/>
        </w:rPr>
      </w:pPr>
    </w:p>
    <w:p w14:paraId="60714253" w14:textId="77777777" w:rsidR="00D42A14" w:rsidRPr="00B924EB" w:rsidRDefault="004E7F9C">
      <w:pPr>
        <w:jc w:val="left"/>
        <w:rPr>
          <w:b/>
          <w:lang w:val="es-ES_tradnl"/>
        </w:rPr>
      </w:pPr>
      <w:r w:rsidRPr="00B924EB">
        <w:rPr>
          <w:b/>
          <w:lang w:val="es-ES_tradnl"/>
        </w:rPr>
        <w:br w:type="page"/>
      </w:r>
    </w:p>
    <w:p w14:paraId="4CEA0A63" w14:textId="48162D6B" w:rsidR="00EE5B08" w:rsidRPr="00B924EB" w:rsidRDefault="009374DA" w:rsidP="00EE5B08">
      <w:pPr>
        <w:jc w:val="center"/>
        <w:rPr>
          <w:b/>
          <w:lang w:val="es-ES_tradnl"/>
        </w:rPr>
      </w:pPr>
      <w:r w:rsidRPr="00B924EB">
        <w:rPr>
          <w:b/>
          <w:lang w:val="es-ES_tradnl"/>
        </w:rPr>
        <w:lastRenderedPageBreak/>
        <w:t>HOJA</w:t>
      </w:r>
      <w:r w:rsidR="00A13BEA" w:rsidRPr="00B924EB">
        <w:rPr>
          <w:b/>
          <w:lang w:val="es-ES_tradnl"/>
        </w:rPr>
        <w:t xml:space="preserve"> </w:t>
      </w:r>
      <w:r w:rsidRPr="00B924EB">
        <w:rPr>
          <w:b/>
          <w:lang w:val="es-ES_tradnl"/>
        </w:rPr>
        <w:t>DE</w:t>
      </w:r>
      <w:r w:rsidR="00A13BEA" w:rsidRPr="00B924EB">
        <w:rPr>
          <w:b/>
          <w:lang w:val="es-ES_tradnl"/>
        </w:rPr>
        <w:t xml:space="preserve"> </w:t>
      </w:r>
      <w:r w:rsidRPr="00B924EB">
        <w:rPr>
          <w:b/>
          <w:lang w:val="es-ES_tradnl"/>
        </w:rPr>
        <w:t>EVALUACIÓN</w:t>
      </w:r>
      <w:r w:rsidR="00A13BEA" w:rsidRPr="00B924EB">
        <w:rPr>
          <w:b/>
          <w:lang w:val="es-ES_tradnl"/>
        </w:rPr>
        <w:t xml:space="preserve"> </w:t>
      </w:r>
      <w:r w:rsidR="004135A5" w:rsidRPr="00B924EB">
        <w:rPr>
          <w:b/>
          <w:lang w:val="es-ES_tradnl"/>
        </w:rPr>
        <w:t>-</w:t>
      </w:r>
      <w:r w:rsidR="00A13BEA" w:rsidRPr="00B924EB">
        <w:rPr>
          <w:b/>
          <w:lang w:val="es-ES_tradnl"/>
        </w:rPr>
        <w:t xml:space="preserve"> </w:t>
      </w:r>
      <w:r w:rsidR="00755C5D" w:rsidRPr="00B924EB">
        <w:rPr>
          <w:b/>
          <w:lang w:val="es-ES_tradnl"/>
        </w:rPr>
        <w:t>PROYECTOS</w:t>
      </w:r>
      <w:r w:rsidR="00A13BEA" w:rsidRPr="00B924EB">
        <w:rPr>
          <w:b/>
          <w:lang w:val="es-ES_tradnl"/>
        </w:rPr>
        <w:t xml:space="preserve"> </w:t>
      </w:r>
      <w:r w:rsidR="00755C5D" w:rsidRPr="00B924EB">
        <w:rPr>
          <w:b/>
          <w:lang w:val="es-ES_tradnl"/>
        </w:rPr>
        <w:t>PLURIANUALES</w:t>
      </w:r>
    </w:p>
    <w:p w14:paraId="352F884D" w14:textId="3D7A492A" w:rsidR="00EE5B08" w:rsidRDefault="00021EB4" w:rsidP="00EE5B08">
      <w:pPr>
        <w:jc w:val="center"/>
        <w:rPr>
          <w:b/>
          <w:lang w:val="es-ES_tradnl"/>
        </w:rPr>
      </w:pPr>
      <w:r>
        <w:rPr>
          <w:b/>
          <w:lang w:val="es-ES_tradnl"/>
        </w:rPr>
        <w:t>Iraq</w:t>
      </w:r>
    </w:p>
    <w:p w14:paraId="7B8CB3AE" w14:textId="77777777" w:rsidR="00EE5B08" w:rsidRPr="00B924EB" w:rsidRDefault="00EE5B08" w:rsidP="00EE5B08">
      <w:pPr>
        <w:jc w:val="center"/>
        <w:rPr>
          <w:sz w:val="18"/>
          <w:lang w:val="es-ES_tradnl"/>
        </w:rPr>
      </w:pPr>
    </w:p>
    <w:tbl>
      <w:tblPr>
        <w:tblStyle w:val="TableGrid"/>
        <w:tblW w:w="5309" w:type="pct"/>
        <w:tblInd w:w="-572" w:type="dxa"/>
        <w:tblLook w:val="04A0" w:firstRow="1" w:lastRow="0" w:firstColumn="1" w:lastColumn="0" w:noHBand="0" w:noVBand="1"/>
      </w:tblPr>
      <w:tblGrid>
        <w:gridCol w:w="4678"/>
        <w:gridCol w:w="5250"/>
      </w:tblGrid>
      <w:tr w:rsidR="00EE5B08" w:rsidRPr="00BA1ECA" w14:paraId="559AD55F" w14:textId="77777777" w:rsidTr="00E02DF4">
        <w:trPr>
          <w:trHeight w:val="240"/>
        </w:trPr>
        <w:tc>
          <w:tcPr>
            <w:tcW w:w="2356" w:type="pct"/>
            <w:shd w:val="clear" w:color="auto" w:fill="auto"/>
          </w:tcPr>
          <w:p w14:paraId="5FD625E0" w14:textId="44ED9970" w:rsidR="00EE5B08" w:rsidRPr="00BA1ECA" w:rsidRDefault="00755C5D" w:rsidP="00E02DF4">
            <w:pPr>
              <w:rPr>
                <w:b/>
                <w:bCs/>
                <w:sz w:val="18"/>
                <w:szCs w:val="18"/>
                <w:lang w:val="es-ES_tradnl"/>
              </w:rPr>
            </w:pPr>
            <w:r w:rsidRPr="00BA1ECA">
              <w:rPr>
                <w:b/>
                <w:bCs/>
                <w:sz w:val="18"/>
                <w:szCs w:val="18"/>
                <w:lang w:val="es-ES_tradnl"/>
              </w:rPr>
              <w:t>I)</w:t>
            </w:r>
            <w:r w:rsidR="00A13BEA" w:rsidRPr="00BA1ECA">
              <w:rPr>
                <w:b/>
                <w:bCs/>
                <w:sz w:val="18"/>
                <w:szCs w:val="18"/>
                <w:lang w:val="es-ES_tradnl"/>
              </w:rPr>
              <w:t xml:space="preserve"> </w:t>
            </w:r>
            <w:r w:rsidRPr="00BA1ECA">
              <w:rPr>
                <w:b/>
                <w:bCs/>
                <w:sz w:val="18"/>
                <w:szCs w:val="18"/>
                <w:lang w:val="es-ES_tradnl"/>
              </w:rPr>
              <w:t>TÍTULO</w:t>
            </w:r>
            <w:r w:rsidR="00A13BEA" w:rsidRPr="00BA1ECA">
              <w:rPr>
                <w:b/>
                <w:bCs/>
                <w:sz w:val="18"/>
                <w:szCs w:val="18"/>
                <w:lang w:val="es-ES_tradnl"/>
              </w:rPr>
              <w:t xml:space="preserve"> </w:t>
            </w:r>
            <w:r w:rsidRPr="00BA1ECA">
              <w:rPr>
                <w:b/>
                <w:bCs/>
                <w:sz w:val="18"/>
                <w:szCs w:val="18"/>
                <w:lang w:val="es-ES_tradnl"/>
              </w:rPr>
              <w:t>DEL</w:t>
            </w:r>
            <w:r w:rsidR="00A13BEA" w:rsidRPr="00BA1ECA">
              <w:rPr>
                <w:b/>
                <w:bCs/>
                <w:sz w:val="18"/>
                <w:szCs w:val="18"/>
                <w:lang w:val="es-ES_tradnl"/>
              </w:rPr>
              <w:t xml:space="preserve"> </w:t>
            </w:r>
            <w:r w:rsidRPr="00BA1ECA">
              <w:rPr>
                <w:b/>
                <w:bCs/>
                <w:sz w:val="18"/>
                <w:szCs w:val="18"/>
                <w:lang w:val="es-ES_tradnl"/>
              </w:rPr>
              <w:t>PROYECTO</w:t>
            </w:r>
          </w:p>
        </w:tc>
        <w:tc>
          <w:tcPr>
            <w:tcW w:w="2644" w:type="pct"/>
            <w:shd w:val="clear" w:color="auto" w:fill="auto"/>
          </w:tcPr>
          <w:p w14:paraId="3577F265" w14:textId="7E8149E1" w:rsidR="00EE5B08" w:rsidRPr="00BA1ECA" w:rsidRDefault="00755C5D" w:rsidP="00E02DF4">
            <w:pPr>
              <w:jc w:val="center"/>
              <w:rPr>
                <w:b/>
                <w:bCs/>
                <w:sz w:val="18"/>
                <w:szCs w:val="18"/>
                <w:lang w:val="es-ES_tradnl"/>
              </w:rPr>
            </w:pPr>
            <w:r w:rsidRPr="00BA1ECA">
              <w:rPr>
                <w:b/>
                <w:bCs/>
                <w:sz w:val="18"/>
                <w:szCs w:val="18"/>
                <w:lang w:val="es-ES_tradnl"/>
              </w:rPr>
              <w:t>ORGANISMO</w:t>
            </w:r>
          </w:p>
        </w:tc>
      </w:tr>
      <w:tr w:rsidR="00EE5B08" w:rsidRPr="00BA1ECA" w14:paraId="75223DD2" w14:textId="77777777" w:rsidTr="00E02DF4">
        <w:trPr>
          <w:trHeight w:val="103"/>
        </w:trPr>
        <w:tc>
          <w:tcPr>
            <w:tcW w:w="2356" w:type="pct"/>
            <w:shd w:val="clear" w:color="auto" w:fill="auto"/>
          </w:tcPr>
          <w:p w14:paraId="2FF87EB2" w14:textId="335CD021" w:rsidR="00EE5B08" w:rsidRPr="00BA1ECA" w:rsidRDefault="00C73E84" w:rsidP="00E02DF4">
            <w:pPr>
              <w:spacing w:after="80"/>
              <w:jc w:val="center"/>
              <w:rPr>
                <w:color w:val="000000" w:themeColor="text1"/>
                <w:sz w:val="18"/>
                <w:szCs w:val="18"/>
                <w:lang w:val="es-ES_tradnl"/>
              </w:rPr>
            </w:pPr>
            <w:r w:rsidRPr="00BA1ECA">
              <w:rPr>
                <w:color w:val="000000" w:themeColor="text1"/>
                <w:sz w:val="18"/>
                <w:szCs w:val="18"/>
                <w:lang w:val="es-ES_tradnl"/>
              </w:rPr>
              <w:t>P</w:t>
            </w:r>
            <w:r w:rsidR="000521A3" w:rsidRPr="00BA1ECA">
              <w:rPr>
                <w:color w:val="000000" w:themeColor="text1"/>
                <w:sz w:val="18"/>
                <w:szCs w:val="18"/>
                <w:lang w:val="es-ES_tradnl"/>
              </w:rPr>
              <w:t>lan</w:t>
            </w:r>
            <w:r w:rsidR="00A13BEA" w:rsidRPr="00BA1ECA">
              <w:rPr>
                <w:color w:val="000000" w:themeColor="text1"/>
                <w:sz w:val="18"/>
                <w:szCs w:val="18"/>
                <w:lang w:val="es-ES_tradnl"/>
              </w:rPr>
              <w:t xml:space="preserve"> </w:t>
            </w:r>
            <w:r w:rsidR="000521A3" w:rsidRPr="00BA1ECA">
              <w:rPr>
                <w:color w:val="000000" w:themeColor="text1"/>
                <w:sz w:val="18"/>
                <w:szCs w:val="18"/>
                <w:lang w:val="es-ES_tradnl"/>
              </w:rPr>
              <w:t>de</w:t>
            </w:r>
            <w:r w:rsidR="00A13BEA" w:rsidRPr="00BA1ECA">
              <w:rPr>
                <w:color w:val="000000" w:themeColor="text1"/>
                <w:sz w:val="18"/>
                <w:szCs w:val="18"/>
                <w:lang w:val="es-ES_tradnl"/>
              </w:rPr>
              <w:t xml:space="preserve"> </w:t>
            </w:r>
            <w:r w:rsidR="000521A3" w:rsidRPr="00BA1ECA">
              <w:rPr>
                <w:color w:val="000000" w:themeColor="text1"/>
                <w:sz w:val="18"/>
                <w:szCs w:val="18"/>
                <w:lang w:val="es-ES_tradnl"/>
              </w:rPr>
              <w:t>eliminación</w:t>
            </w:r>
            <w:r w:rsidR="00A13BEA" w:rsidRPr="00BA1ECA">
              <w:rPr>
                <w:color w:val="000000" w:themeColor="text1"/>
                <w:sz w:val="18"/>
                <w:szCs w:val="18"/>
                <w:lang w:val="es-ES_tradnl"/>
              </w:rPr>
              <w:t xml:space="preserve"> </w:t>
            </w:r>
            <w:r w:rsidR="000521A3" w:rsidRPr="00BA1ECA">
              <w:rPr>
                <w:color w:val="000000" w:themeColor="text1"/>
                <w:sz w:val="18"/>
                <w:szCs w:val="18"/>
                <w:lang w:val="es-ES_tradnl"/>
              </w:rPr>
              <w:t>de</w:t>
            </w:r>
            <w:r w:rsidR="00A13BEA" w:rsidRPr="00BA1ECA">
              <w:rPr>
                <w:color w:val="000000" w:themeColor="text1"/>
                <w:sz w:val="18"/>
                <w:szCs w:val="18"/>
                <w:lang w:val="es-ES_tradnl"/>
              </w:rPr>
              <w:t xml:space="preserve"> </w:t>
            </w:r>
            <w:r w:rsidR="000521A3" w:rsidRPr="00BA1ECA">
              <w:rPr>
                <w:color w:val="000000" w:themeColor="text1"/>
                <w:sz w:val="18"/>
                <w:szCs w:val="18"/>
                <w:lang w:val="es-ES_tradnl"/>
              </w:rPr>
              <w:t>HCFC</w:t>
            </w:r>
            <w:r w:rsidR="00A13BEA" w:rsidRPr="00BA1ECA">
              <w:rPr>
                <w:color w:val="000000" w:themeColor="text1"/>
                <w:sz w:val="18"/>
                <w:szCs w:val="18"/>
                <w:lang w:val="es-ES_tradnl"/>
              </w:rPr>
              <w:t xml:space="preserve"> </w:t>
            </w:r>
            <w:r w:rsidR="003208A7" w:rsidRPr="00BA1ECA">
              <w:rPr>
                <w:color w:val="000000" w:themeColor="text1"/>
                <w:sz w:val="18"/>
                <w:szCs w:val="18"/>
                <w:lang w:val="es-ES_tradnl"/>
              </w:rPr>
              <w:t>(Etapa</w:t>
            </w:r>
            <w:r w:rsidR="00A13BEA" w:rsidRPr="00BA1ECA">
              <w:rPr>
                <w:color w:val="000000" w:themeColor="text1"/>
                <w:sz w:val="18"/>
                <w:szCs w:val="18"/>
                <w:lang w:val="es-ES_tradnl"/>
              </w:rPr>
              <w:t xml:space="preserve"> </w:t>
            </w:r>
            <w:r w:rsidR="003208A7" w:rsidRPr="00BA1ECA">
              <w:rPr>
                <w:color w:val="000000" w:themeColor="text1"/>
                <w:sz w:val="18"/>
                <w:szCs w:val="18"/>
                <w:lang w:val="es-ES_tradnl"/>
              </w:rPr>
              <w:t>I</w:t>
            </w:r>
            <w:r w:rsidR="00EE5B08" w:rsidRPr="00BA1ECA">
              <w:rPr>
                <w:color w:val="000000" w:themeColor="text1"/>
                <w:sz w:val="18"/>
                <w:szCs w:val="18"/>
                <w:lang w:val="es-ES_tradnl"/>
              </w:rPr>
              <w:t>I)</w:t>
            </w:r>
          </w:p>
        </w:tc>
        <w:tc>
          <w:tcPr>
            <w:tcW w:w="2644" w:type="pct"/>
            <w:shd w:val="clear" w:color="auto" w:fill="auto"/>
          </w:tcPr>
          <w:p w14:paraId="6B213CB1" w14:textId="577DD178" w:rsidR="00EE5B08" w:rsidRPr="00BA1ECA" w:rsidRDefault="005E1320" w:rsidP="008D5488">
            <w:pPr>
              <w:spacing w:after="80"/>
              <w:jc w:val="center"/>
              <w:rPr>
                <w:color w:val="000000" w:themeColor="text1"/>
                <w:sz w:val="18"/>
                <w:szCs w:val="18"/>
                <w:lang w:val="es-ES_tradnl"/>
              </w:rPr>
            </w:pPr>
            <w:r w:rsidRPr="00BA1ECA">
              <w:rPr>
                <w:color w:val="000000" w:themeColor="text1"/>
                <w:sz w:val="18"/>
                <w:szCs w:val="18"/>
                <w:lang w:val="es-ES_tradnl"/>
              </w:rPr>
              <w:t>PNUMA</w:t>
            </w:r>
            <w:r w:rsidR="00A13BEA" w:rsidRPr="00BA1ECA">
              <w:rPr>
                <w:color w:val="000000" w:themeColor="text1"/>
                <w:sz w:val="18"/>
                <w:szCs w:val="18"/>
                <w:lang w:val="es-ES_tradnl"/>
              </w:rPr>
              <w:t xml:space="preserve"> </w:t>
            </w:r>
            <w:r w:rsidR="003208A7" w:rsidRPr="00BA1ECA">
              <w:rPr>
                <w:color w:val="000000" w:themeColor="text1"/>
                <w:sz w:val="18"/>
                <w:szCs w:val="18"/>
                <w:lang w:val="es-ES_tradnl"/>
              </w:rPr>
              <w:t>(principal),</w:t>
            </w:r>
            <w:r w:rsidR="00A13BEA" w:rsidRPr="00BA1ECA">
              <w:rPr>
                <w:color w:val="000000" w:themeColor="text1"/>
                <w:sz w:val="18"/>
                <w:szCs w:val="18"/>
                <w:lang w:val="es-ES_tradnl"/>
              </w:rPr>
              <w:t xml:space="preserve"> </w:t>
            </w:r>
            <w:r w:rsidR="003208A7" w:rsidRPr="00BA1ECA">
              <w:rPr>
                <w:color w:val="000000" w:themeColor="text1"/>
                <w:sz w:val="18"/>
                <w:szCs w:val="18"/>
                <w:lang w:val="es-ES_tradnl"/>
              </w:rPr>
              <w:t>ONUDI</w:t>
            </w:r>
          </w:p>
        </w:tc>
      </w:tr>
    </w:tbl>
    <w:p w14:paraId="3DAA944E" w14:textId="77777777" w:rsidR="00EE5B08" w:rsidRPr="00BA1ECA" w:rsidRDefault="00EE5B08" w:rsidP="00EE5B08">
      <w:pPr>
        <w:jc w:val="center"/>
        <w:rPr>
          <w:sz w:val="18"/>
          <w:szCs w:val="18"/>
          <w:lang w:val="es-ES_tradnl"/>
        </w:rPr>
      </w:pPr>
    </w:p>
    <w:tbl>
      <w:tblPr>
        <w:tblStyle w:val="TableGrid"/>
        <w:tblW w:w="5309" w:type="pct"/>
        <w:tblInd w:w="-572" w:type="dxa"/>
        <w:tblLook w:val="04A0" w:firstRow="1" w:lastRow="0" w:firstColumn="1" w:lastColumn="0" w:noHBand="0" w:noVBand="1"/>
      </w:tblPr>
      <w:tblGrid>
        <w:gridCol w:w="5387"/>
        <w:gridCol w:w="2577"/>
        <w:gridCol w:w="1964"/>
      </w:tblGrid>
      <w:tr w:rsidR="00EE5B08" w:rsidRPr="00BA1ECA" w14:paraId="531417D3" w14:textId="77777777" w:rsidTr="00E02DF4">
        <w:trPr>
          <w:trHeight w:val="195"/>
        </w:trPr>
        <w:tc>
          <w:tcPr>
            <w:tcW w:w="2713" w:type="pct"/>
            <w:shd w:val="clear" w:color="auto" w:fill="auto"/>
          </w:tcPr>
          <w:p w14:paraId="54084748" w14:textId="6BF5A047" w:rsidR="00EE5B08" w:rsidRPr="00BA1ECA" w:rsidRDefault="00755C5D" w:rsidP="00E02DF4">
            <w:pPr>
              <w:spacing w:after="60"/>
              <w:jc w:val="left"/>
              <w:rPr>
                <w:b/>
                <w:sz w:val="18"/>
                <w:szCs w:val="18"/>
                <w:lang w:val="es-ES_tradnl"/>
              </w:rPr>
            </w:pPr>
            <w:r w:rsidRPr="00BA1ECA">
              <w:rPr>
                <w:b/>
                <w:sz w:val="18"/>
                <w:szCs w:val="18"/>
                <w:lang w:val="es-ES_tradnl"/>
              </w:rPr>
              <w:t>II)</w:t>
            </w:r>
            <w:r w:rsidR="00A13BEA" w:rsidRPr="00BA1ECA">
              <w:rPr>
                <w:b/>
                <w:sz w:val="18"/>
                <w:szCs w:val="18"/>
                <w:lang w:val="es-ES_tradnl"/>
              </w:rPr>
              <w:t xml:space="preserve"> </w:t>
            </w:r>
            <w:r w:rsidRPr="00BA1ECA">
              <w:rPr>
                <w:b/>
                <w:sz w:val="18"/>
                <w:szCs w:val="18"/>
                <w:lang w:val="es-ES_tradnl"/>
              </w:rPr>
              <w:t>DATOS</w:t>
            </w:r>
            <w:r w:rsidR="00A13BEA" w:rsidRPr="00BA1ECA">
              <w:rPr>
                <w:b/>
                <w:sz w:val="18"/>
                <w:szCs w:val="18"/>
                <w:lang w:val="es-ES_tradnl"/>
              </w:rPr>
              <w:t xml:space="preserve"> </w:t>
            </w:r>
            <w:r w:rsidRPr="00BA1ECA">
              <w:rPr>
                <w:b/>
                <w:sz w:val="18"/>
                <w:szCs w:val="18"/>
                <w:lang w:val="es-ES_tradnl"/>
              </w:rPr>
              <w:t>MÁS</w:t>
            </w:r>
            <w:r w:rsidR="00A13BEA" w:rsidRPr="00BA1ECA">
              <w:rPr>
                <w:b/>
                <w:sz w:val="18"/>
                <w:szCs w:val="18"/>
                <w:lang w:val="es-ES_tradnl"/>
              </w:rPr>
              <w:t xml:space="preserve"> </w:t>
            </w:r>
            <w:r w:rsidRPr="00BA1ECA">
              <w:rPr>
                <w:b/>
                <w:sz w:val="18"/>
                <w:szCs w:val="18"/>
                <w:lang w:val="es-ES_tradnl"/>
              </w:rPr>
              <w:t>RECIENTES</w:t>
            </w:r>
            <w:r w:rsidR="00A13BEA" w:rsidRPr="00BA1ECA">
              <w:rPr>
                <w:b/>
                <w:sz w:val="18"/>
                <w:szCs w:val="18"/>
                <w:lang w:val="es-ES_tradnl"/>
              </w:rPr>
              <w:t xml:space="preserve"> </w:t>
            </w:r>
            <w:r w:rsidRPr="00BA1ECA">
              <w:rPr>
                <w:b/>
                <w:sz w:val="18"/>
                <w:szCs w:val="18"/>
                <w:lang w:val="es-ES_tradnl"/>
              </w:rPr>
              <w:t>CON</w:t>
            </w:r>
            <w:r w:rsidR="00A13BEA" w:rsidRPr="00BA1ECA">
              <w:rPr>
                <w:b/>
                <w:sz w:val="18"/>
                <w:szCs w:val="18"/>
                <w:lang w:val="es-ES_tradnl"/>
              </w:rPr>
              <w:t xml:space="preserve"> </w:t>
            </w:r>
            <w:r w:rsidRPr="00BA1ECA">
              <w:rPr>
                <w:b/>
                <w:sz w:val="18"/>
                <w:szCs w:val="18"/>
                <w:lang w:val="es-ES_tradnl"/>
              </w:rPr>
              <w:t>ARREGLO</w:t>
            </w:r>
            <w:r w:rsidR="00A13BEA" w:rsidRPr="00BA1ECA">
              <w:rPr>
                <w:b/>
                <w:sz w:val="18"/>
                <w:szCs w:val="18"/>
                <w:lang w:val="es-ES_tradnl"/>
              </w:rPr>
              <w:t xml:space="preserve"> </w:t>
            </w:r>
            <w:r w:rsidRPr="00BA1ECA">
              <w:rPr>
                <w:b/>
                <w:sz w:val="18"/>
                <w:szCs w:val="18"/>
                <w:lang w:val="es-ES_tradnl"/>
              </w:rPr>
              <w:t>AL</w:t>
            </w:r>
            <w:r w:rsidR="00A13BEA" w:rsidRPr="00BA1ECA">
              <w:rPr>
                <w:b/>
                <w:sz w:val="18"/>
                <w:szCs w:val="18"/>
                <w:lang w:val="es-ES_tradnl"/>
              </w:rPr>
              <w:t xml:space="preserve"> </w:t>
            </w:r>
            <w:r w:rsidRPr="00BA1ECA">
              <w:rPr>
                <w:b/>
                <w:sz w:val="18"/>
                <w:szCs w:val="18"/>
                <w:lang w:val="es-ES_tradnl"/>
              </w:rPr>
              <w:t>ARTÍCULO</w:t>
            </w:r>
            <w:r w:rsidR="00A13BEA" w:rsidRPr="00BA1ECA">
              <w:rPr>
                <w:b/>
                <w:sz w:val="18"/>
                <w:szCs w:val="18"/>
                <w:lang w:val="es-ES_tradnl"/>
              </w:rPr>
              <w:t xml:space="preserve"> </w:t>
            </w:r>
            <w:r w:rsidRPr="00BA1ECA">
              <w:rPr>
                <w:b/>
                <w:sz w:val="18"/>
                <w:szCs w:val="18"/>
                <w:lang w:val="es-ES_tradnl"/>
              </w:rPr>
              <w:t>7</w:t>
            </w:r>
            <w:r w:rsidR="00A13BEA" w:rsidRPr="00BA1ECA">
              <w:rPr>
                <w:b/>
                <w:sz w:val="18"/>
                <w:szCs w:val="18"/>
                <w:lang w:val="es-ES_tradnl"/>
              </w:rPr>
              <w:t xml:space="preserve"> </w:t>
            </w:r>
            <w:r w:rsidR="00EE5B08" w:rsidRPr="00BA1ECA">
              <w:rPr>
                <w:b/>
                <w:sz w:val="18"/>
                <w:szCs w:val="18"/>
                <w:lang w:val="es-ES_tradnl"/>
              </w:rPr>
              <w:t>(</w:t>
            </w:r>
            <w:r w:rsidR="009374DA" w:rsidRPr="00BA1ECA">
              <w:rPr>
                <w:b/>
                <w:sz w:val="18"/>
                <w:szCs w:val="18"/>
                <w:lang w:val="es-ES_tradnl"/>
              </w:rPr>
              <w:t>Anexo</w:t>
            </w:r>
            <w:r w:rsidR="00A13BEA" w:rsidRPr="00BA1ECA">
              <w:rPr>
                <w:b/>
                <w:sz w:val="18"/>
                <w:szCs w:val="18"/>
                <w:lang w:val="es-ES_tradnl"/>
              </w:rPr>
              <w:t xml:space="preserve"> </w:t>
            </w:r>
            <w:r w:rsidR="00EE5B08" w:rsidRPr="00BA1ECA">
              <w:rPr>
                <w:b/>
                <w:sz w:val="18"/>
                <w:szCs w:val="18"/>
                <w:lang w:val="es-ES_tradnl"/>
              </w:rPr>
              <w:t>C</w:t>
            </w:r>
            <w:r w:rsidR="00656A3F" w:rsidRPr="00BA1ECA">
              <w:rPr>
                <w:b/>
                <w:sz w:val="18"/>
                <w:szCs w:val="18"/>
                <w:lang w:val="es-ES_tradnl"/>
              </w:rPr>
              <w:t xml:space="preserve">, </w:t>
            </w:r>
            <w:r w:rsidRPr="00BA1ECA">
              <w:rPr>
                <w:b/>
                <w:sz w:val="18"/>
                <w:szCs w:val="18"/>
                <w:lang w:val="es-ES_tradnl"/>
              </w:rPr>
              <w:t>Grupo</w:t>
            </w:r>
            <w:r w:rsidR="00A13BEA" w:rsidRPr="00BA1ECA">
              <w:rPr>
                <w:b/>
                <w:sz w:val="18"/>
                <w:szCs w:val="18"/>
                <w:lang w:val="es-ES_tradnl"/>
              </w:rPr>
              <w:t xml:space="preserve"> </w:t>
            </w:r>
            <w:r w:rsidR="00EE5B08" w:rsidRPr="00BA1ECA">
              <w:rPr>
                <w:b/>
                <w:sz w:val="18"/>
                <w:szCs w:val="18"/>
                <w:lang w:val="es-ES_tradnl"/>
              </w:rPr>
              <w:t>l)</w:t>
            </w:r>
          </w:p>
        </w:tc>
        <w:tc>
          <w:tcPr>
            <w:tcW w:w="1298" w:type="pct"/>
            <w:shd w:val="clear" w:color="auto" w:fill="auto"/>
          </w:tcPr>
          <w:p w14:paraId="5CA371EB" w14:textId="768BFE09" w:rsidR="00EE5B08" w:rsidRPr="00BA1ECA" w:rsidRDefault="00755C5D" w:rsidP="00D647E9">
            <w:pPr>
              <w:spacing w:after="60"/>
              <w:jc w:val="center"/>
              <w:rPr>
                <w:sz w:val="18"/>
                <w:szCs w:val="18"/>
                <w:lang w:val="es-ES_tradnl"/>
              </w:rPr>
            </w:pPr>
            <w:r w:rsidRPr="00BA1ECA">
              <w:rPr>
                <w:sz w:val="18"/>
                <w:szCs w:val="18"/>
                <w:lang w:val="es-ES_tradnl"/>
              </w:rPr>
              <w:t>Año</w:t>
            </w:r>
            <w:r w:rsidR="00EE5B08" w:rsidRPr="00BA1ECA">
              <w:rPr>
                <w:sz w:val="18"/>
                <w:szCs w:val="18"/>
                <w:lang w:val="es-ES_tradnl"/>
              </w:rPr>
              <w:t>:</w:t>
            </w:r>
            <w:r w:rsidR="00A13BEA" w:rsidRPr="00BA1ECA">
              <w:rPr>
                <w:sz w:val="18"/>
                <w:szCs w:val="18"/>
                <w:lang w:val="es-ES_tradnl"/>
              </w:rPr>
              <w:t xml:space="preserve"> </w:t>
            </w:r>
            <w:r w:rsidR="00EE5B08" w:rsidRPr="00BA1ECA">
              <w:rPr>
                <w:color w:val="000000" w:themeColor="text1"/>
                <w:sz w:val="18"/>
                <w:szCs w:val="18"/>
                <w:lang w:val="es-ES_tradnl"/>
              </w:rPr>
              <w:t>20</w:t>
            </w:r>
            <w:r w:rsidR="00D647E9" w:rsidRPr="00BA1ECA">
              <w:rPr>
                <w:color w:val="000000" w:themeColor="text1"/>
                <w:sz w:val="18"/>
                <w:szCs w:val="18"/>
                <w:lang w:val="es-ES_tradnl"/>
              </w:rPr>
              <w:t>20</w:t>
            </w:r>
          </w:p>
        </w:tc>
        <w:tc>
          <w:tcPr>
            <w:tcW w:w="989" w:type="pct"/>
            <w:shd w:val="clear" w:color="auto" w:fill="auto"/>
          </w:tcPr>
          <w:p w14:paraId="05561945" w14:textId="036971D6" w:rsidR="00EE5B08" w:rsidRPr="00BA1ECA" w:rsidRDefault="00D647E9" w:rsidP="00440B67">
            <w:pPr>
              <w:spacing w:after="60"/>
              <w:jc w:val="right"/>
              <w:rPr>
                <w:sz w:val="18"/>
                <w:szCs w:val="18"/>
                <w:lang w:val="es-ES_tradnl"/>
              </w:rPr>
            </w:pPr>
            <w:r w:rsidRPr="00BA1ECA">
              <w:rPr>
                <w:sz w:val="18"/>
                <w:szCs w:val="18"/>
                <w:lang w:val="es-ES_tradnl"/>
              </w:rPr>
              <w:t>66.39</w:t>
            </w:r>
            <w:r w:rsidR="00A13BEA" w:rsidRPr="00BA1ECA">
              <w:rPr>
                <w:sz w:val="18"/>
                <w:szCs w:val="18"/>
                <w:lang w:val="es-ES_tradnl"/>
              </w:rPr>
              <w:t xml:space="preserve"> </w:t>
            </w:r>
            <w:r w:rsidR="00EE5B08" w:rsidRPr="00BA1ECA">
              <w:rPr>
                <w:sz w:val="18"/>
                <w:szCs w:val="18"/>
                <w:lang w:val="es-ES_tradnl"/>
              </w:rPr>
              <w:t>(</w:t>
            </w:r>
            <w:proofErr w:type="spellStart"/>
            <w:r w:rsidR="000521A3" w:rsidRPr="00BA1ECA">
              <w:rPr>
                <w:sz w:val="18"/>
                <w:szCs w:val="18"/>
                <w:lang w:val="es-ES_tradnl"/>
              </w:rPr>
              <w:t>tons</w:t>
            </w:r>
            <w:proofErr w:type="spellEnd"/>
            <w:r w:rsidR="000521A3" w:rsidRPr="00BA1ECA">
              <w:rPr>
                <w:sz w:val="18"/>
                <w:szCs w:val="18"/>
                <w:lang w:val="es-ES_tradnl"/>
              </w:rPr>
              <w:t>.</w:t>
            </w:r>
            <w:r w:rsidR="00A13BEA" w:rsidRPr="00BA1ECA">
              <w:rPr>
                <w:sz w:val="18"/>
                <w:szCs w:val="18"/>
                <w:lang w:val="es-ES_tradnl"/>
              </w:rPr>
              <w:t xml:space="preserve"> </w:t>
            </w:r>
            <w:r w:rsidR="000521A3" w:rsidRPr="00BA1ECA">
              <w:rPr>
                <w:sz w:val="18"/>
                <w:szCs w:val="18"/>
                <w:lang w:val="es-ES_tradnl"/>
              </w:rPr>
              <w:t>PAO)</w:t>
            </w:r>
          </w:p>
        </w:tc>
      </w:tr>
    </w:tbl>
    <w:p w14:paraId="44E2D67D" w14:textId="77777777" w:rsidR="00EE5B08" w:rsidRPr="00BA1ECA" w:rsidRDefault="00EE5B08" w:rsidP="00EE5B08">
      <w:pPr>
        <w:jc w:val="center"/>
        <w:rPr>
          <w:sz w:val="18"/>
          <w:szCs w:val="18"/>
          <w:lang w:val="es-ES_tradnl"/>
        </w:rPr>
      </w:pPr>
    </w:p>
    <w:tbl>
      <w:tblPr>
        <w:tblStyle w:val="TableGrid"/>
        <w:tblW w:w="5309" w:type="pct"/>
        <w:tblInd w:w="-572" w:type="dxa"/>
        <w:tblLook w:val="04A0" w:firstRow="1" w:lastRow="0" w:firstColumn="1" w:lastColumn="0" w:noHBand="0" w:noVBand="1"/>
      </w:tblPr>
      <w:tblGrid>
        <w:gridCol w:w="1458"/>
        <w:gridCol w:w="936"/>
        <w:gridCol w:w="796"/>
        <w:gridCol w:w="916"/>
        <w:gridCol w:w="1304"/>
        <w:gridCol w:w="881"/>
        <w:gridCol w:w="916"/>
        <w:gridCol w:w="846"/>
        <w:gridCol w:w="551"/>
        <w:gridCol w:w="1324"/>
      </w:tblGrid>
      <w:tr w:rsidR="00EE5B08" w:rsidRPr="00BA1ECA" w14:paraId="209C552D" w14:textId="77777777" w:rsidTr="00B428CF">
        <w:trPr>
          <w:trHeight w:val="250"/>
        </w:trPr>
        <w:tc>
          <w:tcPr>
            <w:tcW w:w="4017" w:type="pct"/>
            <w:gridSpan w:val="8"/>
            <w:shd w:val="clear" w:color="auto" w:fill="auto"/>
          </w:tcPr>
          <w:p w14:paraId="4D4B5546" w14:textId="71754899" w:rsidR="00EE5B08" w:rsidRPr="00BA1ECA" w:rsidRDefault="00755C5D" w:rsidP="00E02DF4">
            <w:pPr>
              <w:jc w:val="left"/>
              <w:rPr>
                <w:b/>
                <w:bCs/>
                <w:sz w:val="18"/>
                <w:szCs w:val="18"/>
                <w:lang w:val="es-ES_tradnl"/>
              </w:rPr>
            </w:pPr>
            <w:r w:rsidRPr="00BA1ECA">
              <w:rPr>
                <w:b/>
                <w:bCs/>
                <w:sz w:val="18"/>
                <w:szCs w:val="18"/>
                <w:lang w:val="es-ES_tradnl"/>
              </w:rPr>
              <w:t>III)</w:t>
            </w:r>
            <w:r w:rsidR="00A13BEA" w:rsidRPr="00BA1ECA">
              <w:rPr>
                <w:b/>
                <w:bCs/>
                <w:sz w:val="18"/>
                <w:szCs w:val="18"/>
                <w:lang w:val="es-ES_tradnl"/>
              </w:rPr>
              <w:t xml:space="preserve"> </w:t>
            </w:r>
            <w:r w:rsidRPr="00BA1ECA">
              <w:rPr>
                <w:b/>
                <w:bCs/>
                <w:sz w:val="18"/>
                <w:szCs w:val="18"/>
                <w:lang w:val="es-ES_tradnl"/>
              </w:rPr>
              <w:t>DATOS</w:t>
            </w:r>
            <w:r w:rsidR="00A13BEA" w:rsidRPr="00BA1ECA">
              <w:rPr>
                <w:b/>
                <w:bCs/>
                <w:sz w:val="18"/>
                <w:szCs w:val="18"/>
                <w:lang w:val="es-ES_tradnl"/>
              </w:rPr>
              <w:t xml:space="preserve"> </w:t>
            </w:r>
            <w:r w:rsidRPr="00BA1ECA">
              <w:rPr>
                <w:b/>
                <w:bCs/>
                <w:sz w:val="18"/>
                <w:szCs w:val="18"/>
                <w:lang w:val="es-ES_tradnl"/>
              </w:rPr>
              <w:t>SECTORIALES</w:t>
            </w:r>
            <w:r w:rsidR="00A13BEA" w:rsidRPr="00BA1ECA">
              <w:rPr>
                <w:b/>
                <w:bCs/>
                <w:sz w:val="18"/>
                <w:szCs w:val="18"/>
                <w:lang w:val="es-ES_tradnl"/>
              </w:rPr>
              <w:t xml:space="preserve"> </w:t>
            </w:r>
            <w:r w:rsidRPr="00BA1ECA">
              <w:rPr>
                <w:b/>
                <w:bCs/>
                <w:sz w:val="18"/>
                <w:szCs w:val="18"/>
                <w:lang w:val="es-ES_tradnl"/>
              </w:rPr>
              <w:t>DEL</w:t>
            </w:r>
            <w:r w:rsidR="00A13BEA" w:rsidRPr="00BA1ECA">
              <w:rPr>
                <w:b/>
                <w:bCs/>
                <w:sz w:val="18"/>
                <w:szCs w:val="18"/>
                <w:lang w:val="es-ES_tradnl"/>
              </w:rPr>
              <w:t xml:space="preserve"> </w:t>
            </w:r>
            <w:r w:rsidRPr="00BA1ECA">
              <w:rPr>
                <w:b/>
                <w:bCs/>
                <w:sz w:val="18"/>
                <w:szCs w:val="18"/>
                <w:lang w:val="es-ES_tradnl"/>
              </w:rPr>
              <w:t>PROGRAMA</w:t>
            </w:r>
            <w:r w:rsidR="00A13BEA" w:rsidRPr="00BA1ECA">
              <w:rPr>
                <w:b/>
                <w:bCs/>
                <w:sz w:val="18"/>
                <w:szCs w:val="18"/>
                <w:lang w:val="es-ES_tradnl"/>
              </w:rPr>
              <w:t xml:space="preserve"> </w:t>
            </w:r>
            <w:r w:rsidRPr="00BA1ECA">
              <w:rPr>
                <w:b/>
                <w:bCs/>
                <w:sz w:val="18"/>
                <w:szCs w:val="18"/>
                <w:lang w:val="es-ES_tradnl"/>
              </w:rPr>
              <w:t>PAÍS</w:t>
            </w:r>
            <w:r w:rsidR="00A13BEA" w:rsidRPr="00BA1ECA">
              <w:rPr>
                <w:b/>
                <w:bCs/>
                <w:sz w:val="18"/>
                <w:szCs w:val="18"/>
                <w:lang w:val="es-ES_tradnl"/>
              </w:rPr>
              <w:t xml:space="preserve"> </w:t>
            </w:r>
            <w:r w:rsidRPr="00BA1ECA">
              <w:rPr>
                <w:b/>
                <w:bCs/>
                <w:sz w:val="18"/>
                <w:szCs w:val="18"/>
                <w:lang w:val="es-ES_tradnl"/>
              </w:rPr>
              <w:t>MÁS</w:t>
            </w:r>
            <w:r w:rsidR="00A13BEA" w:rsidRPr="00BA1ECA">
              <w:rPr>
                <w:b/>
                <w:bCs/>
                <w:sz w:val="18"/>
                <w:szCs w:val="18"/>
                <w:lang w:val="es-ES_tradnl"/>
              </w:rPr>
              <w:t xml:space="preserve"> </w:t>
            </w:r>
            <w:r w:rsidRPr="00BA1ECA">
              <w:rPr>
                <w:b/>
                <w:bCs/>
                <w:sz w:val="18"/>
                <w:szCs w:val="18"/>
                <w:lang w:val="es-ES_tradnl"/>
              </w:rPr>
              <w:t>RECIENTES</w:t>
            </w:r>
            <w:r w:rsidR="00D74888">
              <w:rPr>
                <w:b/>
                <w:bCs/>
                <w:sz w:val="18"/>
                <w:szCs w:val="18"/>
                <w:lang w:val="es-ES_tradnl"/>
              </w:rPr>
              <w:t xml:space="preserve"> </w:t>
            </w:r>
            <w:r w:rsidR="00EE5B08" w:rsidRPr="00BA1ECA">
              <w:rPr>
                <w:b/>
                <w:bCs/>
                <w:sz w:val="18"/>
                <w:szCs w:val="18"/>
                <w:lang w:val="es-ES_tradnl"/>
              </w:rPr>
              <w:t>(</w:t>
            </w:r>
            <w:proofErr w:type="spellStart"/>
            <w:r w:rsidR="000521A3" w:rsidRPr="00BA1ECA">
              <w:rPr>
                <w:b/>
                <w:bCs/>
                <w:sz w:val="18"/>
                <w:szCs w:val="18"/>
                <w:lang w:val="es-ES_tradnl"/>
              </w:rPr>
              <w:t>tons</w:t>
            </w:r>
            <w:proofErr w:type="spellEnd"/>
            <w:r w:rsidR="000521A3" w:rsidRPr="00BA1ECA">
              <w:rPr>
                <w:b/>
                <w:bCs/>
                <w:sz w:val="18"/>
                <w:szCs w:val="18"/>
                <w:lang w:val="es-ES_tradnl"/>
              </w:rPr>
              <w:t>.</w:t>
            </w:r>
            <w:r w:rsidR="00A13BEA" w:rsidRPr="00BA1ECA">
              <w:rPr>
                <w:b/>
                <w:bCs/>
                <w:sz w:val="18"/>
                <w:szCs w:val="18"/>
                <w:lang w:val="es-ES_tradnl"/>
              </w:rPr>
              <w:t xml:space="preserve"> </w:t>
            </w:r>
            <w:r w:rsidR="000521A3" w:rsidRPr="00BA1ECA">
              <w:rPr>
                <w:b/>
                <w:bCs/>
                <w:sz w:val="18"/>
                <w:szCs w:val="18"/>
                <w:lang w:val="es-ES_tradnl"/>
              </w:rPr>
              <w:t>PAO)</w:t>
            </w:r>
          </w:p>
        </w:tc>
        <w:tc>
          <w:tcPr>
            <w:tcW w:w="983" w:type="pct"/>
            <w:gridSpan w:val="2"/>
            <w:shd w:val="clear" w:color="auto" w:fill="auto"/>
          </w:tcPr>
          <w:p w14:paraId="5E132C6E" w14:textId="6F910FBF" w:rsidR="00EE5B08" w:rsidRPr="00BA1ECA" w:rsidRDefault="00755C5D" w:rsidP="00B428CF">
            <w:pPr>
              <w:spacing w:after="60"/>
              <w:jc w:val="right"/>
              <w:rPr>
                <w:b/>
                <w:sz w:val="18"/>
                <w:szCs w:val="18"/>
                <w:lang w:val="es-ES_tradnl"/>
              </w:rPr>
            </w:pPr>
            <w:r w:rsidRPr="00BA1ECA">
              <w:rPr>
                <w:b/>
                <w:sz w:val="18"/>
                <w:szCs w:val="18"/>
                <w:lang w:val="es-ES_tradnl"/>
              </w:rPr>
              <w:t>Año</w:t>
            </w:r>
            <w:r w:rsidR="00EE5B08" w:rsidRPr="00BA1ECA">
              <w:rPr>
                <w:b/>
                <w:sz w:val="18"/>
                <w:szCs w:val="18"/>
                <w:lang w:val="es-ES_tradnl"/>
              </w:rPr>
              <w:t>:</w:t>
            </w:r>
            <w:r w:rsidR="00A13BEA" w:rsidRPr="00BA1ECA">
              <w:rPr>
                <w:b/>
                <w:sz w:val="18"/>
                <w:szCs w:val="18"/>
                <w:lang w:val="es-ES_tradnl"/>
              </w:rPr>
              <w:t xml:space="preserve"> </w:t>
            </w:r>
            <w:r w:rsidR="00B428CF" w:rsidRPr="00BA1ECA">
              <w:rPr>
                <w:color w:val="000000" w:themeColor="text1"/>
                <w:sz w:val="18"/>
                <w:szCs w:val="18"/>
                <w:lang w:val="es-ES_tradnl"/>
              </w:rPr>
              <w:t>2020</w:t>
            </w:r>
          </w:p>
        </w:tc>
      </w:tr>
      <w:tr w:rsidR="00EE5B08" w:rsidRPr="00BA1ECA" w14:paraId="1F251433" w14:textId="77777777" w:rsidTr="00B428CF">
        <w:trPr>
          <w:trHeight w:val="250"/>
        </w:trPr>
        <w:tc>
          <w:tcPr>
            <w:tcW w:w="786" w:type="pct"/>
            <w:shd w:val="clear" w:color="auto" w:fill="auto"/>
          </w:tcPr>
          <w:p w14:paraId="287C5154" w14:textId="091619B5" w:rsidR="00EE5B08" w:rsidRPr="00BA1ECA" w:rsidRDefault="00E26F0F" w:rsidP="00E02DF4">
            <w:pPr>
              <w:spacing w:after="60"/>
              <w:jc w:val="center"/>
              <w:rPr>
                <w:sz w:val="18"/>
                <w:szCs w:val="18"/>
                <w:lang w:val="es-ES_tradnl"/>
              </w:rPr>
            </w:pPr>
            <w:r w:rsidRPr="00BA1ECA">
              <w:rPr>
                <w:sz w:val="18"/>
                <w:szCs w:val="18"/>
                <w:lang w:val="es-ES_tradnl"/>
              </w:rPr>
              <w:t>Sustancia</w:t>
            </w:r>
            <w:r w:rsidR="00A13BEA" w:rsidRPr="00BA1ECA">
              <w:rPr>
                <w:sz w:val="18"/>
                <w:szCs w:val="18"/>
                <w:lang w:val="es-ES_tradnl"/>
              </w:rPr>
              <w:t xml:space="preserve"> </w:t>
            </w:r>
            <w:r w:rsidRPr="00BA1ECA">
              <w:rPr>
                <w:sz w:val="18"/>
                <w:szCs w:val="18"/>
                <w:lang w:val="es-ES_tradnl"/>
              </w:rPr>
              <w:t>química</w:t>
            </w:r>
          </w:p>
        </w:tc>
        <w:tc>
          <w:tcPr>
            <w:tcW w:w="428" w:type="pct"/>
            <w:shd w:val="clear" w:color="auto" w:fill="auto"/>
          </w:tcPr>
          <w:p w14:paraId="4448BCE9" w14:textId="0605DEEF" w:rsidR="00EE5B08" w:rsidRPr="00BA1ECA" w:rsidRDefault="00755C5D" w:rsidP="00E02DF4">
            <w:pPr>
              <w:spacing w:after="60"/>
              <w:jc w:val="center"/>
              <w:rPr>
                <w:sz w:val="18"/>
                <w:szCs w:val="18"/>
                <w:lang w:val="es-ES_tradnl"/>
              </w:rPr>
            </w:pPr>
            <w:r w:rsidRPr="00BA1ECA">
              <w:rPr>
                <w:sz w:val="18"/>
                <w:szCs w:val="18"/>
                <w:lang w:val="es-ES_tradnl"/>
              </w:rPr>
              <w:t>Aerosoles</w:t>
            </w:r>
          </w:p>
        </w:tc>
        <w:tc>
          <w:tcPr>
            <w:tcW w:w="338" w:type="pct"/>
            <w:shd w:val="clear" w:color="auto" w:fill="auto"/>
          </w:tcPr>
          <w:p w14:paraId="358415BB" w14:textId="5F92977F" w:rsidR="00EE5B08" w:rsidRPr="00BA1ECA" w:rsidRDefault="00755C5D" w:rsidP="00E02DF4">
            <w:pPr>
              <w:spacing w:after="60"/>
              <w:jc w:val="center"/>
              <w:rPr>
                <w:sz w:val="18"/>
                <w:szCs w:val="18"/>
                <w:lang w:val="es-ES_tradnl"/>
              </w:rPr>
            </w:pPr>
            <w:r w:rsidRPr="00BA1ECA">
              <w:rPr>
                <w:sz w:val="18"/>
                <w:szCs w:val="18"/>
                <w:lang w:val="es-ES_tradnl"/>
              </w:rPr>
              <w:t>Espuma</w:t>
            </w:r>
          </w:p>
        </w:tc>
        <w:tc>
          <w:tcPr>
            <w:tcW w:w="428" w:type="pct"/>
            <w:shd w:val="clear" w:color="auto" w:fill="auto"/>
          </w:tcPr>
          <w:p w14:paraId="27426DAB" w14:textId="2FF8FE3E" w:rsidR="00EE5B08" w:rsidRPr="00BA1ECA" w:rsidRDefault="00365156" w:rsidP="00E02DF4">
            <w:pPr>
              <w:spacing w:after="60"/>
              <w:jc w:val="center"/>
              <w:rPr>
                <w:sz w:val="18"/>
                <w:szCs w:val="18"/>
                <w:lang w:val="es-ES_tradnl"/>
              </w:rPr>
            </w:pPr>
            <w:r w:rsidRPr="00BA1ECA">
              <w:rPr>
                <w:sz w:val="18"/>
                <w:szCs w:val="18"/>
                <w:lang w:val="es-ES_tradnl"/>
              </w:rPr>
              <w:t>Extinción de incendios</w:t>
            </w:r>
          </w:p>
        </w:tc>
        <w:tc>
          <w:tcPr>
            <w:tcW w:w="1203" w:type="pct"/>
            <w:gridSpan w:val="2"/>
            <w:shd w:val="clear" w:color="auto" w:fill="auto"/>
          </w:tcPr>
          <w:p w14:paraId="3A75FE95" w14:textId="66A95769" w:rsidR="00EE5B08" w:rsidRPr="00BA1ECA" w:rsidRDefault="00755C5D" w:rsidP="00E02DF4">
            <w:pPr>
              <w:spacing w:after="60"/>
              <w:jc w:val="center"/>
              <w:rPr>
                <w:sz w:val="18"/>
                <w:szCs w:val="18"/>
                <w:lang w:val="es-ES_tradnl"/>
              </w:rPr>
            </w:pPr>
            <w:r w:rsidRPr="00BA1ECA">
              <w:rPr>
                <w:sz w:val="18"/>
                <w:szCs w:val="18"/>
                <w:lang w:val="es-ES_tradnl"/>
              </w:rPr>
              <w:t>Refrigeración</w:t>
            </w:r>
          </w:p>
        </w:tc>
        <w:tc>
          <w:tcPr>
            <w:tcW w:w="417" w:type="pct"/>
            <w:shd w:val="clear" w:color="auto" w:fill="auto"/>
          </w:tcPr>
          <w:p w14:paraId="5BB45C37" w14:textId="23B52081" w:rsidR="00EE5B08" w:rsidRPr="00BA1ECA" w:rsidRDefault="00E26F0F" w:rsidP="00E02DF4">
            <w:pPr>
              <w:spacing w:after="60"/>
              <w:jc w:val="center"/>
              <w:rPr>
                <w:sz w:val="18"/>
                <w:szCs w:val="18"/>
                <w:lang w:val="es-ES_tradnl"/>
              </w:rPr>
            </w:pPr>
            <w:r w:rsidRPr="00BA1ECA">
              <w:rPr>
                <w:sz w:val="18"/>
                <w:szCs w:val="18"/>
                <w:lang w:val="es-ES_tradnl"/>
              </w:rPr>
              <w:t>Solventes</w:t>
            </w:r>
          </w:p>
        </w:tc>
        <w:tc>
          <w:tcPr>
            <w:tcW w:w="417" w:type="pct"/>
            <w:shd w:val="clear" w:color="auto" w:fill="auto"/>
          </w:tcPr>
          <w:p w14:paraId="31428BC3" w14:textId="618E567B" w:rsidR="00EE5B08" w:rsidRPr="00BA1ECA" w:rsidRDefault="00755C5D" w:rsidP="00E02DF4">
            <w:pPr>
              <w:spacing w:after="60"/>
              <w:jc w:val="center"/>
              <w:rPr>
                <w:sz w:val="18"/>
                <w:szCs w:val="18"/>
                <w:lang w:val="es-ES_tradnl"/>
              </w:rPr>
            </w:pPr>
            <w:r w:rsidRPr="00BA1ECA">
              <w:rPr>
                <w:sz w:val="18"/>
                <w:szCs w:val="18"/>
                <w:lang w:val="es-ES_tradnl"/>
              </w:rPr>
              <w:t>Agente</w:t>
            </w:r>
            <w:r w:rsidR="00A13BEA" w:rsidRPr="00BA1ECA">
              <w:rPr>
                <w:sz w:val="18"/>
                <w:szCs w:val="18"/>
                <w:lang w:val="es-ES_tradnl"/>
              </w:rPr>
              <w:t xml:space="preserve"> </w:t>
            </w:r>
            <w:r w:rsidRPr="00BA1ECA">
              <w:rPr>
                <w:sz w:val="18"/>
                <w:szCs w:val="18"/>
                <w:lang w:val="es-ES_tradnl"/>
              </w:rPr>
              <w:t>de</w:t>
            </w:r>
            <w:r w:rsidR="00A13BEA" w:rsidRPr="00BA1ECA">
              <w:rPr>
                <w:sz w:val="18"/>
                <w:szCs w:val="18"/>
                <w:lang w:val="es-ES_tradnl"/>
              </w:rPr>
              <w:t xml:space="preserve"> </w:t>
            </w:r>
            <w:r w:rsidRPr="00BA1ECA">
              <w:rPr>
                <w:sz w:val="18"/>
                <w:szCs w:val="18"/>
                <w:lang w:val="es-ES_tradnl"/>
              </w:rPr>
              <w:t>procesos</w:t>
            </w:r>
          </w:p>
        </w:tc>
        <w:tc>
          <w:tcPr>
            <w:tcW w:w="265" w:type="pct"/>
            <w:shd w:val="clear" w:color="auto" w:fill="auto"/>
          </w:tcPr>
          <w:p w14:paraId="60F89340" w14:textId="49BE0780" w:rsidR="00EE5B08" w:rsidRPr="00BA1ECA" w:rsidRDefault="00755C5D" w:rsidP="00E02DF4">
            <w:pPr>
              <w:spacing w:after="60"/>
              <w:jc w:val="center"/>
              <w:rPr>
                <w:sz w:val="18"/>
                <w:szCs w:val="18"/>
                <w:lang w:val="es-ES_tradnl"/>
              </w:rPr>
            </w:pPr>
            <w:r w:rsidRPr="00BA1ECA">
              <w:rPr>
                <w:sz w:val="18"/>
                <w:szCs w:val="18"/>
                <w:lang w:val="es-ES_tradnl"/>
              </w:rPr>
              <w:t>Uso</w:t>
            </w:r>
            <w:r w:rsidR="00A13BEA" w:rsidRPr="00BA1ECA">
              <w:rPr>
                <w:sz w:val="18"/>
                <w:szCs w:val="18"/>
                <w:lang w:val="es-ES_tradnl"/>
              </w:rPr>
              <w:t xml:space="preserve"> </w:t>
            </w:r>
            <w:r w:rsidRPr="00BA1ECA">
              <w:rPr>
                <w:sz w:val="18"/>
                <w:szCs w:val="18"/>
                <w:lang w:val="es-ES_tradnl"/>
              </w:rPr>
              <w:t>en</w:t>
            </w:r>
            <w:r w:rsidR="00A13BEA" w:rsidRPr="00BA1ECA">
              <w:rPr>
                <w:sz w:val="18"/>
                <w:szCs w:val="18"/>
                <w:lang w:val="es-ES_tradnl"/>
              </w:rPr>
              <w:t xml:space="preserve"> </w:t>
            </w:r>
            <w:proofErr w:type="spellStart"/>
            <w:r w:rsidRPr="00BA1ECA">
              <w:rPr>
                <w:sz w:val="18"/>
                <w:szCs w:val="18"/>
                <w:lang w:val="es-ES_tradnl"/>
              </w:rPr>
              <w:t>labs</w:t>
            </w:r>
            <w:proofErr w:type="spellEnd"/>
            <w:r w:rsidRPr="00BA1ECA">
              <w:rPr>
                <w:sz w:val="18"/>
                <w:szCs w:val="18"/>
                <w:lang w:val="es-ES_tradnl"/>
              </w:rPr>
              <w:t>.</w:t>
            </w:r>
          </w:p>
        </w:tc>
        <w:tc>
          <w:tcPr>
            <w:tcW w:w="718" w:type="pct"/>
            <w:shd w:val="clear" w:color="auto" w:fill="auto"/>
          </w:tcPr>
          <w:p w14:paraId="3B35EF2B" w14:textId="68838F14" w:rsidR="00EE5B08" w:rsidRPr="00BA1ECA" w:rsidRDefault="00755C5D" w:rsidP="00E02DF4">
            <w:pPr>
              <w:spacing w:after="60"/>
              <w:jc w:val="center"/>
              <w:rPr>
                <w:sz w:val="18"/>
                <w:szCs w:val="18"/>
                <w:lang w:val="es-ES_tradnl"/>
              </w:rPr>
            </w:pPr>
            <w:r w:rsidRPr="00BA1ECA">
              <w:rPr>
                <w:sz w:val="18"/>
                <w:szCs w:val="18"/>
                <w:lang w:val="es-ES_tradnl"/>
              </w:rPr>
              <w:t>Consumo</w:t>
            </w:r>
            <w:r w:rsidR="00A13BEA" w:rsidRPr="00BA1ECA">
              <w:rPr>
                <w:sz w:val="18"/>
                <w:szCs w:val="18"/>
                <w:lang w:val="es-ES_tradnl"/>
              </w:rPr>
              <w:t xml:space="preserve"> </w:t>
            </w:r>
            <w:r w:rsidRPr="00BA1ECA">
              <w:rPr>
                <w:sz w:val="18"/>
                <w:szCs w:val="18"/>
                <w:lang w:val="es-ES_tradnl"/>
              </w:rPr>
              <w:t>total</w:t>
            </w:r>
            <w:r w:rsidR="00A13BEA" w:rsidRPr="00BA1ECA">
              <w:rPr>
                <w:sz w:val="18"/>
                <w:szCs w:val="18"/>
                <w:lang w:val="es-ES_tradnl"/>
              </w:rPr>
              <w:t xml:space="preserve"> </w:t>
            </w:r>
            <w:r w:rsidRPr="00BA1ECA">
              <w:rPr>
                <w:sz w:val="18"/>
                <w:szCs w:val="18"/>
                <w:lang w:val="es-ES_tradnl"/>
              </w:rPr>
              <w:t>del</w:t>
            </w:r>
            <w:r w:rsidR="00A13BEA" w:rsidRPr="00BA1ECA">
              <w:rPr>
                <w:sz w:val="18"/>
                <w:szCs w:val="18"/>
                <w:lang w:val="es-ES_tradnl"/>
              </w:rPr>
              <w:t xml:space="preserve"> </w:t>
            </w:r>
            <w:r w:rsidRPr="00BA1ECA">
              <w:rPr>
                <w:sz w:val="18"/>
                <w:szCs w:val="18"/>
                <w:lang w:val="es-ES_tradnl"/>
              </w:rPr>
              <w:t>sector</w:t>
            </w:r>
          </w:p>
        </w:tc>
      </w:tr>
      <w:tr w:rsidR="00EE5B08" w:rsidRPr="00BA1ECA" w14:paraId="60920210" w14:textId="77777777" w:rsidTr="00B428CF">
        <w:trPr>
          <w:trHeight w:val="70"/>
        </w:trPr>
        <w:tc>
          <w:tcPr>
            <w:tcW w:w="1980" w:type="pct"/>
            <w:gridSpan w:val="4"/>
            <w:shd w:val="clear" w:color="auto" w:fill="auto"/>
          </w:tcPr>
          <w:p w14:paraId="6C849841" w14:textId="2D5C7D29" w:rsidR="00EE5B08" w:rsidRPr="00BA1ECA" w:rsidRDefault="00A13BEA" w:rsidP="00E02DF4">
            <w:pPr>
              <w:spacing w:after="60"/>
              <w:jc w:val="center"/>
              <w:rPr>
                <w:sz w:val="18"/>
                <w:szCs w:val="18"/>
                <w:lang w:val="es-ES_tradnl"/>
              </w:rPr>
            </w:pPr>
            <w:r w:rsidRPr="00BA1ECA">
              <w:rPr>
                <w:sz w:val="18"/>
                <w:szCs w:val="18"/>
                <w:lang w:val="es-ES_tradnl"/>
              </w:rPr>
              <w:t xml:space="preserve"> </w:t>
            </w:r>
          </w:p>
        </w:tc>
        <w:tc>
          <w:tcPr>
            <w:tcW w:w="708" w:type="pct"/>
            <w:shd w:val="clear" w:color="auto" w:fill="auto"/>
          </w:tcPr>
          <w:p w14:paraId="35D1EA81" w14:textId="726D0C38" w:rsidR="00EE5B08" w:rsidRPr="00BA1ECA" w:rsidRDefault="00755C5D" w:rsidP="00E02DF4">
            <w:pPr>
              <w:spacing w:after="60"/>
              <w:jc w:val="center"/>
              <w:rPr>
                <w:sz w:val="18"/>
                <w:szCs w:val="18"/>
                <w:lang w:val="es-ES_tradnl"/>
              </w:rPr>
            </w:pPr>
            <w:r w:rsidRPr="00BA1ECA">
              <w:rPr>
                <w:sz w:val="18"/>
                <w:szCs w:val="18"/>
                <w:lang w:val="es-ES_tradnl"/>
              </w:rPr>
              <w:t>Fabricación</w:t>
            </w:r>
          </w:p>
        </w:tc>
        <w:tc>
          <w:tcPr>
            <w:tcW w:w="495" w:type="pct"/>
            <w:shd w:val="clear" w:color="auto" w:fill="auto"/>
          </w:tcPr>
          <w:p w14:paraId="511E1820" w14:textId="6893EC88" w:rsidR="00EE5B08" w:rsidRPr="00BA1ECA" w:rsidRDefault="00755C5D" w:rsidP="00E02DF4">
            <w:pPr>
              <w:spacing w:after="60"/>
              <w:jc w:val="center"/>
              <w:rPr>
                <w:sz w:val="18"/>
                <w:szCs w:val="18"/>
                <w:lang w:val="es-ES_tradnl"/>
              </w:rPr>
            </w:pPr>
            <w:r w:rsidRPr="00BA1ECA">
              <w:rPr>
                <w:sz w:val="18"/>
                <w:szCs w:val="18"/>
                <w:lang w:val="es-ES_tradnl"/>
              </w:rPr>
              <w:t>Servicio</w:t>
            </w:r>
            <w:r w:rsidR="00A13BEA" w:rsidRPr="00BA1ECA">
              <w:rPr>
                <w:sz w:val="18"/>
                <w:szCs w:val="18"/>
                <w:lang w:val="es-ES_tradnl"/>
              </w:rPr>
              <w:t xml:space="preserve"> </w:t>
            </w:r>
            <w:r w:rsidRPr="00BA1ECA">
              <w:rPr>
                <w:sz w:val="18"/>
                <w:szCs w:val="18"/>
                <w:lang w:val="es-ES_tradnl"/>
              </w:rPr>
              <w:t>técnico</w:t>
            </w:r>
          </w:p>
        </w:tc>
        <w:tc>
          <w:tcPr>
            <w:tcW w:w="1817" w:type="pct"/>
            <w:gridSpan w:val="4"/>
            <w:shd w:val="clear" w:color="auto" w:fill="auto"/>
          </w:tcPr>
          <w:p w14:paraId="0A90657C" w14:textId="77777777" w:rsidR="00EE5B08" w:rsidRPr="00BA1ECA" w:rsidRDefault="00EE5B08" w:rsidP="00E02DF4">
            <w:pPr>
              <w:spacing w:after="60"/>
              <w:jc w:val="center"/>
              <w:rPr>
                <w:sz w:val="18"/>
                <w:szCs w:val="18"/>
                <w:lang w:val="es-ES_tradnl"/>
              </w:rPr>
            </w:pPr>
          </w:p>
        </w:tc>
      </w:tr>
      <w:tr w:rsidR="00EE5B08" w:rsidRPr="00BA1ECA" w14:paraId="5D36362E" w14:textId="77777777" w:rsidTr="00B428CF">
        <w:trPr>
          <w:trHeight w:val="250"/>
        </w:trPr>
        <w:tc>
          <w:tcPr>
            <w:tcW w:w="786" w:type="pct"/>
            <w:shd w:val="clear" w:color="auto" w:fill="auto"/>
          </w:tcPr>
          <w:p w14:paraId="5C660C9B" w14:textId="132198EE" w:rsidR="00EE5B08" w:rsidRPr="00BA1ECA" w:rsidRDefault="00EE5B08" w:rsidP="00E02DF4">
            <w:pPr>
              <w:spacing w:after="60"/>
              <w:jc w:val="left"/>
              <w:rPr>
                <w:sz w:val="18"/>
                <w:szCs w:val="18"/>
                <w:lang w:val="es-ES_tradnl"/>
              </w:rPr>
            </w:pPr>
            <w:r w:rsidRPr="00BA1ECA">
              <w:rPr>
                <w:color w:val="000000" w:themeColor="text1"/>
                <w:sz w:val="18"/>
                <w:szCs w:val="18"/>
                <w:lang w:val="es-ES_tradnl"/>
              </w:rPr>
              <w:t>HCFC</w:t>
            </w:r>
            <w:r w:rsidR="00755C5D" w:rsidRPr="00BA1ECA">
              <w:rPr>
                <w:color w:val="000000" w:themeColor="text1"/>
                <w:sz w:val="18"/>
                <w:szCs w:val="18"/>
                <w:lang w:val="es-ES_tradnl"/>
              </w:rPr>
              <w:t>-</w:t>
            </w:r>
            <w:r w:rsidRPr="00BA1ECA">
              <w:rPr>
                <w:color w:val="000000" w:themeColor="text1"/>
                <w:sz w:val="18"/>
                <w:szCs w:val="18"/>
                <w:lang w:val="es-ES_tradnl"/>
              </w:rPr>
              <w:t>22</w:t>
            </w:r>
          </w:p>
        </w:tc>
        <w:tc>
          <w:tcPr>
            <w:tcW w:w="428" w:type="pct"/>
            <w:shd w:val="clear" w:color="auto" w:fill="auto"/>
          </w:tcPr>
          <w:p w14:paraId="51FE8C9F" w14:textId="77777777" w:rsidR="00EE5B08" w:rsidRPr="00BA1ECA" w:rsidRDefault="00EE5B08" w:rsidP="00E02DF4">
            <w:pPr>
              <w:spacing w:after="60"/>
              <w:jc w:val="right"/>
              <w:rPr>
                <w:sz w:val="18"/>
                <w:szCs w:val="18"/>
                <w:lang w:val="es-ES_tradnl"/>
              </w:rPr>
            </w:pPr>
          </w:p>
        </w:tc>
        <w:tc>
          <w:tcPr>
            <w:tcW w:w="338" w:type="pct"/>
            <w:shd w:val="clear" w:color="auto" w:fill="auto"/>
          </w:tcPr>
          <w:p w14:paraId="2D658256" w14:textId="77777777" w:rsidR="00EE5B08" w:rsidRPr="00BA1ECA" w:rsidRDefault="00EE5B08" w:rsidP="00E02DF4">
            <w:pPr>
              <w:spacing w:after="60"/>
              <w:jc w:val="right"/>
              <w:rPr>
                <w:sz w:val="18"/>
                <w:szCs w:val="18"/>
                <w:lang w:val="es-ES_tradnl"/>
              </w:rPr>
            </w:pPr>
          </w:p>
        </w:tc>
        <w:tc>
          <w:tcPr>
            <w:tcW w:w="428" w:type="pct"/>
            <w:shd w:val="clear" w:color="auto" w:fill="auto"/>
          </w:tcPr>
          <w:p w14:paraId="2A45D72A" w14:textId="77777777" w:rsidR="00EE5B08" w:rsidRPr="00BA1ECA" w:rsidRDefault="00EE5B08" w:rsidP="00E02DF4">
            <w:pPr>
              <w:spacing w:after="60"/>
              <w:jc w:val="right"/>
              <w:rPr>
                <w:sz w:val="18"/>
                <w:szCs w:val="18"/>
                <w:lang w:val="es-ES_tradnl"/>
              </w:rPr>
            </w:pPr>
          </w:p>
        </w:tc>
        <w:tc>
          <w:tcPr>
            <w:tcW w:w="708" w:type="pct"/>
            <w:shd w:val="clear" w:color="auto" w:fill="auto"/>
          </w:tcPr>
          <w:p w14:paraId="545C2965" w14:textId="77777777" w:rsidR="00EE5B08" w:rsidRPr="00BA1ECA" w:rsidRDefault="00B428CF" w:rsidP="00E02DF4">
            <w:pPr>
              <w:spacing w:after="60"/>
              <w:jc w:val="right"/>
              <w:rPr>
                <w:sz w:val="18"/>
                <w:szCs w:val="18"/>
                <w:lang w:val="es-ES_tradnl"/>
              </w:rPr>
            </w:pPr>
            <w:r w:rsidRPr="00BA1ECA">
              <w:rPr>
                <w:sz w:val="18"/>
                <w:szCs w:val="18"/>
                <w:lang w:val="es-ES_tradnl"/>
              </w:rPr>
              <w:t>3.52</w:t>
            </w:r>
          </w:p>
        </w:tc>
        <w:tc>
          <w:tcPr>
            <w:tcW w:w="495" w:type="pct"/>
            <w:shd w:val="clear" w:color="auto" w:fill="auto"/>
          </w:tcPr>
          <w:p w14:paraId="6EACD7F0" w14:textId="77777777" w:rsidR="00EE5B08" w:rsidRPr="00BA1ECA" w:rsidRDefault="00B428CF" w:rsidP="00B428CF">
            <w:pPr>
              <w:spacing w:after="60"/>
              <w:jc w:val="right"/>
              <w:rPr>
                <w:sz w:val="18"/>
                <w:szCs w:val="18"/>
                <w:lang w:val="es-ES_tradnl"/>
              </w:rPr>
            </w:pPr>
            <w:r w:rsidRPr="00BA1ECA">
              <w:rPr>
                <w:sz w:val="18"/>
                <w:szCs w:val="18"/>
                <w:lang w:val="es-ES_tradnl"/>
              </w:rPr>
              <w:t>62.70</w:t>
            </w:r>
          </w:p>
        </w:tc>
        <w:tc>
          <w:tcPr>
            <w:tcW w:w="417" w:type="pct"/>
            <w:shd w:val="clear" w:color="auto" w:fill="auto"/>
          </w:tcPr>
          <w:p w14:paraId="77E500A1" w14:textId="77777777" w:rsidR="00EE5B08" w:rsidRPr="00BA1ECA" w:rsidRDefault="00EE5B08" w:rsidP="00E02DF4">
            <w:pPr>
              <w:spacing w:after="60"/>
              <w:jc w:val="right"/>
              <w:rPr>
                <w:sz w:val="18"/>
                <w:szCs w:val="18"/>
                <w:lang w:val="es-ES_tradnl"/>
              </w:rPr>
            </w:pPr>
          </w:p>
        </w:tc>
        <w:tc>
          <w:tcPr>
            <w:tcW w:w="417" w:type="pct"/>
            <w:shd w:val="clear" w:color="auto" w:fill="auto"/>
          </w:tcPr>
          <w:p w14:paraId="275616CD" w14:textId="77777777" w:rsidR="00EE5B08" w:rsidRPr="00BA1ECA" w:rsidRDefault="00EE5B08" w:rsidP="00E02DF4">
            <w:pPr>
              <w:spacing w:after="60"/>
              <w:jc w:val="right"/>
              <w:rPr>
                <w:sz w:val="18"/>
                <w:szCs w:val="18"/>
                <w:lang w:val="es-ES_tradnl"/>
              </w:rPr>
            </w:pPr>
          </w:p>
        </w:tc>
        <w:tc>
          <w:tcPr>
            <w:tcW w:w="265" w:type="pct"/>
            <w:shd w:val="clear" w:color="auto" w:fill="auto"/>
          </w:tcPr>
          <w:p w14:paraId="2CB5891F" w14:textId="77777777" w:rsidR="00EE5B08" w:rsidRPr="00BA1ECA" w:rsidRDefault="00EE5B08" w:rsidP="00E02DF4">
            <w:pPr>
              <w:spacing w:after="60"/>
              <w:jc w:val="right"/>
              <w:rPr>
                <w:sz w:val="18"/>
                <w:szCs w:val="18"/>
                <w:lang w:val="es-ES_tradnl"/>
              </w:rPr>
            </w:pPr>
          </w:p>
        </w:tc>
        <w:tc>
          <w:tcPr>
            <w:tcW w:w="718" w:type="pct"/>
            <w:shd w:val="clear" w:color="auto" w:fill="auto"/>
          </w:tcPr>
          <w:p w14:paraId="4B5A2B26" w14:textId="77777777" w:rsidR="00EE5B08" w:rsidRPr="00BA1ECA" w:rsidRDefault="00B428CF" w:rsidP="00E02DF4">
            <w:pPr>
              <w:spacing w:after="60"/>
              <w:jc w:val="right"/>
              <w:rPr>
                <w:sz w:val="18"/>
                <w:szCs w:val="18"/>
                <w:lang w:val="es-ES_tradnl"/>
              </w:rPr>
            </w:pPr>
            <w:r w:rsidRPr="00BA1ECA">
              <w:rPr>
                <w:color w:val="000000" w:themeColor="text1"/>
                <w:sz w:val="18"/>
                <w:szCs w:val="18"/>
                <w:lang w:val="es-ES_tradnl"/>
              </w:rPr>
              <w:t>66.22</w:t>
            </w:r>
          </w:p>
        </w:tc>
      </w:tr>
    </w:tbl>
    <w:p w14:paraId="03C979B3" w14:textId="77777777" w:rsidR="00EE5B08" w:rsidRPr="00BA1ECA" w:rsidRDefault="00EE5B08" w:rsidP="00EE5B08">
      <w:pPr>
        <w:jc w:val="left"/>
        <w:rPr>
          <w:b/>
          <w:bCs/>
          <w:sz w:val="18"/>
          <w:szCs w:val="18"/>
          <w:lang w:val="es-ES_tradnl"/>
        </w:rPr>
      </w:pPr>
    </w:p>
    <w:tbl>
      <w:tblPr>
        <w:tblStyle w:val="TableGrid"/>
        <w:tblW w:w="5309" w:type="pct"/>
        <w:tblInd w:w="-572" w:type="dxa"/>
        <w:tblLook w:val="04A0" w:firstRow="1" w:lastRow="0" w:firstColumn="1" w:lastColumn="0" w:noHBand="0" w:noVBand="1"/>
      </w:tblPr>
      <w:tblGrid>
        <w:gridCol w:w="3083"/>
        <w:gridCol w:w="841"/>
        <w:gridCol w:w="5293"/>
        <w:gridCol w:w="711"/>
      </w:tblGrid>
      <w:tr w:rsidR="00EE5B08" w:rsidRPr="00BA1ECA" w14:paraId="5774380C" w14:textId="77777777" w:rsidTr="00E02DF4">
        <w:trPr>
          <w:trHeight w:val="289"/>
        </w:trPr>
        <w:tc>
          <w:tcPr>
            <w:tcW w:w="5000" w:type="pct"/>
            <w:gridSpan w:val="4"/>
            <w:shd w:val="clear" w:color="auto" w:fill="auto"/>
          </w:tcPr>
          <w:p w14:paraId="634E8C96" w14:textId="602B55C0" w:rsidR="00EE5B08" w:rsidRPr="00BA1ECA" w:rsidRDefault="00755C5D" w:rsidP="00E02DF4">
            <w:pPr>
              <w:jc w:val="left"/>
              <w:rPr>
                <w:b/>
                <w:bCs/>
                <w:sz w:val="18"/>
                <w:szCs w:val="18"/>
                <w:lang w:val="es-ES_tradnl"/>
              </w:rPr>
            </w:pPr>
            <w:r w:rsidRPr="00BA1ECA">
              <w:rPr>
                <w:b/>
                <w:bCs/>
                <w:sz w:val="18"/>
                <w:szCs w:val="18"/>
                <w:lang w:val="es-ES_tradnl"/>
              </w:rPr>
              <w:t>IV)</w:t>
            </w:r>
            <w:r w:rsidR="00A13BEA" w:rsidRPr="00BA1ECA">
              <w:rPr>
                <w:b/>
                <w:bCs/>
                <w:sz w:val="18"/>
                <w:szCs w:val="18"/>
                <w:lang w:val="es-ES_tradnl"/>
              </w:rPr>
              <w:t xml:space="preserve"> </w:t>
            </w:r>
            <w:r w:rsidRPr="00BA1ECA">
              <w:rPr>
                <w:b/>
                <w:bCs/>
                <w:sz w:val="18"/>
                <w:szCs w:val="18"/>
                <w:lang w:val="es-ES_tradnl"/>
              </w:rPr>
              <w:t>DATOS</w:t>
            </w:r>
            <w:r w:rsidR="00A13BEA" w:rsidRPr="00BA1ECA">
              <w:rPr>
                <w:b/>
                <w:bCs/>
                <w:sz w:val="18"/>
                <w:szCs w:val="18"/>
                <w:lang w:val="es-ES_tradnl"/>
              </w:rPr>
              <w:t xml:space="preserve"> </w:t>
            </w:r>
            <w:r w:rsidRPr="00BA1ECA">
              <w:rPr>
                <w:b/>
                <w:bCs/>
                <w:sz w:val="18"/>
                <w:szCs w:val="18"/>
                <w:lang w:val="es-ES_tradnl"/>
              </w:rPr>
              <w:t>DE</w:t>
            </w:r>
            <w:r w:rsidR="00A13BEA" w:rsidRPr="00BA1ECA">
              <w:rPr>
                <w:b/>
                <w:bCs/>
                <w:sz w:val="18"/>
                <w:szCs w:val="18"/>
                <w:lang w:val="es-ES_tradnl"/>
              </w:rPr>
              <w:t xml:space="preserve"> </w:t>
            </w:r>
            <w:r w:rsidRPr="00BA1ECA">
              <w:rPr>
                <w:b/>
                <w:bCs/>
                <w:sz w:val="18"/>
                <w:szCs w:val="18"/>
                <w:lang w:val="es-ES_tradnl"/>
              </w:rPr>
              <w:t>CONSUMO</w:t>
            </w:r>
            <w:r w:rsidR="00A13BEA" w:rsidRPr="00BA1ECA">
              <w:rPr>
                <w:b/>
                <w:bCs/>
                <w:sz w:val="18"/>
                <w:szCs w:val="18"/>
                <w:lang w:val="es-ES_tradnl"/>
              </w:rPr>
              <w:t xml:space="preserve"> </w:t>
            </w:r>
            <w:r w:rsidR="00EE5B08" w:rsidRPr="00BA1ECA">
              <w:rPr>
                <w:b/>
                <w:bCs/>
                <w:sz w:val="18"/>
                <w:szCs w:val="18"/>
                <w:lang w:val="es-ES_tradnl"/>
              </w:rPr>
              <w:t>(</w:t>
            </w:r>
            <w:proofErr w:type="spellStart"/>
            <w:r w:rsidR="000521A3" w:rsidRPr="00BA1ECA">
              <w:rPr>
                <w:b/>
                <w:bCs/>
                <w:sz w:val="18"/>
                <w:szCs w:val="18"/>
                <w:lang w:val="es-ES_tradnl"/>
              </w:rPr>
              <w:t>tons</w:t>
            </w:r>
            <w:proofErr w:type="spellEnd"/>
            <w:r w:rsidR="000521A3" w:rsidRPr="00BA1ECA">
              <w:rPr>
                <w:b/>
                <w:bCs/>
                <w:sz w:val="18"/>
                <w:szCs w:val="18"/>
                <w:lang w:val="es-ES_tradnl"/>
              </w:rPr>
              <w:t>.</w:t>
            </w:r>
            <w:r w:rsidR="00A13BEA" w:rsidRPr="00BA1ECA">
              <w:rPr>
                <w:b/>
                <w:bCs/>
                <w:sz w:val="18"/>
                <w:szCs w:val="18"/>
                <w:lang w:val="es-ES_tradnl"/>
              </w:rPr>
              <w:t xml:space="preserve"> </w:t>
            </w:r>
            <w:r w:rsidR="000521A3" w:rsidRPr="00BA1ECA">
              <w:rPr>
                <w:b/>
                <w:bCs/>
                <w:sz w:val="18"/>
                <w:szCs w:val="18"/>
                <w:lang w:val="es-ES_tradnl"/>
              </w:rPr>
              <w:t>PAO)</w:t>
            </w:r>
          </w:p>
        </w:tc>
      </w:tr>
      <w:tr w:rsidR="00EE5B08" w:rsidRPr="00BA1ECA" w14:paraId="37560B36" w14:textId="77777777" w:rsidTr="00E02DF4">
        <w:trPr>
          <w:trHeight w:val="289"/>
        </w:trPr>
        <w:tc>
          <w:tcPr>
            <w:tcW w:w="1600" w:type="pct"/>
            <w:shd w:val="clear" w:color="auto" w:fill="auto"/>
          </w:tcPr>
          <w:p w14:paraId="2097113C" w14:textId="12E62CFF" w:rsidR="00EE5B08" w:rsidRPr="00BA1ECA" w:rsidRDefault="009374DA" w:rsidP="00E02DF4">
            <w:pPr>
              <w:spacing w:after="60"/>
              <w:jc w:val="center"/>
              <w:rPr>
                <w:sz w:val="18"/>
                <w:szCs w:val="18"/>
                <w:lang w:val="es-ES_tradnl"/>
              </w:rPr>
            </w:pPr>
            <w:r w:rsidRPr="00BA1ECA">
              <w:rPr>
                <w:sz w:val="18"/>
                <w:szCs w:val="18"/>
                <w:lang w:val="es-ES_tradnl"/>
              </w:rPr>
              <w:t>Base</w:t>
            </w:r>
            <w:r w:rsidR="00A13BEA" w:rsidRPr="00BA1ECA">
              <w:rPr>
                <w:sz w:val="18"/>
                <w:szCs w:val="18"/>
                <w:lang w:val="es-ES_tradnl"/>
              </w:rPr>
              <w:t xml:space="preserve"> </w:t>
            </w:r>
            <w:r w:rsidRPr="00BA1ECA">
              <w:rPr>
                <w:sz w:val="18"/>
                <w:szCs w:val="18"/>
                <w:lang w:val="es-ES_tradnl"/>
              </w:rPr>
              <w:t>de</w:t>
            </w:r>
            <w:r w:rsidR="00A13BEA" w:rsidRPr="00BA1ECA">
              <w:rPr>
                <w:sz w:val="18"/>
                <w:szCs w:val="18"/>
                <w:lang w:val="es-ES_tradnl"/>
              </w:rPr>
              <w:t xml:space="preserve"> </w:t>
            </w:r>
            <w:r w:rsidRPr="00BA1ECA">
              <w:rPr>
                <w:sz w:val="18"/>
                <w:szCs w:val="18"/>
                <w:lang w:val="es-ES_tradnl"/>
              </w:rPr>
              <w:t>comparación</w:t>
            </w:r>
            <w:r w:rsidR="00A13BEA" w:rsidRPr="00BA1ECA">
              <w:rPr>
                <w:sz w:val="18"/>
                <w:szCs w:val="18"/>
                <w:lang w:val="es-ES_tradnl"/>
              </w:rPr>
              <w:t xml:space="preserve"> </w:t>
            </w:r>
            <w:r w:rsidRPr="00BA1ECA">
              <w:rPr>
                <w:sz w:val="18"/>
                <w:szCs w:val="18"/>
                <w:lang w:val="es-ES_tradnl"/>
              </w:rPr>
              <w:t>2009-2010</w:t>
            </w:r>
            <w:r w:rsidR="00EE5B08" w:rsidRPr="00BA1ECA">
              <w:rPr>
                <w:sz w:val="18"/>
                <w:szCs w:val="18"/>
                <w:lang w:val="es-ES_tradnl"/>
              </w:rPr>
              <w:t>:</w:t>
            </w:r>
          </w:p>
        </w:tc>
        <w:tc>
          <w:tcPr>
            <w:tcW w:w="471" w:type="pct"/>
            <w:shd w:val="clear" w:color="auto" w:fill="auto"/>
          </w:tcPr>
          <w:p w14:paraId="5E7CDB59" w14:textId="77777777" w:rsidR="00EE5B08" w:rsidRPr="00BA1ECA" w:rsidRDefault="00C43097" w:rsidP="00D97E6C">
            <w:pPr>
              <w:spacing w:after="60"/>
              <w:jc w:val="center"/>
              <w:rPr>
                <w:sz w:val="18"/>
                <w:szCs w:val="18"/>
                <w:lang w:val="es-ES_tradnl"/>
              </w:rPr>
            </w:pPr>
            <w:r w:rsidRPr="00BA1ECA">
              <w:rPr>
                <w:color w:val="000000" w:themeColor="text1"/>
                <w:sz w:val="18"/>
                <w:szCs w:val="18"/>
                <w:lang w:val="es-ES_tradnl"/>
              </w:rPr>
              <w:t>108.</w:t>
            </w:r>
            <w:r w:rsidR="00D97E6C" w:rsidRPr="00BA1ECA">
              <w:rPr>
                <w:color w:val="000000" w:themeColor="text1"/>
                <w:sz w:val="18"/>
                <w:szCs w:val="18"/>
                <w:lang w:val="es-ES_tradnl"/>
              </w:rPr>
              <w:t>38</w:t>
            </w:r>
          </w:p>
        </w:tc>
        <w:tc>
          <w:tcPr>
            <w:tcW w:w="2713" w:type="pct"/>
            <w:shd w:val="clear" w:color="auto" w:fill="auto"/>
          </w:tcPr>
          <w:p w14:paraId="76F7DA24" w14:textId="312E243C" w:rsidR="00EE5B08" w:rsidRPr="00BA1ECA" w:rsidRDefault="00755C5D" w:rsidP="00E02DF4">
            <w:pPr>
              <w:spacing w:after="60"/>
              <w:jc w:val="center"/>
              <w:rPr>
                <w:sz w:val="18"/>
                <w:szCs w:val="18"/>
                <w:lang w:val="es-ES_tradnl"/>
              </w:rPr>
            </w:pPr>
            <w:r w:rsidRPr="00BA1ECA">
              <w:rPr>
                <w:sz w:val="18"/>
                <w:szCs w:val="18"/>
                <w:lang w:val="es-ES_tradnl"/>
              </w:rPr>
              <w:t>Punto</w:t>
            </w:r>
            <w:r w:rsidR="00A13BEA" w:rsidRPr="00BA1ECA">
              <w:rPr>
                <w:sz w:val="18"/>
                <w:szCs w:val="18"/>
                <w:lang w:val="es-ES_tradnl"/>
              </w:rPr>
              <w:t xml:space="preserve"> </w:t>
            </w:r>
            <w:r w:rsidRPr="00BA1ECA">
              <w:rPr>
                <w:sz w:val="18"/>
                <w:szCs w:val="18"/>
                <w:lang w:val="es-ES_tradnl"/>
              </w:rPr>
              <w:t>de</w:t>
            </w:r>
            <w:r w:rsidR="00A13BEA" w:rsidRPr="00BA1ECA">
              <w:rPr>
                <w:sz w:val="18"/>
                <w:szCs w:val="18"/>
                <w:lang w:val="es-ES_tradnl"/>
              </w:rPr>
              <w:t xml:space="preserve"> </w:t>
            </w:r>
            <w:r w:rsidRPr="00BA1ECA">
              <w:rPr>
                <w:sz w:val="18"/>
                <w:szCs w:val="18"/>
                <w:lang w:val="es-ES_tradnl"/>
              </w:rPr>
              <w:t>partida</w:t>
            </w:r>
            <w:r w:rsidR="00A13BEA" w:rsidRPr="00BA1ECA">
              <w:rPr>
                <w:sz w:val="18"/>
                <w:szCs w:val="18"/>
                <w:lang w:val="es-ES_tradnl"/>
              </w:rPr>
              <w:t xml:space="preserve"> </w:t>
            </w:r>
            <w:r w:rsidRPr="00BA1ECA">
              <w:rPr>
                <w:sz w:val="18"/>
                <w:szCs w:val="18"/>
                <w:lang w:val="es-ES_tradnl"/>
              </w:rPr>
              <w:t>para</w:t>
            </w:r>
            <w:r w:rsidR="00A13BEA" w:rsidRPr="00BA1ECA">
              <w:rPr>
                <w:sz w:val="18"/>
                <w:szCs w:val="18"/>
                <w:lang w:val="es-ES_tradnl"/>
              </w:rPr>
              <w:t xml:space="preserve"> </w:t>
            </w:r>
            <w:r w:rsidRPr="00BA1ECA">
              <w:rPr>
                <w:sz w:val="18"/>
                <w:szCs w:val="18"/>
                <w:lang w:val="es-ES_tradnl"/>
              </w:rPr>
              <w:t>reducciones</w:t>
            </w:r>
            <w:r w:rsidR="00A13BEA" w:rsidRPr="00BA1ECA">
              <w:rPr>
                <w:sz w:val="18"/>
                <w:szCs w:val="18"/>
                <w:lang w:val="es-ES_tradnl"/>
              </w:rPr>
              <w:t xml:space="preserve"> </w:t>
            </w:r>
            <w:r w:rsidRPr="00BA1ECA">
              <w:rPr>
                <w:sz w:val="18"/>
                <w:szCs w:val="18"/>
                <w:lang w:val="es-ES_tradnl"/>
              </w:rPr>
              <w:t>acumulativas</w:t>
            </w:r>
            <w:r w:rsidR="00A13BEA" w:rsidRPr="00BA1ECA">
              <w:rPr>
                <w:sz w:val="18"/>
                <w:szCs w:val="18"/>
                <w:lang w:val="es-ES_tradnl"/>
              </w:rPr>
              <w:t xml:space="preserve"> </w:t>
            </w:r>
            <w:r w:rsidRPr="00BA1ECA">
              <w:rPr>
                <w:sz w:val="18"/>
                <w:szCs w:val="18"/>
                <w:lang w:val="es-ES_tradnl"/>
              </w:rPr>
              <w:t>sostenidas</w:t>
            </w:r>
            <w:r w:rsidR="00EE5B08" w:rsidRPr="00BA1ECA">
              <w:rPr>
                <w:sz w:val="18"/>
                <w:szCs w:val="18"/>
                <w:lang w:val="es-ES_tradnl"/>
              </w:rPr>
              <w:t>:</w:t>
            </w:r>
          </w:p>
        </w:tc>
        <w:tc>
          <w:tcPr>
            <w:tcW w:w="217" w:type="pct"/>
            <w:shd w:val="clear" w:color="auto" w:fill="auto"/>
          </w:tcPr>
          <w:p w14:paraId="1D789E1A" w14:textId="77777777" w:rsidR="00EE5B08" w:rsidRPr="00BA1ECA" w:rsidRDefault="00D97E6C" w:rsidP="00E02DF4">
            <w:pPr>
              <w:spacing w:after="60"/>
              <w:jc w:val="center"/>
              <w:rPr>
                <w:sz w:val="18"/>
                <w:szCs w:val="18"/>
                <w:lang w:val="es-ES_tradnl"/>
              </w:rPr>
            </w:pPr>
            <w:r w:rsidRPr="00BA1ECA">
              <w:rPr>
                <w:color w:val="000000" w:themeColor="text1"/>
                <w:sz w:val="18"/>
                <w:szCs w:val="18"/>
                <w:lang w:val="es-ES_tradnl"/>
              </w:rPr>
              <w:t>108.38</w:t>
            </w:r>
          </w:p>
        </w:tc>
      </w:tr>
      <w:tr w:rsidR="00EE5B08" w:rsidRPr="00BA1ECA" w14:paraId="38BDC63E" w14:textId="77777777" w:rsidTr="00E02DF4">
        <w:trPr>
          <w:trHeight w:val="173"/>
        </w:trPr>
        <w:tc>
          <w:tcPr>
            <w:tcW w:w="5000" w:type="pct"/>
            <w:gridSpan w:val="4"/>
            <w:shd w:val="clear" w:color="auto" w:fill="auto"/>
          </w:tcPr>
          <w:p w14:paraId="7AF8E032" w14:textId="5ED38F6B" w:rsidR="00EE5B08" w:rsidRPr="00BA1ECA" w:rsidRDefault="00755C5D" w:rsidP="00E02DF4">
            <w:pPr>
              <w:jc w:val="center"/>
              <w:rPr>
                <w:b/>
                <w:bCs/>
                <w:sz w:val="18"/>
                <w:szCs w:val="18"/>
                <w:lang w:val="es-ES_tradnl"/>
              </w:rPr>
            </w:pPr>
            <w:r w:rsidRPr="00BA1ECA">
              <w:rPr>
                <w:b/>
                <w:bCs/>
                <w:sz w:val="18"/>
                <w:szCs w:val="18"/>
                <w:lang w:val="es-ES_tradnl"/>
              </w:rPr>
              <w:t>CONSUMO</w:t>
            </w:r>
            <w:r w:rsidR="00A13BEA" w:rsidRPr="00BA1ECA">
              <w:rPr>
                <w:b/>
                <w:bCs/>
                <w:sz w:val="18"/>
                <w:szCs w:val="18"/>
                <w:lang w:val="es-ES_tradnl"/>
              </w:rPr>
              <w:t xml:space="preserve"> </w:t>
            </w:r>
            <w:r w:rsidRPr="00BA1ECA">
              <w:rPr>
                <w:b/>
                <w:bCs/>
                <w:sz w:val="18"/>
                <w:szCs w:val="18"/>
                <w:lang w:val="es-ES_tradnl"/>
              </w:rPr>
              <w:t>ADMISIBLE</w:t>
            </w:r>
            <w:r w:rsidR="00A13BEA" w:rsidRPr="00BA1ECA">
              <w:rPr>
                <w:b/>
                <w:bCs/>
                <w:sz w:val="18"/>
                <w:szCs w:val="18"/>
                <w:lang w:val="es-ES_tradnl"/>
              </w:rPr>
              <w:t xml:space="preserve"> </w:t>
            </w:r>
            <w:r w:rsidRPr="00BA1ECA">
              <w:rPr>
                <w:b/>
                <w:bCs/>
                <w:sz w:val="18"/>
                <w:szCs w:val="18"/>
                <w:lang w:val="es-ES_tradnl"/>
              </w:rPr>
              <w:t>PARA</w:t>
            </w:r>
            <w:r w:rsidR="00A13BEA" w:rsidRPr="00BA1ECA">
              <w:rPr>
                <w:b/>
                <w:bCs/>
                <w:sz w:val="18"/>
                <w:szCs w:val="18"/>
                <w:lang w:val="es-ES_tradnl"/>
              </w:rPr>
              <w:t xml:space="preserve"> </w:t>
            </w:r>
            <w:r w:rsidRPr="00BA1ECA">
              <w:rPr>
                <w:b/>
                <w:bCs/>
                <w:sz w:val="18"/>
                <w:szCs w:val="18"/>
                <w:lang w:val="es-ES_tradnl"/>
              </w:rPr>
              <w:t>FINANCIAMIENTO</w:t>
            </w:r>
            <w:r w:rsidR="00A13BEA" w:rsidRPr="00BA1ECA">
              <w:rPr>
                <w:b/>
                <w:bCs/>
                <w:sz w:val="18"/>
                <w:szCs w:val="18"/>
                <w:lang w:val="es-ES_tradnl"/>
              </w:rPr>
              <w:t xml:space="preserve"> </w:t>
            </w:r>
            <w:r w:rsidR="00EE5B08" w:rsidRPr="00BA1ECA">
              <w:rPr>
                <w:b/>
                <w:bCs/>
                <w:sz w:val="18"/>
                <w:szCs w:val="18"/>
                <w:lang w:val="es-ES_tradnl"/>
              </w:rPr>
              <w:t>(</w:t>
            </w:r>
            <w:proofErr w:type="spellStart"/>
            <w:r w:rsidR="000521A3" w:rsidRPr="00BA1ECA">
              <w:rPr>
                <w:b/>
                <w:bCs/>
                <w:sz w:val="18"/>
                <w:szCs w:val="18"/>
                <w:lang w:val="es-ES_tradnl"/>
              </w:rPr>
              <w:t>tons</w:t>
            </w:r>
            <w:proofErr w:type="spellEnd"/>
            <w:r w:rsidR="000521A3" w:rsidRPr="00BA1ECA">
              <w:rPr>
                <w:b/>
                <w:bCs/>
                <w:sz w:val="18"/>
                <w:szCs w:val="18"/>
                <w:lang w:val="es-ES_tradnl"/>
              </w:rPr>
              <w:t>.</w:t>
            </w:r>
            <w:r w:rsidR="00A13BEA" w:rsidRPr="00BA1ECA">
              <w:rPr>
                <w:b/>
                <w:bCs/>
                <w:sz w:val="18"/>
                <w:szCs w:val="18"/>
                <w:lang w:val="es-ES_tradnl"/>
              </w:rPr>
              <w:t xml:space="preserve"> </w:t>
            </w:r>
            <w:r w:rsidR="000521A3" w:rsidRPr="00BA1ECA">
              <w:rPr>
                <w:b/>
                <w:bCs/>
                <w:sz w:val="18"/>
                <w:szCs w:val="18"/>
                <w:lang w:val="es-ES_tradnl"/>
              </w:rPr>
              <w:t>PAO)</w:t>
            </w:r>
          </w:p>
        </w:tc>
      </w:tr>
      <w:tr w:rsidR="00EE5B08" w:rsidRPr="00BA1ECA" w14:paraId="4C548986" w14:textId="77777777" w:rsidTr="00E02DF4">
        <w:trPr>
          <w:trHeight w:val="289"/>
        </w:trPr>
        <w:tc>
          <w:tcPr>
            <w:tcW w:w="1600" w:type="pct"/>
            <w:shd w:val="clear" w:color="auto" w:fill="auto"/>
          </w:tcPr>
          <w:p w14:paraId="636AF789" w14:textId="18D9DF80" w:rsidR="00EE5B08" w:rsidRPr="00BA1ECA" w:rsidRDefault="00755C5D" w:rsidP="00E02DF4">
            <w:pPr>
              <w:spacing w:after="60"/>
              <w:jc w:val="center"/>
              <w:rPr>
                <w:sz w:val="18"/>
                <w:szCs w:val="18"/>
                <w:lang w:val="es-ES_tradnl"/>
              </w:rPr>
            </w:pPr>
            <w:r w:rsidRPr="00BA1ECA">
              <w:rPr>
                <w:sz w:val="18"/>
                <w:szCs w:val="18"/>
                <w:lang w:val="es-ES_tradnl"/>
              </w:rPr>
              <w:t>Previamente</w:t>
            </w:r>
            <w:r w:rsidR="00A13BEA" w:rsidRPr="00BA1ECA">
              <w:rPr>
                <w:sz w:val="18"/>
                <w:szCs w:val="18"/>
                <w:lang w:val="es-ES_tradnl"/>
              </w:rPr>
              <w:t xml:space="preserve"> </w:t>
            </w:r>
            <w:r w:rsidRPr="00BA1ECA">
              <w:rPr>
                <w:sz w:val="18"/>
                <w:szCs w:val="18"/>
                <w:lang w:val="es-ES_tradnl"/>
              </w:rPr>
              <w:t>aprobado:</w:t>
            </w:r>
          </w:p>
        </w:tc>
        <w:tc>
          <w:tcPr>
            <w:tcW w:w="471" w:type="pct"/>
            <w:shd w:val="clear" w:color="auto" w:fill="auto"/>
          </w:tcPr>
          <w:p w14:paraId="19A739C2" w14:textId="77777777" w:rsidR="00EE5B08" w:rsidRPr="00BA1ECA" w:rsidRDefault="00D97E6C" w:rsidP="00E02DF4">
            <w:pPr>
              <w:spacing w:after="60"/>
              <w:jc w:val="center"/>
              <w:rPr>
                <w:sz w:val="18"/>
                <w:szCs w:val="18"/>
                <w:lang w:val="es-ES_tradnl"/>
              </w:rPr>
            </w:pPr>
            <w:r w:rsidRPr="00BA1ECA">
              <w:rPr>
                <w:color w:val="000000" w:themeColor="text1"/>
                <w:sz w:val="18"/>
                <w:szCs w:val="18"/>
                <w:lang w:val="es-ES_tradnl"/>
              </w:rPr>
              <w:t>14.98</w:t>
            </w:r>
          </w:p>
        </w:tc>
        <w:tc>
          <w:tcPr>
            <w:tcW w:w="2713" w:type="pct"/>
            <w:shd w:val="clear" w:color="auto" w:fill="auto"/>
          </w:tcPr>
          <w:p w14:paraId="3F5F8C09" w14:textId="5A56CA1E" w:rsidR="00EE5B08" w:rsidRPr="00BA1ECA" w:rsidRDefault="00755C5D" w:rsidP="00E02DF4">
            <w:pPr>
              <w:spacing w:after="60"/>
              <w:jc w:val="center"/>
              <w:rPr>
                <w:sz w:val="18"/>
                <w:szCs w:val="18"/>
                <w:lang w:val="es-ES_tradnl"/>
              </w:rPr>
            </w:pPr>
            <w:r w:rsidRPr="00BA1ECA">
              <w:rPr>
                <w:sz w:val="18"/>
                <w:szCs w:val="18"/>
                <w:lang w:val="es-ES_tradnl"/>
              </w:rPr>
              <w:t>Remanente:</w:t>
            </w:r>
          </w:p>
        </w:tc>
        <w:tc>
          <w:tcPr>
            <w:tcW w:w="217" w:type="pct"/>
            <w:shd w:val="clear" w:color="auto" w:fill="auto"/>
          </w:tcPr>
          <w:p w14:paraId="4F8C16D3" w14:textId="77777777" w:rsidR="00EE5B08" w:rsidRPr="00BA1ECA" w:rsidRDefault="009D06D1" w:rsidP="00E02DF4">
            <w:pPr>
              <w:spacing w:after="60"/>
              <w:jc w:val="center"/>
              <w:rPr>
                <w:sz w:val="18"/>
                <w:szCs w:val="18"/>
                <w:lang w:val="es-ES_tradnl"/>
              </w:rPr>
            </w:pPr>
            <w:r w:rsidRPr="00BA1ECA">
              <w:rPr>
                <w:color w:val="000000" w:themeColor="text1"/>
                <w:sz w:val="18"/>
                <w:szCs w:val="18"/>
                <w:lang w:val="es-ES_tradnl"/>
              </w:rPr>
              <w:t>93.40</w:t>
            </w:r>
          </w:p>
        </w:tc>
      </w:tr>
    </w:tbl>
    <w:p w14:paraId="622CB098" w14:textId="77777777" w:rsidR="00EE5B08" w:rsidRPr="00BA1ECA" w:rsidRDefault="00EE5B08" w:rsidP="00EE5B08">
      <w:pPr>
        <w:jc w:val="center"/>
        <w:rPr>
          <w:sz w:val="18"/>
          <w:szCs w:val="18"/>
          <w:lang w:val="es-ES_tradnl"/>
        </w:rPr>
      </w:pPr>
    </w:p>
    <w:tbl>
      <w:tblPr>
        <w:tblStyle w:val="TableGrid"/>
        <w:tblW w:w="5309" w:type="pct"/>
        <w:tblInd w:w="-572" w:type="dxa"/>
        <w:tblLayout w:type="fixed"/>
        <w:tblLook w:val="04A0" w:firstRow="1" w:lastRow="0" w:firstColumn="1" w:lastColumn="0" w:noHBand="0" w:noVBand="1"/>
      </w:tblPr>
      <w:tblGrid>
        <w:gridCol w:w="1079"/>
        <w:gridCol w:w="2908"/>
        <w:gridCol w:w="1591"/>
        <w:gridCol w:w="1450"/>
        <w:gridCol w:w="1451"/>
        <w:gridCol w:w="1449"/>
      </w:tblGrid>
      <w:tr w:rsidR="00EE5B08" w:rsidRPr="00BA1ECA" w14:paraId="13FC5A4A" w14:textId="77777777" w:rsidTr="00854185">
        <w:trPr>
          <w:trHeight w:val="258"/>
        </w:trPr>
        <w:tc>
          <w:tcPr>
            <w:tcW w:w="2007" w:type="pct"/>
            <w:gridSpan w:val="2"/>
            <w:shd w:val="clear" w:color="auto" w:fill="auto"/>
          </w:tcPr>
          <w:p w14:paraId="677FAC08" w14:textId="39668E54" w:rsidR="00EE5B08" w:rsidRPr="00BA1ECA" w:rsidRDefault="00755C5D" w:rsidP="00E02DF4">
            <w:pPr>
              <w:spacing w:after="60"/>
              <w:jc w:val="left"/>
              <w:rPr>
                <w:b/>
                <w:sz w:val="18"/>
                <w:szCs w:val="18"/>
                <w:lang w:val="es-ES_tradnl"/>
              </w:rPr>
            </w:pPr>
            <w:r w:rsidRPr="00BA1ECA">
              <w:rPr>
                <w:b/>
                <w:sz w:val="18"/>
                <w:szCs w:val="18"/>
                <w:lang w:val="es-ES_tradnl"/>
              </w:rPr>
              <w:t>V)</w:t>
            </w:r>
            <w:r w:rsidR="00A13BEA" w:rsidRPr="00BA1ECA">
              <w:rPr>
                <w:b/>
                <w:sz w:val="18"/>
                <w:szCs w:val="18"/>
                <w:lang w:val="es-ES_tradnl"/>
              </w:rPr>
              <w:t xml:space="preserve"> </w:t>
            </w:r>
            <w:r w:rsidRPr="00BA1ECA">
              <w:rPr>
                <w:b/>
                <w:sz w:val="18"/>
                <w:szCs w:val="18"/>
                <w:lang w:val="es-ES_tradnl"/>
              </w:rPr>
              <w:t>PLAN</w:t>
            </w:r>
            <w:r w:rsidR="00A13BEA" w:rsidRPr="00BA1ECA">
              <w:rPr>
                <w:b/>
                <w:sz w:val="18"/>
                <w:szCs w:val="18"/>
                <w:lang w:val="es-ES_tradnl"/>
              </w:rPr>
              <w:t xml:space="preserve"> </w:t>
            </w:r>
            <w:r w:rsidRPr="00BA1ECA">
              <w:rPr>
                <w:b/>
                <w:sz w:val="18"/>
                <w:szCs w:val="18"/>
                <w:lang w:val="es-ES_tradnl"/>
              </w:rPr>
              <w:t>ADMINISTRATIVO</w:t>
            </w:r>
          </w:p>
        </w:tc>
        <w:tc>
          <w:tcPr>
            <w:tcW w:w="801" w:type="pct"/>
          </w:tcPr>
          <w:p w14:paraId="27F78F91" w14:textId="77777777" w:rsidR="00EE5B08" w:rsidRPr="00BA1ECA" w:rsidRDefault="00EE5B08" w:rsidP="007F346A">
            <w:pPr>
              <w:spacing w:after="60"/>
              <w:jc w:val="center"/>
              <w:rPr>
                <w:b/>
                <w:sz w:val="18"/>
                <w:szCs w:val="18"/>
                <w:lang w:val="es-ES_tradnl"/>
              </w:rPr>
            </w:pPr>
            <w:r w:rsidRPr="00BA1ECA">
              <w:rPr>
                <w:b/>
                <w:sz w:val="18"/>
                <w:szCs w:val="18"/>
                <w:lang w:val="es-ES_tradnl"/>
              </w:rPr>
              <w:t>202</w:t>
            </w:r>
            <w:r w:rsidR="007F346A" w:rsidRPr="00BA1ECA">
              <w:rPr>
                <w:b/>
                <w:sz w:val="18"/>
                <w:szCs w:val="18"/>
                <w:lang w:val="es-ES_tradnl"/>
              </w:rPr>
              <w:t>1</w:t>
            </w:r>
          </w:p>
        </w:tc>
        <w:tc>
          <w:tcPr>
            <w:tcW w:w="730" w:type="pct"/>
          </w:tcPr>
          <w:p w14:paraId="5F4B6D4A" w14:textId="77777777" w:rsidR="00EE5B08" w:rsidRPr="00BA1ECA" w:rsidRDefault="00EE5B08" w:rsidP="007F346A">
            <w:pPr>
              <w:spacing w:after="60"/>
              <w:jc w:val="center"/>
              <w:rPr>
                <w:b/>
                <w:sz w:val="18"/>
                <w:szCs w:val="18"/>
                <w:lang w:val="es-ES_tradnl"/>
              </w:rPr>
            </w:pPr>
            <w:r w:rsidRPr="00BA1ECA">
              <w:rPr>
                <w:b/>
                <w:sz w:val="18"/>
                <w:szCs w:val="18"/>
                <w:lang w:val="es-ES_tradnl"/>
              </w:rPr>
              <w:t>202</w:t>
            </w:r>
            <w:r w:rsidR="007F346A" w:rsidRPr="00BA1ECA">
              <w:rPr>
                <w:b/>
                <w:sz w:val="18"/>
                <w:szCs w:val="18"/>
                <w:lang w:val="es-ES_tradnl"/>
              </w:rPr>
              <w:t>2</w:t>
            </w:r>
          </w:p>
        </w:tc>
        <w:tc>
          <w:tcPr>
            <w:tcW w:w="731" w:type="pct"/>
          </w:tcPr>
          <w:p w14:paraId="6BAC91E3" w14:textId="77777777" w:rsidR="00EE5B08" w:rsidRPr="00BA1ECA" w:rsidRDefault="00EE5B08" w:rsidP="007F346A">
            <w:pPr>
              <w:spacing w:after="60"/>
              <w:jc w:val="center"/>
              <w:rPr>
                <w:b/>
                <w:sz w:val="18"/>
                <w:szCs w:val="18"/>
                <w:lang w:val="es-ES_tradnl"/>
              </w:rPr>
            </w:pPr>
            <w:r w:rsidRPr="00BA1ECA">
              <w:rPr>
                <w:b/>
                <w:sz w:val="18"/>
                <w:szCs w:val="18"/>
                <w:lang w:val="es-ES_tradnl"/>
              </w:rPr>
              <w:t>202</w:t>
            </w:r>
            <w:r w:rsidR="007F346A" w:rsidRPr="00BA1ECA">
              <w:rPr>
                <w:b/>
                <w:sz w:val="18"/>
                <w:szCs w:val="18"/>
                <w:lang w:val="es-ES_tradnl"/>
              </w:rPr>
              <w:t>3</w:t>
            </w:r>
          </w:p>
        </w:tc>
        <w:tc>
          <w:tcPr>
            <w:tcW w:w="730" w:type="pct"/>
            <w:shd w:val="clear" w:color="auto" w:fill="auto"/>
          </w:tcPr>
          <w:p w14:paraId="5665A1C8" w14:textId="77777777" w:rsidR="00EE5B08" w:rsidRPr="00BA1ECA" w:rsidRDefault="00EE5B08" w:rsidP="00E02DF4">
            <w:pPr>
              <w:spacing w:after="60"/>
              <w:jc w:val="center"/>
              <w:rPr>
                <w:b/>
                <w:sz w:val="18"/>
                <w:szCs w:val="18"/>
                <w:lang w:val="es-ES_tradnl"/>
              </w:rPr>
            </w:pPr>
            <w:r w:rsidRPr="00BA1ECA">
              <w:rPr>
                <w:b/>
                <w:sz w:val="18"/>
                <w:szCs w:val="18"/>
                <w:lang w:val="es-ES_tradnl"/>
              </w:rPr>
              <w:t>Total</w:t>
            </w:r>
          </w:p>
        </w:tc>
      </w:tr>
      <w:tr w:rsidR="00EE5B08" w:rsidRPr="00BA1ECA" w14:paraId="297C28C1" w14:textId="77777777" w:rsidTr="00854185">
        <w:trPr>
          <w:trHeight w:val="258"/>
        </w:trPr>
        <w:tc>
          <w:tcPr>
            <w:tcW w:w="543" w:type="pct"/>
            <w:vMerge w:val="restart"/>
            <w:shd w:val="clear" w:color="auto" w:fill="auto"/>
            <w:vAlign w:val="center"/>
          </w:tcPr>
          <w:p w14:paraId="53207A2F" w14:textId="7C8B691F" w:rsidR="00EE5B08" w:rsidRPr="00BA1ECA" w:rsidRDefault="001A4F35" w:rsidP="009D06D1">
            <w:pPr>
              <w:spacing w:after="60"/>
              <w:jc w:val="center"/>
              <w:rPr>
                <w:sz w:val="18"/>
                <w:szCs w:val="18"/>
                <w:lang w:val="es-ES_tradnl"/>
              </w:rPr>
            </w:pPr>
            <w:r w:rsidRPr="00BA1ECA">
              <w:rPr>
                <w:color w:val="000000" w:themeColor="text1"/>
                <w:sz w:val="18"/>
                <w:szCs w:val="18"/>
                <w:lang w:val="es-ES_tradnl"/>
              </w:rPr>
              <w:t>PNUMA</w:t>
            </w:r>
          </w:p>
        </w:tc>
        <w:tc>
          <w:tcPr>
            <w:tcW w:w="1464" w:type="pct"/>
            <w:shd w:val="clear" w:color="auto" w:fill="auto"/>
          </w:tcPr>
          <w:p w14:paraId="1FFC4AD9" w14:textId="4DEB7898" w:rsidR="00EE5B08" w:rsidRPr="00BA1ECA" w:rsidRDefault="002E71D3" w:rsidP="00E02DF4">
            <w:pPr>
              <w:spacing w:after="60"/>
              <w:jc w:val="left"/>
              <w:rPr>
                <w:sz w:val="18"/>
                <w:szCs w:val="18"/>
                <w:lang w:val="es-ES_tradnl"/>
              </w:rPr>
            </w:pPr>
            <w:r w:rsidRPr="00BA1ECA">
              <w:rPr>
                <w:sz w:val="18"/>
                <w:szCs w:val="18"/>
                <w:lang w:val="es-ES_tradnl"/>
              </w:rPr>
              <w:t xml:space="preserve">Eliminación </w:t>
            </w:r>
            <w:r w:rsidR="00755C5D" w:rsidRPr="00BA1ECA">
              <w:rPr>
                <w:sz w:val="18"/>
                <w:szCs w:val="18"/>
                <w:lang w:val="es-ES_tradnl"/>
              </w:rPr>
              <w:t>de</w:t>
            </w:r>
            <w:r w:rsidR="00A13BEA" w:rsidRPr="00BA1ECA">
              <w:rPr>
                <w:sz w:val="18"/>
                <w:szCs w:val="18"/>
                <w:lang w:val="es-ES_tradnl"/>
              </w:rPr>
              <w:t xml:space="preserve"> </w:t>
            </w:r>
            <w:r w:rsidR="00755C5D" w:rsidRPr="00BA1ECA">
              <w:rPr>
                <w:sz w:val="18"/>
                <w:szCs w:val="18"/>
                <w:lang w:val="es-ES_tradnl"/>
              </w:rPr>
              <w:t>SAO</w:t>
            </w:r>
            <w:r w:rsidR="00A13BEA" w:rsidRPr="00BA1ECA">
              <w:rPr>
                <w:sz w:val="18"/>
                <w:szCs w:val="18"/>
                <w:lang w:val="es-ES_tradnl"/>
              </w:rPr>
              <w:t xml:space="preserve"> </w:t>
            </w:r>
            <w:r w:rsidR="00EE5B08" w:rsidRPr="00BA1ECA">
              <w:rPr>
                <w:sz w:val="18"/>
                <w:szCs w:val="18"/>
                <w:lang w:val="es-ES_tradnl"/>
              </w:rPr>
              <w:t>(</w:t>
            </w:r>
            <w:proofErr w:type="spellStart"/>
            <w:r w:rsidR="000521A3" w:rsidRPr="00BA1ECA">
              <w:rPr>
                <w:sz w:val="18"/>
                <w:szCs w:val="18"/>
                <w:lang w:val="es-ES_tradnl"/>
              </w:rPr>
              <w:t>tons</w:t>
            </w:r>
            <w:proofErr w:type="spellEnd"/>
            <w:r w:rsidR="000521A3" w:rsidRPr="00BA1ECA">
              <w:rPr>
                <w:sz w:val="18"/>
                <w:szCs w:val="18"/>
                <w:lang w:val="es-ES_tradnl"/>
              </w:rPr>
              <w:t>.</w:t>
            </w:r>
            <w:r w:rsidR="00A13BEA" w:rsidRPr="00BA1ECA">
              <w:rPr>
                <w:sz w:val="18"/>
                <w:szCs w:val="18"/>
                <w:lang w:val="es-ES_tradnl"/>
              </w:rPr>
              <w:t xml:space="preserve"> </w:t>
            </w:r>
            <w:r w:rsidR="000521A3" w:rsidRPr="00BA1ECA">
              <w:rPr>
                <w:sz w:val="18"/>
                <w:szCs w:val="18"/>
                <w:lang w:val="es-ES_tradnl"/>
              </w:rPr>
              <w:t>PAO)</w:t>
            </w:r>
          </w:p>
        </w:tc>
        <w:tc>
          <w:tcPr>
            <w:tcW w:w="801" w:type="pct"/>
            <w:shd w:val="clear" w:color="auto" w:fill="auto"/>
          </w:tcPr>
          <w:p w14:paraId="2CD01E48" w14:textId="3EF22244" w:rsidR="00EE5B08" w:rsidRPr="00BA1ECA" w:rsidRDefault="009D06D1" w:rsidP="00854185">
            <w:pPr>
              <w:tabs>
                <w:tab w:val="left" w:pos="1118"/>
              </w:tabs>
              <w:spacing w:after="60"/>
              <w:jc w:val="right"/>
              <w:rPr>
                <w:sz w:val="18"/>
                <w:szCs w:val="18"/>
                <w:lang w:val="es-ES_tradnl"/>
              </w:rPr>
            </w:pPr>
            <w:r w:rsidRPr="00BA1ECA">
              <w:rPr>
                <w:sz w:val="18"/>
                <w:szCs w:val="18"/>
                <w:lang w:val="es-ES_tradnl"/>
              </w:rPr>
              <w:t>8.00</w:t>
            </w:r>
          </w:p>
        </w:tc>
        <w:tc>
          <w:tcPr>
            <w:tcW w:w="730" w:type="pct"/>
          </w:tcPr>
          <w:p w14:paraId="47267384" w14:textId="77777777" w:rsidR="00EE5B08" w:rsidRPr="00BA1ECA" w:rsidRDefault="009D06D1" w:rsidP="00E02DF4">
            <w:pPr>
              <w:spacing w:after="60"/>
              <w:jc w:val="right"/>
              <w:rPr>
                <w:sz w:val="18"/>
                <w:szCs w:val="18"/>
                <w:lang w:val="es-ES_tradnl"/>
              </w:rPr>
            </w:pPr>
            <w:r w:rsidRPr="00BA1ECA">
              <w:rPr>
                <w:sz w:val="18"/>
                <w:szCs w:val="18"/>
                <w:lang w:val="es-ES_tradnl"/>
              </w:rPr>
              <w:t>0</w:t>
            </w:r>
          </w:p>
        </w:tc>
        <w:tc>
          <w:tcPr>
            <w:tcW w:w="731" w:type="pct"/>
            <w:shd w:val="clear" w:color="auto" w:fill="auto"/>
          </w:tcPr>
          <w:p w14:paraId="292A741C" w14:textId="77777777" w:rsidR="00EE5B08" w:rsidRPr="00BA1ECA" w:rsidRDefault="009D06D1" w:rsidP="00E02DF4">
            <w:pPr>
              <w:spacing w:after="60"/>
              <w:jc w:val="right"/>
              <w:rPr>
                <w:sz w:val="18"/>
                <w:szCs w:val="18"/>
                <w:lang w:val="es-ES_tradnl"/>
              </w:rPr>
            </w:pPr>
            <w:r w:rsidRPr="00BA1ECA">
              <w:rPr>
                <w:sz w:val="18"/>
                <w:szCs w:val="18"/>
                <w:lang w:val="es-ES_tradnl"/>
              </w:rPr>
              <w:t>8.90</w:t>
            </w:r>
          </w:p>
        </w:tc>
        <w:tc>
          <w:tcPr>
            <w:tcW w:w="730" w:type="pct"/>
            <w:shd w:val="clear" w:color="auto" w:fill="auto"/>
          </w:tcPr>
          <w:p w14:paraId="5CB511E3" w14:textId="77777777" w:rsidR="00EE5B08" w:rsidRPr="00BA1ECA" w:rsidRDefault="009D06D1" w:rsidP="00E02DF4">
            <w:pPr>
              <w:spacing w:after="60"/>
              <w:jc w:val="right"/>
              <w:rPr>
                <w:sz w:val="18"/>
                <w:szCs w:val="18"/>
                <w:lang w:val="es-ES_tradnl"/>
              </w:rPr>
            </w:pPr>
            <w:r w:rsidRPr="00BA1ECA">
              <w:rPr>
                <w:sz w:val="18"/>
                <w:szCs w:val="18"/>
                <w:lang w:val="es-ES_tradnl"/>
              </w:rPr>
              <w:t>16.90</w:t>
            </w:r>
          </w:p>
        </w:tc>
      </w:tr>
      <w:tr w:rsidR="00EE5B08" w:rsidRPr="00BA1ECA" w14:paraId="68AD8387" w14:textId="77777777" w:rsidTr="00854185">
        <w:trPr>
          <w:trHeight w:val="258"/>
        </w:trPr>
        <w:tc>
          <w:tcPr>
            <w:tcW w:w="543" w:type="pct"/>
            <w:vMerge/>
            <w:shd w:val="clear" w:color="auto" w:fill="auto"/>
            <w:vAlign w:val="center"/>
          </w:tcPr>
          <w:p w14:paraId="1B342E2F" w14:textId="77777777" w:rsidR="00EE5B08" w:rsidRPr="00BA1ECA" w:rsidRDefault="00EE5B08" w:rsidP="009D06D1">
            <w:pPr>
              <w:spacing w:after="60"/>
              <w:jc w:val="center"/>
              <w:rPr>
                <w:sz w:val="18"/>
                <w:szCs w:val="18"/>
                <w:lang w:val="es-ES_tradnl"/>
              </w:rPr>
            </w:pPr>
          </w:p>
        </w:tc>
        <w:tc>
          <w:tcPr>
            <w:tcW w:w="1464" w:type="pct"/>
            <w:shd w:val="clear" w:color="auto" w:fill="auto"/>
          </w:tcPr>
          <w:p w14:paraId="3BDC9226" w14:textId="387E193C" w:rsidR="00EE5B08" w:rsidRPr="00BA1ECA" w:rsidRDefault="00755C5D" w:rsidP="00E02DF4">
            <w:pPr>
              <w:spacing w:after="60"/>
              <w:jc w:val="left"/>
              <w:rPr>
                <w:sz w:val="18"/>
                <w:szCs w:val="18"/>
                <w:lang w:val="es-ES_tradnl"/>
              </w:rPr>
            </w:pPr>
            <w:r w:rsidRPr="00BA1ECA">
              <w:rPr>
                <w:sz w:val="18"/>
                <w:szCs w:val="18"/>
                <w:lang w:val="es-ES_tradnl"/>
              </w:rPr>
              <w:t>Financiamiento</w:t>
            </w:r>
            <w:r w:rsidR="00A13BEA" w:rsidRPr="00BA1ECA">
              <w:rPr>
                <w:sz w:val="18"/>
                <w:szCs w:val="18"/>
                <w:lang w:val="es-ES_tradnl"/>
              </w:rPr>
              <w:t xml:space="preserve"> </w:t>
            </w:r>
            <w:r w:rsidR="00E26F0F" w:rsidRPr="00BA1ECA">
              <w:rPr>
                <w:sz w:val="18"/>
                <w:szCs w:val="18"/>
                <w:lang w:val="es-ES_tradnl"/>
              </w:rPr>
              <w:t>($EUA)</w:t>
            </w:r>
          </w:p>
        </w:tc>
        <w:tc>
          <w:tcPr>
            <w:tcW w:w="801" w:type="pct"/>
            <w:shd w:val="clear" w:color="auto" w:fill="auto"/>
          </w:tcPr>
          <w:p w14:paraId="17DF83D0" w14:textId="659CCCBE" w:rsidR="00EE5B08" w:rsidRPr="00BA1ECA" w:rsidRDefault="009D06D1" w:rsidP="00E02DF4">
            <w:pPr>
              <w:spacing w:after="60"/>
              <w:jc w:val="right"/>
              <w:rPr>
                <w:sz w:val="18"/>
                <w:szCs w:val="18"/>
                <w:lang w:val="es-ES_tradnl"/>
              </w:rPr>
            </w:pPr>
            <w:r w:rsidRPr="00BA1ECA">
              <w:rPr>
                <w:sz w:val="18"/>
                <w:szCs w:val="18"/>
                <w:lang w:val="es-ES_tradnl"/>
              </w:rPr>
              <w:t>76</w:t>
            </w:r>
            <w:r w:rsidR="009374DA" w:rsidRPr="00BA1ECA">
              <w:rPr>
                <w:sz w:val="18"/>
                <w:szCs w:val="18"/>
                <w:lang w:val="es-ES_tradnl"/>
              </w:rPr>
              <w:t>8.</w:t>
            </w:r>
            <w:r w:rsidRPr="00BA1ECA">
              <w:rPr>
                <w:sz w:val="18"/>
                <w:szCs w:val="18"/>
                <w:lang w:val="es-ES_tradnl"/>
              </w:rPr>
              <w:t>400</w:t>
            </w:r>
          </w:p>
        </w:tc>
        <w:tc>
          <w:tcPr>
            <w:tcW w:w="730" w:type="pct"/>
          </w:tcPr>
          <w:p w14:paraId="74D08B64" w14:textId="77777777" w:rsidR="00EE5B08" w:rsidRPr="00BA1ECA" w:rsidRDefault="009D06D1" w:rsidP="00E02DF4">
            <w:pPr>
              <w:spacing w:after="60"/>
              <w:jc w:val="right"/>
              <w:rPr>
                <w:sz w:val="18"/>
                <w:szCs w:val="18"/>
                <w:lang w:val="es-ES_tradnl"/>
              </w:rPr>
            </w:pPr>
            <w:r w:rsidRPr="00BA1ECA">
              <w:rPr>
                <w:sz w:val="18"/>
                <w:szCs w:val="18"/>
                <w:lang w:val="es-ES_tradnl"/>
              </w:rPr>
              <w:t>0</w:t>
            </w:r>
          </w:p>
        </w:tc>
        <w:tc>
          <w:tcPr>
            <w:tcW w:w="731" w:type="pct"/>
            <w:shd w:val="clear" w:color="auto" w:fill="auto"/>
          </w:tcPr>
          <w:p w14:paraId="7F806A71" w14:textId="4BEAF184" w:rsidR="00EE5B08" w:rsidRPr="00BA1ECA" w:rsidRDefault="009D06D1" w:rsidP="00E02DF4">
            <w:pPr>
              <w:spacing w:after="60"/>
              <w:jc w:val="right"/>
              <w:rPr>
                <w:sz w:val="18"/>
                <w:szCs w:val="18"/>
                <w:lang w:val="es-ES_tradnl"/>
              </w:rPr>
            </w:pPr>
            <w:r w:rsidRPr="00BA1ECA">
              <w:rPr>
                <w:sz w:val="18"/>
                <w:szCs w:val="18"/>
                <w:lang w:val="es-ES_tradnl"/>
              </w:rPr>
              <w:t>85</w:t>
            </w:r>
            <w:r w:rsidR="00755C5D" w:rsidRPr="00BA1ECA">
              <w:rPr>
                <w:sz w:val="18"/>
                <w:szCs w:val="18"/>
                <w:lang w:val="es-ES_tradnl"/>
              </w:rPr>
              <w:t>3.</w:t>
            </w:r>
            <w:r w:rsidRPr="00BA1ECA">
              <w:rPr>
                <w:sz w:val="18"/>
                <w:szCs w:val="18"/>
                <w:lang w:val="es-ES_tradnl"/>
              </w:rPr>
              <w:t>150</w:t>
            </w:r>
          </w:p>
        </w:tc>
        <w:tc>
          <w:tcPr>
            <w:tcW w:w="730" w:type="pct"/>
            <w:shd w:val="clear" w:color="auto" w:fill="auto"/>
          </w:tcPr>
          <w:p w14:paraId="7C807FA3" w14:textId="636DE0EC" w:rsidR="00EE5B08" w:rsidRPr="00BA1ECA" w:rsidRDefault="00755C5D" w:rsidP="00E02DF4">
            <w:pPr>
              <w:spacing w:after="60"/>
              <w:jc w:val="right"/>
              <w:rPr>
                <w:sz w:val="18"/>
                <w:szCs w:val="18"/>
                <w:lang w:val="es-ES_tradnl"/>
              </w:rPr>
            </w:pPr>
            <w:r w:rsidRPr="00BA1ECA">
              <w:rPr>
                <w:sz w:val="18"/>
                <w:szCs w:val="18"/>
                <w:lang w:val="es-ES_tradnl"/>
              </w:rPr>
              <w:t>1.</w:t>
            </w:r>
            <w:r w:rsidR="009D06D1" w:rsidRPr="00BA1ECA">
              <w:rPr>
                <w:sz w:val="18"/>
                <w:szCs w:val="18"/>
                <w:lang w:val="es-ES_tradnl"/>
              </w:rPr>
              <w:t>62</w:t>
            </w:r>
            <w:r w:rsidRPr="00BA1ECA">
              <w:rPr>
                <w:sz w:val="18"/>
                <w:szCs w:val="18"/>
                <w:lang w:val="es-ES_tradnl"/>
              </w:rPr>
              <w:t>1.</w:t>
            </w:r>
            <w:r w:rsidR="009D06D1" w:rsidRPr="00BA1ECA">
              <w:rPr>
                <w:sz w:val="18"/>
                <w:szCs w:val="18"/>
                <w:lang w:val="es-ES_tradnl"/>
              </w:rPr>
              <w:t>550</w:t>
            </w:r>
          </w:p>
        </w:tc>
      </w:tr>
      <w:tr w:rsidR="009D06D1" w:rsidRPr="00BA1ECA" w14:paraId="64CA9CB6" w14:textId="77777777" w:rsidTr="00854185">
        <w:trPr>
          <w:trHeight w:val="258"/>
        </w:trPr>
        <w:tc>
          <w:tcPr>
            <w:tcW w:w="543" w:type="pct"/>
            <w:vMerge w:val="restart"/>
            <w:shd w:val="clear" w:color="auto" w:fill="auto"/>
            <w:vAlign w:val="center"/>
          </w:tcPr>
          <w:p w14:paraId="639BC0DC" w14:textId="5E87A1DC" w:rsidR="009D06D1" w:rsidRPr="00BA1ECA" w:rsidRDefault="001A4F35" w:rsidP="009D06D1">
            <w:pPr>
              <w:spacing w:after="60"/>
              <w:jc w:val="center"/>
              <w:rPr>
                <w:sz w:val="18"/>
                <w:szCs w:val="18"/>
                <w:lang w:val="es-ES_tradnl"/>
              </w:rPr>
            </w:pPr>
            <w:r w:rsidRPr="00BA1ECA">
              <w:rPr>
                <w:color w:val="000000" w:themeColor="text1"/>
                <w:sz w:val="18"/>
                <w:szCs w:val="18"/>
                <w:lang w:val="es-ES_tradnl"/>
              </w:rPr>
              <w:t>ONUDI</w:t>
            </w:r>
          </w:p>
        </w:tc>
        <w:tc>
          <w:tcPr>
            <w:tcW w:w="1464" w:type="pct"/>
            <w:shd w:val="clear" w:color="auto" w:fill="auto"/>
          </w:tcPr>
          <w:p w14:paraId="6942AA8F" w14:textId="44F6FD6D" w:rsidR="009D06D1" w:rsidRPr="00BA1ECA" w:rsidRDefault="002E71D3" w:rsidP="009D06D1">
            <w:pPr>
              <w:spacing w:after="60"/>
              <w:jc w:val="left"/>
              <w:rPr>
                <w:sz w:val="18"/>
                <w:szCs w:val="18"/>
                <w:lang w:val="es-ES_tradnl"/>
              </w:rPr>
            </w:pPr>
            <w:r w:rsidRPr="00BA1ECA">
              <w:rPr>
                <w:sz w:val="18"/>
                <w:szCs w:val="18"/>
                <w:lang w:val="es-ES_tradnl"/>
              </w:rPr>
              <w:t xml:space="preserve">Eliminación </w:t>
            </w:r>
            <w:r w:rsidR="00755C5D" w:rsidRPr="00BA1ECA">
              <w:rPr>
                <w:sz w:val="18"/>
                <w:szCs w:val="18"/>
                <w:lang w:val="es-ES_tradnl"/>
              </w:rPr>
              <w:t>de</w:t>
            </w:r>
            <w:r w:rsidR="00A13BEA" w:rsidRPr="00BA1ECA">
              <w:rPr>
                <w:sz w:val="18"/>
                <w:szCs w:val="18"/>
                <w:lang w:val="es-ES_tradnl"/>
              </w:rPr>
              <w:t xml:space="preserve"> </w:t>
            </w:r>
            <w:r w:rsidR="00755C5D" w:rsidRPr="00BA1ECA">
              <w:rPr>
                <w:sz w:val="18"/>
                <w:szCs w:val="18"/>
                <w:lang w:val="es-ES_tradnl"/>
              </w:rPr>
              <w:t>SAO</w:t>
            </w:r>
            <w:r w:rsidR="00A13BEA" w:rsidRPr="00BA1ECA">
              <w:rPr>
                <w:sz w:val="18"/>
                <w:szCs w:val="18"/>
                <w:lang w:val="es-ES_tradnl"/>
              </w:rPr>
              <w:t xml:space="preserve"> </w:t>
            </w:r>
            <w:r w:rsidR="009D06D1" w:rsidRPr="00BA1ECA">
              <w:rPr>
                <w:sz w:val="18"/>
                <w:szCs w:val="18"/>
                <w:lang w:val="es-ES_tradnl"/>
              </w:rPr>
              <w:t>(</w:t>
            </w:r>
            <w:proofErr w:type="spellStart"/>
            <w:r w:rsidR="000521A3" w:rsidRPr="00BA1ECA">
              <w:rPr>
                <w:sz w:val="18"/>
                <w:szCs w:val="18"/>
                <w:lang w:val="es-ES_tradnl"/>
              </w:rPr>
              <w:t>tons</w:t>
            </w:r>
            <w:proofErr w:type="spellEnd"/>
            <w:r w:rsidR="000521A3" w:rsidRPr="00BA1ECA">
              <w:rPr>
                <w:sz w:val="18"/>
                <w:szCs w:val="18"/>
                <w:lang w:val="es-ES_tradnl"/>
              </w:rPr>
              <w:t>.</w:t>
            </w:r>
            <w:r w:rsidR="00A13BEA" w:rsidRPr="00BA1ECA">
              <w:rPr>
                <w:sz w:val="18"/>
                <w:szCs w:val="18"/>
                <w:lang w:val="es-ES_tradnl"/>
              </w:rPr>
              <w:t xml:space="preserve"> </w:t>
            </w:r>
            <w:r w:rsidR="000521A3" w:rsidRPr="00BA1ECA">
              <w:rPr>
                <w:sz w:val="18"/>
                <w:szCs w:val="18"/>
                <w:lang w:val="es-ES_tradnl"/>
              </w:rPr>
              <w:t>PAO)</w:t>
            </w:r>
          </w:p>
        </w:tc>
        <w:tc>
          <w:tcPr>
            <w:tcW w:w="801" w:type="pct"/>
            <w:shd w:val="clear" w:color="auto" w:fill="auto"/>
          </w:tcPr>
          <w:p w14:paraId="3D962CB5" w14:textId="77777777" w:rsidR="009D06D1" w:rsidRPr="00BA1ECA" w:rsidRDefault="009D06D1" w:rsidP="009D06D1">
            <w:pPr>
              <w:spacing w:after="60"/>
              <w:jc w:val="right"/>
              <w:rPr>
                <w:sz w:val="18"/>
                <w:szCs w:val="18"/>
                <w:lang w:val="es-ES_tradnl"/>
              </w:rPr>
            </w:pPr>
            <w:r w:rsidRPr="00BA1ECA">
              <w:rPr>
                <w:sz w:val="18"/>
                <w:szCs w:val="18"/>
                <w:lang w:val="es-ES_tradnl"/>
              </w:rPr>
              <w:t>4.03</w:t>
            </w:r>
          </w:p>
        </w:tc>
        <w:tc>
          <w:tcPr>
            <w:tcW w:w="730" w:type="pct"/>
          </w:tcPr>
          <w:p w14:paraId="453DDFCA" w14:textId="77777777" w:rsidR="009D06D1" w:rsidRPr="00BA1ECA" w:rsidRDefault="009D06D1" w:rsidP="009D06D1">
            <w:pPr>
              <w:spacing w:after="60"/>
              <w:jc w:val="right"/>
              <w:rPr>
                <w:sz w:val="18"/>
                <w:szCs w:val="18"/>
                <w:lang w:val="es-ES_tradnl"/>
              </w:rPr>
            </w:pPr>
            <w:r w:rsidRPr="00BA1ECA">
              <w:rPr>
                <w:sz w:val="18"/>
                <w:szCs w:val="18"/>
                <w:lang w:val="es-ES_tradnl"/>
              </w:rPr>
              <w:t>0</w:t>
            </w:r>
          </w:p>
        </w:tc>
        <w:tc>
          <w:tcPr>
            <w:tcW w:w="731" w:type="pct"/>
            <w:shd w:val="clear" w:color="auto" w:fill="auto"/>
          </w:tcPr>
          <w:p w14:paraId="71BF1F86" w14:textId="77777777" w:rsidR="009D06D1" w:rsidRPr="00BA1ECA" w:rsidRDefault="009D06D1" w:rsidP="009D06D1">
            <w:pPr>
              <w:spacing w:after="60"/>
              <w:jc w:val="right"/>
              <w:rPr>
                <w:sz w:val="18"/>
                <w:szCs w:val="18"/>
                <w:lang w:val="es-ES_tradnl"/>
              </w:rPr>
            </w:pPr>
            <w:r w:rsidRPr="00BA1ECA">
              <w:rPr>
                <w:sz w:val="18"/>
                <w:szCs w:val="18"/>
                <w:lang w:val="es-ES_tradnl"/>
              </w:rPr>
              <w:t>0</w:t>
            </w:r>
          </w:p>
        </w:tc>
        <w:tc>
          <w:tcPr>
            <w:tcW w:w="730" w:type="pct"/>
            <w:shd w:val="clear" w:color="auto" w:fill="auto"/>
          </w:tcPr>
          <w:p w14:paraId="4C293B09" w14:textId="77777777" w:rsidR="009D06D1" w:rsidRPr="00BA1ECA" w:rsidRDefault="009D06D1" w:rsidP="009D06D1">
            <w:pPr>
              <w:spacing w:after="60"/>
              <w:jc w:val="right"/>
              <w:rPr>
                <w:sz w:val="18"/>
                <w:szCs w:val="18"/>
                <w:lang w:val="es-ES_tradnl"/>
              </w:rPr>
            </w:pPr>
            <w:r w:rsidRPr="00BA1ECA">
              <w:rPr>
                <w:sz w:val="18"/>
                <w:szCs w:val="18"/>
                <w:lang w:val="es-ES_tradnl"/>
              </w:rPr>
              <w:t>4.03</w:t>
            </w:r>
          </w:p>
        </w:tc>
      </w:tr>
      <w:tr w:rsidR="009D06D1" w:rsidRPr="00BA1ECA" w14:paraId="142D7B3E" w14:textId="77777777" w:rsidTr="00854185">
        <w:trPr>
          <w:trHeight w:val="258"/>
        </w:trPr>
        <w:tc>
          <w:tcPr>
            <w:tcW w:w="543" w:type="pct"/>
            <w:vMerge/>
            <w:shd w:val="clear" w:color="auto" w:fill="auto"/>
          </w:tcPr>
          <w:p w14:paraId="4BEAE728" w14:textId="77777777" w:rsidR="009D06D1" w:rsidRPr="00BA1ECA" w:rsidRDefault="009D06D1" w:rsidP="009D06D1">
            <w:pPr>
              <w:spacing w:after="60"/>
              <w:jc w:val="center"/>
              <w:rPr>
                <w:sz w:val="18"/>
                <w:szCs w:val="18"/>
                <w:lang w:val="es-ES_tradnl"/>
              </w:rPr>
            </w:pPr>
          </w:p>
        </w:tc>
        <w:tc>
          <w:tcPr>
            <w:tcW w:w="1464" w:type="pct"/>
            <w:shd w:val="clear" w:color="auto" w:fill="auto"/>
          </w:tcPr>
          <w:p w14:paraId="0DB2B8BC" w14:textId="13D45DEA" w:rsidR="009D06D1" w:rsidRPr="00BA1ECA" w:rsidRDefault="00755C5D" w:rsidP="009D06D1">
            <w:pPr>
              <w:spacing w:after="60"/>
              <w:jc w:val="left"/>
              <w:rPr>
                <w:sz w:val="18"/>
                <w:szCs w:val="18"/>
                <w:lang w:val="es-ES_tradnl"/>
              </w:rPr>
            </w:pPr>
            <w:r w:rsidRPr="00BA1ECA">
              <w:rPr>
                <w:sz w:val="18"/>
                <w:szCs w:val="18"/>
                <w:lang w:val="es-ES_tradnl"/>
              </w:rPr>
              <w:t>Financiamiento</w:t>
            </w:r>
            <w:r w:rsidR="00A13BEA" w:rsidRPr="00BA1ECA">
              <w:rPr>
                <w:sz w:val="18"/>
                <w:szCs w:val="18"/>
                <w:lang w:val="es-ES_tradnl"/>
              </w:rPr>
              <w:t xml:space="preserve"> </w:t>
            </w:r>
            <w:r w:rsidR="00E26F0F" w:rsidRPr="00BA1ECA">
              <w:rPr>
                <w:sz w:val="18"/>
                <w:szCs w:val="18"/>
                <w:lang w:val="es-ES_tradnl"/>
              </w:rPr>
              <w:t>($EUA)</w:t>
            </w:r>
          </w:p>
        </w:tc>
        <w:tc>
          <w:tcPr>
            <w:tcW w:w="801" w:type="pct"/>
            <w:shd w:val="clear" w:color="auto" w:fill="auto"/>
          </w:tcPr>
          <w:p w14:paraId="1C65B78D" w14:textId="3EEFA8F2" w:rsidR="009D06D1" w:rsidRPr="00BA1ECA" w:rsidRDefault="009D06D1" w:rsidP="009D06D1">
            <w:pPr>
              <w:spacing w:after="60"/>
              <w:jc w:val="right"/>
              <w:rPr>
                <w:sz w:val="18"/>
                <w:szCs w:val="18"/>
                <w:lang w:val="es-ES_tradnl"/>
              </w:rPr>
            </w:pPr>
            <w:r w:rsidRPr="00BA1ECA">
              <w:rPr>
                <w:sz w:val="18"/>
                <w:szCs w:val="18"/>
                <w:lang w:val="es-ES_tradnl"/>
              </w:rPr>
              <w:t>37</w:t>
            </w:r>
            <w:r w:rsidR="009374DA" w:rsidRPr="00BA1ECA">
              <w:rPr>
                <w:sz w:val="18"/>
                <w:szCs w:val="18"/>
                <w:lang w:val="es-ES_tradnl"/>
              </w:rPr>
              <w:t>6.</w:t>
            </w:r>
            <w:r w:rsidRPr="00BA1ECA">
              <w:rPr>
                <w:sz w:val="18"/>
                <w:szCs w:val="18"/>
                <w:lang w:val="es-ES_tradnl"/>
              </w:rPr>
              <w:t>250</w:t>
            </w:r>
          </w:p>
        </w:tc>
        <w:tc>
          <w:tcPr>
            <w:tcW w:w="730" w:type="pct"/>
          </w:tcPr>
          <w:p w14:paraId="053F58FE" w14:textId="77777777" w:rsidR="009D06D1" w:rsidRPr="00BA1ECA" w:rsidRDefault="009D06D1" w:rsidP="009D06D1">
            <w:pPr>
              <w:spacing w:after="60"/>
              <w:jc w:val="right"/>
              <w:rPr>
                <w:sz w:val="18"/>
                <w:szCs w:val="18"/>
                <w:lang w:val="es-ES_tradnl"/>
              </w:rPr>
            </w:pPr>
            <w:r w:rsidRPr="00BA1ECA">
              <w:rPr>
                <w:sz w:val="18"/>
                <w:szCs w:val="18"/>
                <w:lang w:val="es-ES_tradnl"/>
              </w:rPr>
              <w:t>0</w:t>
            </w:r>
          </w:p>
        </w:tc>
        <w:tc>
          <w:tcPr>
            <w:tcW w:w="731" w:type="pct"/>
            <w:shd w:val="clear" w:color="auto" w:fill="auto"/>
          </w:tcPr>
          <w:p w14:paraId="6A45C7A9" w14:textId="77777777" w:rsidR="009D06D1" w:rsidRPr="00BA1ECA" w:rsidRDefault="009D06D1" w:rsidP="009D06D1">
            <w:pPr>
              <w:spacing w:after="60"/>
              <w:jc w:val="right"/>
              <w:rPr>
                <w:sz w:val="18"/>
                <w:szCs w:val="18"/>
                <w:lang w:val="es-ES_tradnl"/>
              </w:rPr>
            </w:pPr>
            <w:r w:rsidRPr="00BA1ECA">
              <w:rPr>
                <w:sz w:val="18"/>
                <w:szCs w:val="18"/>
                <w:lang w:val="es-ES_tradnl"/>
              </w:rPr>
              <w:t>0</w:t>
            </w:r>
          </w:p>
        </w:tc>
        <w:tc>
          <w:tcPr>
            <w:tcW w:w="730" w:type="pct"/>
            <w:shd w:val="clear" w:color="auto" w:fill="auto"/>
          </w:tcPr>
          <w:p w14:paraId="120991DD" w14:textId="7723530D" w:rsidR="009D06D1" w:rsidRPr="00BA1ECA" w:rsidRDefault="009D06D1" w:rsidP="009D06D1">
            <w:pPr>
              <w:spacing w:after="60"/>
              <w:jc w:val="right"/>
              <w:rPr>
                <w:sz w:val="18"/>
                <w:szCs w:val="18"/>
                <w:lang w:val="es-ES_tradnl"/>
              </w:rPr>
            </w:pPr>
            <w:r w:rsidRPr="00BA1ECA">
              <w:rPr>
                <w:sz w:val="18"/>
                <w:szCs w:val="18"/>
                <w:lang w:val="es-ES_tradnl"/>
              </w:rPr>
              <w:t>37</w:t>
            </w:r>
            <w:r w:rsidR="009374DA" w:rsidRPr="00BA1ECA">
              <w:rPr>
                <w:sz w:val="18"/>
                <w:szCs w:val="18"/>
                <w:lang w:val="es-ES_tradnl"/>
              </w:rPr>
              <w:t>6.</w:t>
            </w:r>
            <w:r w:rsidRPr="00BA1ECA">
              <w:rPr>
                <w:sz w:val="18"/>
                <w:szCs w:val="18"/>
                <w:lang w:val="es-ES_tradnl"/>
              </w:rPr>
              <w:t>250</w:t>
            </w:r>
          </w:p>
        </w:tc>
      </w:tr>
    </w:tbl>
    <w:p w14:paraId="2FDDB697" w14:textId="77777777" w:rsidR="00EE5B08" w:rsidRPr="00BA1ECA" w:rsidRDefault="00EE5B08" w:rsidP="00EE5B08">
      <w:pPr>
        <w:jc w:val="center"/>
        <w:rPr>
          <w:sz w:val="18"/>
          <w:szCs w:val="18"/>
          <w:lang w:val="es-ES_tradnl"/>
        </w:rPr>
      </w:pPr>
    </w:p>
    <w:tbl>
      <w:tblPr>
        <w:tblStyle w:val="TableGrid12"/>
        <w:tblW w:w="5298" w:type="pct"/>
        <w:tblInd w:w="-545" w:type="dxa"/>
        <w:tblLayout w:type="fixed"/>
        <w:tblLook w:val="04A0" w:firstRow="1" w:lastRow="0" w:firstColumn="1" w:lastColumn="0" w:noHBand="0" w:noVBand="1"/>
      </w:tblPr>
      <w:tblGrid>
        <w:gridCol w:w="1257"/>
        <w:gridCol w:w="1067"/>
        <w:gridCol w:w="1815"/>
        <w:gridCol w:w="961"/>
        <w:gridCol w:w="961"/>
        <w:gridCol w:w="961"/>
        <w:gridCol w:w="961"/>
        <w:gridCol w:w="961"/>
        <w:gridCol w:w="963"/>
      </w:tblGrid>
      <w:tr w:rsidR="004964C1" w:rsidRPr="00BA1ECA" w14:paraId="65DF778B" w14:textId="77777777" w:rsidTr="00BB55F7">
        <w:trPr>
          <w:trHeight w:val="216"/>
        </w:trPr>
        <w:tc>
          <w:tcPr>
            <w:tcW w:w="2088" w:type="pct"/>
            <w:gridSpan w:val="3"/>
            <w:shd w:val="clear" w:color="auto" w:fill="auto"/>
          </w:tcPr>
          <w:p w14:paraId="67B29A1E" w14:textId="4C20BFE5" w:rsidR="004964C1" w:rsidRPr="00BA1ECA" w:rsidRDefault="00755C5D" w:rsidP="004964C1">
            <w:pPr>
              <w:jc w:val="left"/>
              <w:rPr>
                <w:b/>
                <w:sz w:val="18"/>
                <w:szCs w:val="18"/>
                <w:lang w:val="es-ES_tradnl"/>
              </w:rPr>
            </w:pPr>
            <w:r w:rsidRPr="00BA1ECA">
              <w:rPr>
                <w:b/>
                <w:sz w:val="18"/>
                <w:szCs w:val="18"/>
                <w:lang w:val="es-ES_tradnl"/>
              </w:rPr>
              <w:t>VI)</w:t>
            </w:r>
            <w:r w:rsidR="00A13BEA" w:rsidRPr="00BA1ECA">
              <w:rPr>
                <w:b/>
                <w:sz w:val="18"/>
                <w:szCs w:val="18"/>
                <w:lang w:val="es-ES_tradnl"/>
              </w:rPr>
              <w:t xml:space="preserve"> </w:t>
            </w:r>
            <w:r w:rsidRPr="00BA1ECA">
              <w:rPr>
                <w:b/>
                <w:sz w:val="18"/>
                <w:szCs w:val="18"/>
                <w:lang w:val="es-ES_tradnl"/>
              </w:rPr>
              <w:t>DATOS</w:t>
            </w:r>
            <w:r w:rsidR="00A13BEA" w:rsidRPr="00BA1ECA">
              <w:rPr>
                <w:b/>
                <w:sz w:val="18"/>
                <w:szCs w:val="18"/>
                <w:lang w:val="es-ES_tradnl"/>
              </w:rPr>
              <w:t xml:space="preserve"> </w:t>
            </w:r>
            <w:r w:rsidRPr="00BA1ECA">
              <w:rPr>
                <w:b/>
                <w:sz w:val="18"/>
                <w:szCs w:val="18"/>
                <w:lang w:val="es-ES_tradnl"/>
              </w:rPr>
              <w:t>DEL</w:t>
            </w:r>
            <w:r w:rsidR="00A13BEA" w:rsidRPr="00BA1ECA">
              <w:rPr>
                <w:b/>
                <w:sz w:val="18"/>
                <w:szCs w:val="18"/>
                <w:lang w:val="es-ES_tradnl"/>
              </w:rPr>
              <w:t xml:space="preserve"> </w:t>
            </w:r>
            <w:r w:rsidRPr="00BA1ECA">
              <w:rPr>
                <w:b/>
                <w:sz w:val="18"/>
                <w:szCs w:val="18"/>
                <w:lang w:val="es-ES_tradnl"/>
              </w:rPr>
              <w:t>PROYECTO</w:t>
            </w:r>
            <w:r w:rsidR="00A13BEA" w:rsidRPr="00BA1ECA">
              <w:rPr>
                <w:b/>
                <w:sz w:val="18"/>
                <w:szCs w:val="18"/>
                <w:lang w:val="es-ES_tradnl"/>
              </w:rPr>
              <w:t xml:space="preserve"> </w:t>
            </w:r>
          </w:p>
        </w:tc>
        <w:tc>
          <w:tcPr>
            <w:tcW w:w="485" w:type="pct"/>
            <w:shd w:val="clear" w:color="auto" w:fill="auto"/>
            <w:tcMar>
              <w:left w:w="14" w:type="dxa"/>
              <w:right w:w="14" w:type="dxa"/>
            </w:tcMar>
          </w:tcPr>
          <w:p w14:paraId="49CF53E1" w14:textId="77777777" w:rsidR="004964C1" w:rsidRPr="00BA1ECA" w:rsidRDefault="004964C1" w:rsidP="004964C1">
            <w:pPr>
              <w:jc w:val="center"/>
              <w:rPr>
                <w:b/>
                <w:sz w:val="18"/>
                <w:szCs w:val="18"/>
                <w:lang w:val="es-ES_tradnl"/>
              </w:rPr>
            </w:pPr>
            <w:r w:rsidRPr="00BA1ECA">
              <w:rPr>
                <w:b/>
                <w:sz w:val="18"/>
                <w:szCs w:val="18"/>
                <w:lang w:val="es-ES_tradnl"/>
              </w:rPr>
              <w:t>2021</w:t>
            </w:r>
          </w:p>
        </w:tc>
        <w:tc>
          <w:tcPr>
            <w:tcW w:w="485" w:type="pct"/>
            <w:shd w:val="clear" w:color="auto" w:fill="auto"/>
            <w:tcMar>
              <w:left w:w="14" w:type="dxa"/>
              <w:right w:w="14" w:type="dxa"/>
            </w:tcMar>
          </w:tcPr>
          <w:p w14:paraId="31D1B68E" w14:textId="77777777" w:rsidR="004964C1" w:rsidRPr="00BA1ECA" w:rsidRDefault="004964C1" w:rsidP="004964C1">
            <w:pPr>
              <w:jc w:val="center"/>
              <w:rPr>
                <w:b/>
                <w:sz w:val="18"/>
                <w:szCs w:val="18"/>
                <w:lang w:val="es-ES_tradnl"/>
              </w:rPr>
            </w:pPr>
            <w:r w:rsidRPr="00BA1ECA">
              <w:rPr>
                <w:b/>
                <w:sz w:val="18"/>
                <w:szCs w:val="18"/>
                <w:lang w:val="es-ES_tradnl"/>
              </w:rPr>
              <w:t>2022</w:t>
            </w:r>
          </w:p>
        </w:tc>
        <w:tc>
          <w:tcPr>
            <w:tcW w:w="485" w:type="pct"/>
            <w:shd w:val="clear" w:color="auto" w:fill="auto"/>
            <w:tcMar>
              <w:left w:w="14" w:type="dxa"/>
              <w:right w:w="14" w:type="dxa"/>
            </w:tcMar>
          </w:tcPr>
          <w:p w14:paraId="55553AEE" w14:textId="77777777" w:rsidR="004964C1" w:rsidRPr="00BA1ECA" w:rsidRDefault="004964C1" w:rsidP="004964C1">
            <w:pPr>
              <w:jc w:val="center"/>
              <w:rPr>
                <w:b/>
                <w:sz w:val="18"/>
                <w:szCs w:val="18"/>
                <w:lang w:val="es-ES_tradnl"/>
              </w:rPr>
            </w:pPr>
            <w:r w:rsidRPr="00BA1ECA">
              <w:rPr>
                <w:b/>
                <w:sz w:val="18"/>
                <w:szCs w:val="18"/>
                <w:lang w:val="es-ES_tradnl"/>
              </w:rPr>
              <w:t>2023</w:t>
            </w:r>
          </w:p>
        </w:tc>
        <w:tc>
          <w:tcPr>
            <w:tcW w:w="485" w:type="pct"/>
            <w:tcMar>
              <w:left w:w="14" w:type="dxa"/>
              <w:right w:w="14" w:type="dxa"/>
            </w:tcMar>
          </w:tcPr>
          <w:p w14:paraId="41C29207" w14:textId="77777777" w:rsidR="004964C1" w:rsidRPr="00BA1ECA" w:rsidRDefault="004964C1" w:rsidP="004964C1">
            <w:pPr>
              <w:jc w:val="center"/>
              <w:rPr>
                <w:b/>
                <w:sz w:val="18"/>
                <w:szCs w:val="18"/>
                <w:lang w:val="es-ES_tradnl"/>
              </w:rPr>
            </w:pPr>
            <w:r w:rsidRPr="00BA1ECA">
              <w:rPr>
                <w:b/>
                <w:sz w:val="18"/>
                <w:szCs w:val="18"/>
                <w:lang w:val="es-ES_tradnl"/>
              </w:rPr>
              <w:t>2024</w:t>
            </w:r>
          </w:p>
        </w:tc>
        <w:tc>
          <w:tcPr>
            <w:tcW w:w="485" w:type="pct"/>
            <w:tcMar>
              <w:left w:w="14" w:type="dxa"/>
              <w:right w:w="14" w:type="dxa"/>
            </w:tcMar>
          </w:tcPr>
          <w:p w14:paraId="60690104" w14:textId="77777777" w:rsidR="004964C1" w:rsidRPr="00BA1ECA" w:rsidRDefault="004964C1" w:rsidP="004964C1">
            <w:pPr>
              <w:jc w:val="center"/>
              <w:rPr>
                <w:b/>
                <w:sz w:val="18"/>
                <w:szCs w:val="18"/>
                <w:lang w:val="es-ES_tradnl"/>
              </w:rPr>
            </w:pPr>
            <w:r w:rsidRPr="00BA1ECA">
              <w:rPr>
                <w:b/>
                <w:sz w:val="18"/>
                <w:szCs w:val="18"/>
                <w:lang w:val="es-ES_tradnl"/>
              </w:rPr>
              <w:t>2025</w:t>
            </w:r>
          </w:p>
        </w:tc>
        <w:tc>
          <w:tcPr>
            <w:tcW w:w="486" w:type="pct"/>
            <w:shd w:val="clear" w:color="auto" w:fill="auto"/>
            <w:tcMar>
              <w:left w:w="14" w:type="dxa"/>
              <w:right w:w="14" w:type="dxa"/>
            </w:tcMar>
          </w:tcPr>
          <w:p w14:paraId="3758D490" w14:textId="77777777" w:rsidR="004964C1" w:rsidRPr="00BA1ECA" w:rsidRDefault="004964C1" w:rsidP="004964C1">
            <w:pPr>
              <w:jc w:val="center"/>
              <w:rPr>
                <w:b/>
                <w:sz w:val="18"/>
                <w:szCs w:val="18"/>
                <w:lang w:val="es-ES_tradnl"/>
              </w:rPr>
            </w:pPr>
            <w:r w:rsidRPr="00BA1ECA">
              <w:rPr>
                <w:b/>
                <w:sz w:val="18"/>
                <w:szCs w:val="18"/>
                <w:lang w:val="es-ES_tradnl"/>
              </w:rPr>
              <w:t>Total</w:t>
            </w:r>
          </w:p>
        </w:tc>
      </w:tr>
      <w:tr w:rsidR="004964C1" w:rsidRPr="00BA1ECA" w14:paraId="4A921865" w14:textId="77777777" w:rsidTr="00BB55F7">
        <w:trPr>
          <w:trHeight w:val="69"/>
        </w:trPr>
        <w:tc>
          <w:tcPr>
            <w:tcW w:w="2088" w:type="pct"/>
            <w:gridSpan w:val="3"/>
            <w:shd w:val="clear" w:color="auto" w:fill="auto"/>
          </w:tcPr>
          <w:p w14:paraId="48FA0A87" w14:textId="30D614CB" w:rsidR="004964C1" w:rsidRPr="00BA1ECA" w:rsidRDefault="00755C5D" w:rsidP="004964C1">
            <w:pPr>
              <w:tabs>
                <w:tab w:val="left" w:pos="8280"/>
              </w:tabs>
              <w:spacing w:after="60"/>
              <w:jc w:val="left"/>
              <w:rPr>
                <w:sz w:val="18"/>
                <w:szCs w:val="18"/>
                <w:lang w:val="es-ES_tradnl"/>
              </w:rPr>
            </w:pPr>
            <w:r w:rsidRPr="00BA1ECA">
              <w:rPr>
                <w:sz w:val="18"/>
                <w:szCs w:val="18"/>
                <w:lang w:val="es-ES_tradnl"/>
              </w:rPr>
              <w:t>Límites</w:t>
            </w:r>
            <w:r w:rsidR="00A13BEA" w:rsidRPr="00BA1ECA">
              <w:rPr>
                <w:sz w:val="18"/>
                <w:szCs w:val="18"/>
                <w:lang w:val="es-ES_tradnl"/>
              </w:rPr>
              <w:t xml:space="preserve"> </w:t>
            </w:r>
            <w:r w:rsidRPr="00BA1ECA">
              <w:rPr>
                <w:sz w:val="18"/>
                <w:szCs w:val="18"/>
                <w:lang w:val="es-ES_tradnl"/>
              </w:rPr>
              <w:t>de</w:t>
            </w:r>
            <w:r w:rsidR="00A13BEA" w:rsidRPr="00BA1ECA">
              <w:rPr>
                <w:sz w:val="18"/>
                <w:szCs w:val="18"/>
                <w:lang w:val="es-ES_tradnl"/>
              </w:rPr>
              <w:t xml:space="preserve"> </w:t>
            </w:r>
            <w:r w:rsidRPr="00BA1ECA">
              <w:rPr>
                <w:sz w:val="18"/>
                <w:szCs w:val="18"/>
                <w:lang w:val="es-ES_tradnl"/>
              </w:rPr>
              <w:t>consumo</w:t>
            </w:r>
            <w:r w:rsidR="00A13BEA" w:rsidRPr="00BA1ECA">
              <w:rPr>
                <w:sz w:val="18"/>
                <w:szCs w:val="18"/>
                <w:lang w:val="es-ES_tradnl"/>
              </w:rPr>
              <w:t xml:space="preserve"> </w:t>
            </w:r>
            <w:r w:rsidRPr="00BA1ECA">
              <w:rPr>
                <w:sz w:val="18"/>
                <w:szCs w:val="18"/>
                <w:lang w:val="es-ES_tradnl"/>
              </w:rPr>
              <w:t>establecidos</w:t>
            </w:r>
            <w:r w:rsidR="00A13BEA" w:rsidRPr="00BA1ECA">
              <w:rPr>
                <w:sz w:val="18"/>
                <w:szCs w:val="18"/>
                <w:lang w:val="es-ES_tradnl"/>
              </w:rPr>
              <w:t xml:space="preserve"> </w:t>
            </w:r>
            <w:r w:rsidRPr="00BA1ECA">
              <w:rPr>
                <w:sz w:val="18"/>
                <w:szCs w:val="18"/>
                <w:lang w:val="es-ES_tradnl"/>
              </w:rPr>
              <w:t>en</w:t>
            </w:r>
            <w:r w:rsidR="00A13BEA" w:rsidRPr="00BA1ECA">
              <w:rPr>
                <w:sz w:val="18"/>
                <w:szCs w:val="18"/>
                <w:lang w:val="es-ES_tradnl"/>
              </w:rPr>
              <w:t xml:space="preserve"> </w:t>
            </w:r>
            <w:r w:rsidRPr="00BA1ECA">
              <w:rPr>
                <w:sz w:val="18"/>
                <w:szCs w:val="18"/>
                <w:lang w:val="es-ES_tradnl"/>
              </w:rPr>
              <w:t>el</w:t>
            </w:r>
            <w:r w:rsidR="00A13BEA" w:rsidRPr="00BA1ECA">
              <w:rPr>
                <w:sz w:val="18"/>
                <w:szCs w:val="18"/>
                <w:lang w:val="es-ES_tradnl"/>
              </w:rPr>
              <w:t xml:space="preserve"> </w:t>
            </w:r>
            <w:r w:rsidRPr="00BA1ECA">
              <w:rPr>
                <w:sz w:val="18"/>
                <w:szCs w:val="18"/>
                <w:lang w:val="es-ES_tradnl"/>
              </w:rPr>
              <w:t>Protocolo</w:t>
            </w:r>
            <w:r w:rsidR="00A13BEA" w:rsidRPr="00BA1ECA">
              <w:rPr>
                <w:sz w:val="18"/>
                <w:szCs w:val="18"/>
                <w:lang w:val="es-ES_tradnl"/>
              </w:rPr>
              <w:t xml:space="preserve"> </w:t>
            </w:r>
            <w:r w:rsidRPr="00BA1ECA">
              <w:rPr>
                <w:sz w:val="18"/>
                <w:szCs w:val="18"/>
                <w:lang w:val="es-ES_tradnl"/>
              </w:rPr>
              <w:t>de</w:t>
            </w:r>
            <w:r w:rsidR="00A13BEA" w:rsidRPr="00BA1ECA">
              <w:rPr>
                <w:sz w:val="18"/>
                <w:szCs w:val="18"/>
                <w:lang w:val="es-ES_tradnl"/>
              </w:rPr>
              <w:t xml:space="preserve"> </w:t>
            </w:r>
            <w:r w:rsidRPr="00BA1ECA">
              <w:rPr>
                <w:sz w:val="18"/>
                <w:szCs w:val="18"/>
                <w:lang w:val="es-ES_tradnl"/>
              </w:rPr>
              <w:t>Montreal</w:t>
            </w:r>
          </w:p>
        </w:tc>
        <w:tc>
          <w:tcPr>
            <w:tcW w:w="485" w:type="pct"/>
            <w:shd w:val="clear" w:color="auto" w:fill="auto"/>
            <w:tcMar>
              <w:left w:w="57" w:type="dxa"/>
              <w:right w:w="57" w:type="dxa"/>
            </w:tcMar>
          </w:tcPr>
          <w:p w14:paraId="3B72C0A0" w14:textId="77777777" w:rsidR="004964C1" w:rsidRPr="00BA1ECA" w:rsidRDefault="004964C1" w:rsidP="004964C1">
            <w:pPr>
              <w:tabs>
                <w:tab w:val="left" w:pos="8280"/>
              </w:tabs>
              <w:spacing w:after="60"/>
              <w:jc w:val="right"/>
              <w:rPr>
                <w:sz w:val="18"/>
                <w:szCs w:val="18"/>
                <w:lang w:val="es-ES_tradnl"/>
              </w:rPr>
            </w:pPr>
            <w:r w:rsidRPr="00BA1ECA">
              <w:rPr>
                <w:sz w:val="18"/>
                <w:szCs w:val="18"/>
                <w:lang w:val="es-ES_tradnl"/>
              </w:rPr>
              <w:t>70.46</w:t>
            </w:r>
          </w:p>
        </w:tc>
        <w:tc>
          <w:tcPr>
            <w:tcW w:w="485" w:type="pct"/>
            <w:tcMar>
              <w:left w:w="57" w:type="dxa"/>
              <w:right w:w="57" w:type="dxa"/>
            </w:tcMar>
          </w:tcPr>
          <w:p w14:paraId="3C547CF6" w14:textId="77777777" w:rsidR="004964C1" w:rsidRPr="00BA1ECA" w:rsidRDefault="004964C1" w:rsidP="004964C1">
            <w:pPr>
              <w:tabs>
                <w:tab w:val="left" w:pos="8280"/>
              </w:tabs>
              <w:spacing w:after="60"/>
              <w:jc w:val="right"/>
              <w:rPr>
                <w:sz w:val="18"/>
                <w:szCs w:val="18"/>
                <w:lang w:val="es-ES_tradnl"/>
              </w:rPr>
            </w:pPr>
            <w:r w:rsidRPr="00BA1ECA">
              <w:rPr>
                <w:sz w:val="18"/>
                <w:szCs w:val="18"/>
                <w:lang w:val="es-ES_tradnl"/>
              </w:rPr>
              <w:t>70.46</w:t>
            </w:r>
          </w:p>
        </w:tc>
        <w:tc>
          <w:tcPr>
            <w:tcW w:w="485" w:type="pct"/>
            <w:tcMar>
              <w:left w:w="57" w:type="dxa"/>
              <w:right w:w="57" w:type="dxa"/>
            </w:tcMar>
          </w:tcPr>
          <w:p w14:paraId="104AC41C" w14:textId="77777777" w:rsidR="004964C1" w:rsidRPr="00BA1ECA" w:rsidRDefault="004964C1" w:rsidP="004964C1">
            <w:pPr>
              <w:tabs>
                <w:tab w:val="left" w:pos="8280"/>
              </w:tabs>
              <w:spacing w:after="60"/>
              <w:jc w:val="right"/>
              <w:rPr>
                <w:sz w:val="18"/>
                <w:szCs w:val="18"/>
                <w:lang w:val="es-ES_tradnl"/>
              </w:rPr>
            </w:pPr>
            <w:r w:rsidRPr="00BA1ECA">
              <w:rPr>
                <w:sz w:val="18"/>
                <w:szCs w:val="18"/>
                <w:lang w:val="es-ES_tradnl"/>
              </w:rPr>
              <w:t>70.46</w:t>
            </w:r>
          </w:p>
        </w:tc>
        <w:tc>
          <w:tcPr>
            <w:tcW w:w="485" w:type="pct"/>
            <w:tcMar>
              <w:left w:w="57" w:type="dxa"/>
              <w:right w:w="57" w:type="dxa"/>
            </w:tcMar>
          </w:tcPr>
          <w:p w14:paraId="1F521860" w14:textId="77777777" w:rsidR="004964C1" w:rsidRPr="00BA1ECA" w:rsidRDefault="004964C1" w:rsidP="004964C1">
            <w:pPr>
              <w:tabs>
                <w:tab w:val="left" w:pos="8280"/>
              </w:tabs>
              <w:spacing w:after="60"/>
              <w:jc w:val="right"/>
              <w:rPr>
                <w:sz w:val="18"/>
                <w:szCs w:val="18"/>
                <w:lang w:val="es-ES_tradnl"/>
              </w:rPr>
            </w:pPr>
            <w:r w:rsidRPr="00BA1ECA">
              <w:rPr>
                <w:sz w:val="18"/>
                <w:szCs w:val="18"/>
                <w:lang w:val="es-ES_tradnl"/>
              </w:rPr>
              <w:t>70.46</w:t>
            </w:r>
          </w:p>
        </w:tc>
        <w:tc>
          <w:tcPr>
            <w:tcW w:w="485" w:type="pct"/>
            <w:tcMar>
              <w:left w:w="57" w:type="dxa"/>
              <w:right w:w="57" w:type="dxa"/>
            </w:tcMar>
          </w:tcPr>
          <w:p w14:paraId="2B7DE92D" w14:textId="77777777" w:rsidR="004964C1" w:rsidRPr="00BA1ECA" w:rsidRDefault="004964C1" w:rsidP="004964C1">
            <w:pPr>
              <w:tabs>
                <w:tab w:val="left" w:pos="8280"/>
              </w:tabs>
              <w:spacing w:after="60"/>
              <w:jc w:val="right"/>
              <w:rPr>
                <w:sz w:val="18"/>
                <w:szCs w:val="18"/>
                <w:lang w:val="es-ES_tradnl"/>
              </w:rPr>
            </w:pPr>
            <w:r w:rsidRPr="00BA1ECA">
              <w:rPr>
                <w:sz w:val="18"/>
                <w:szCs w:val="18"/>
                <w:lang w:val="es-ES_tradnl"/>
              </w:rPr>
              <w:t>35.23</w:t>
            </w:r>
          </w:p>
        </w:tc>
        <w:tc>
          <w:tcPr>
            <w:tcW w:w="486" w:type="pct"/>
            <w:tcMar>
              <w:left w:w="57" w:type="dxa"/>
              <w:right w:w="57" w:type="dxa"/>
            </w:tcMar>
          </w:tcPr>
          <w:p w14:paraId="18673612" w14:textId="3977929A" w:rsidR="004964C1" w:rsidRPr="00BA1ECA" w:rsidRDefault="00755C5D" w:rsidP="004964C1">
            <w:pPr>
              <w:tabs>
                <w:tab w:val="left" w:pos="8280"/>
              </w:tabs>
              <w:spacing w:after="60"/>
              <w:jc w:val="right"/>
              <w:rPr>
                <w:sz w:val="18"/>
                <w:szCs w:val="18"/>
                <w:lang w:val="es-ES_tradnl"/>
              </w:rPr>
            </w:pPr>
            <w:r w:rsidRPr="00BA1ECA">
              <w:rPr>
                <w:sz w:val="18"/>
                <w:szCs w:val="18"/>
                <w:lang w:val="es-ES_tradnl"/>
              </w:rPr>
              <w:t>—</w:t>
            </w:r>
          </w:p>
        </w:tc>
      </w:tr>
      <w:tr w:rsidR="004964C1" w:rsidRPr="00BA1ECA" w14:paraId="4B5AD3F3" w14:textId="77777777" w:rsidTr="00BB55F7">
        <w:trPr>
          <w:trHeight w:val="69"/>
        </w:trPr>
        <w:tc>
          <w:tcPr>
            <w:tcW w:w="2088" w:type="pct"/>
            <w:gridSpan w:val="3"/>
            <w:shd w:val="clear" w:color="auto" w:fill="auto"/>
          </w:tcPr>
          <w:p w14:paraId="61BEBBF2" w14:textId="44732A8D" w:rsidR="004964C1" w:rsidRPr="00BA1ECA" w:rsidRDefault="00755C5D" w:rsidP="004964C1">
            <w:pPr>
              <w:tabs>
                <w:tab w:val="left" w:pos="8280"/>
              </w:tabs>
              <w:spacing w:after="60"/>
              <w:jc w:val="left"/>
              <w:rPr>
                <w:sz w:val="18"/>
                <w:szCs w:val="18"/>
                <w:lang w:val="es-ES_tradnl"/>
              </w:rPr>
            </w:pPr>
            <w:r w:rsidRPr="00BA1ECA">
              <w:rPr>
                <w:sz w:val="18"/>
                <w:szCs w:val="18"/>
                <w:lang w:val="es-ES_tradnl"/>
              </w:rPr>
              <w:t>Consumo</w:t>
            </w:r>
            <w:r w:rsidR="00A13BEA" w:rsidRPr="00BA1ECA">
              <w:rPr>
                <w:sz w:val="18"/>
                <w:szCs w:val="18"/>
                <w:lang w:val="es-ES_tradnl"/>
              </w:rPr>
              <w:t xml:space="preserve"> </w:t>
            </w:r>
            <w:r w:rsidRPr="00BA1ECA">
              <w:rPr>
                <w:sz w:val="18"/>
                <w:szCs w:val="18"/>
                <w:lang w:val="es-ES_tradnl"/>
              </w:rPr>
              <w:t>máximo</w:t>
            </w:r>
            <w:r w:rsidR="00A13BEA" w:rsidRPr="00BA1ECA">
              <w:rPr>
                <w:sz w:val="18"/>
                <w:szCs w:val="18"/>
                <w:lang w:val="es-ES_tradnl"/>
              </w:rPr>
              <w:t xml:space="preserve"> </w:t>
            </w:r>
            <w:r w:rsidRPr="00BA1ECA">
              <w:rPr>
                <w:sz w:val="18"/>
                <w:szCs w:val="18"/>
                <w:lang w:val="es-ES_tradnl"/>
              </w:rPr>
              <w:t>permitido</w:t>
            </w:r>
            <w:r w:rsidR="00A13BEA" w:rsidRPr="00BA1ECA">
              <w:rPr>
                <w:sz w:val="18"/>
                <w:szCs w:val="18"/>
                <w:lang w:val="es-ES_tradnl"/>
              </w:rPr>
              <w:t xml:space="preserve"> </w:t>
            </w:r>
            <w:r w:rsidR="004964C1" w:rsidRPr="00BA1ECA">
              <w:rPr>
                <w:sz w:val="18"/>
                <w:szCs w:val="18"/>
                <w:lang w:val="es-ES_tradnl"/>
              </w:rPr>
              <w:t>(</w:t>
            </w:r>
            <w:proofErr w:type="spellStart"/>
            <w:r w:rsidR="000521A3" w:rsidRPr="00BA1ECA">
              <w:rPr>
                <w:sz w:val="18"/>
                <w:szCs w:val="18"/>
                <w:lang w:val="es-ES_tradnl"/>
              </w:rPr>
              <w:t>tons</w:t>
            </w:r>
            <w:proofErr w:type="spellEnd"/>
            <w:r w:rsidR="000521A3" w:rsidRPr="00BA1ECA">
              <w:rPr>
                <w:sz w:val="18"/>
                <w:szCs w:val="18"/>
                <w:lang w:val="es-ES_tradnl"/>
              </w:rPr>
              <w:t>.</w:t>
            </w:r>
            <w:r w:rsidR="00A13BEA" w:rsidRPr="00BA1ECA">
              <w:rPr>
                <w:sz w:val="18"/>
                <w:szCs w:val="18"/>
                <w:lang w:val="es-ES_tradnl"/>
              </w:rPr>
              <w:t xml:space="preserve"> </w:t>
            </w:r>
            <w:r w:rsidR="000521A3" w:rsidRPr="00BA1ECA">
              <w:rPr>
                <w:sz w:val="18"/>
                <w:szCs w:val="18"/>
                <w:lang w:val="es-ES_tradnl"/>
              </w:rPr>
              <w:t>PAO)</w:t>
            </w:r>
          </w:p>
        </w:tc>
        <w:tc>
          <w:tcPr>
            <w:tcW w:w="485" w:type="pct"/>
            <w:shd w:val="clear" w:color="auto" w:fill="auto"/>
            <w:tcMar>
              <w:left w:w="57" w:type="dxa"/>
              <w:right w:w="57" w:type="dxa"/>
            </w:tcMar>
          </w:tcPr>
          <w:p w14:paraId="6D3D2A46" w14:textId="77777777" w:rsidR="004964C1" w:rsidRPr="00BA1ECA" w:rsidRDefault="004964C1" w:rsidP="004964C1">
            <w:pPr>
              <w:tabs>
                <w:tab w:val="left" w:pos="8280"/>
              </w:tabs>
              <w:spacing w:after="60"/>
              <w:jc w:val="right"/>
              <w:rPr>
                <w:sz w:val="18"/>
                <w:szCs w:val="18"/>
                <w:lang w:val="es-ES_tradnl"/>
              </w:rPr>
            </w:pPr>
            <w:r w:rsidRPr="00BA1ECA">
              <w:rPr>
                <w:sz w:val="18"/>
                <w:szCs w:val="18"/>
                <w:lang w:val="es-ES_tradnl"/>
              </w:rPr>
              <w:t>66.40</w:t>
            </w:r>
          </w:p>
        </w:tc>
        <w:tc>
          <w:tcPr>
            <w:tcW w:w="485" w:type="pct"/>
            <w:tcMar>
              <w:left w:w="57" w:type="dxa"/>
              <w:right w:w="57" w:type="dxa"/>
            </w:tcMar>
          </w:tcPr>
          <w:p w14:paraId="5E8BA6D4" w14:textId="77777777" w:rsidR="004964C1" w:rsidRPr="00BA1ECA" w:rsidRDefault="004964C1" w:rsidP="004964C1">
            <w:pPr>
              <w:tabs>
                <w:tab w:val="left" w:pos="8280"/>
              </w:tabs>
              <w:spacing w:after="60"/>
              <w:jc w:val="right"/>
              <w:rPr>
                <w:sz w:val="18"/>
                <w:szCs w:val="18"/>
                <w:lang w:val="es-ES_tradnl"/>
              </w:rPr>
            </w:pPr>
            <w:r w:rsidRPr="00BA1ECA">
              <w:rPr>
                <w:sz w:val="18"/>
                <w:szCs w:val="18"/>
                <w:lang w:val="es-ES_tradnl"/>
              </w:rPr>
              <w:t>66.40</w:t>
            </w:r>
          </w:p>
        </w:tc>
        <w:tc>
          <w:tcPr>
            <w:tcW w:w="485" w:type="pct"/>
            <w:tcMar>
              <w:left w:w="57" w:type="dxa"/>
              <w:right w:w="57" w:type="dxa"/>
            </w:tcMar>
          </w:tcPr>
          <w:p w14:paraId="2E8C0655" w14:textId="77777777" w:rsidR="004964C1" w:rsidRPr="00BA1ECA" w:rsidRDefault="004964C1" w:rsidP="004964C1">
            <w:pPr>
              <w:tabs>
                <w:tab w:val="left" w:pos="8280"/>
              </w:tabs>
              <w:spacing w:after="60"/>
              <w:jc w:val="right"/>
              <w:rPr>
                <w:sz w:val="18"/>
                <w:szCs w:val="18"/>
                <w:lang w:val="es-ES_tradnl"/>
              </w:rPr>
            </w:pPr>
            <w:r w:rsidRPr="00BA1ECA">
              <w:rPr>
                <w:sz w:val="18"/>
                <w:szCs w:val="18"/>
                <w:lang w:val="es-ES_tradnl"/>
              </w:rPr>
              <w:t>66.40</w:t>
            </w:r>
          </w:p>
        </w:tc>
        <w:tc>
          <w:tcPr>
            <w:tcW w:w="485" w:type="pct"/>
            <w:tcMar>
              <w:left w:w="57" w:type="dxa"/>
              <w:right w:w="57" w:type="dxa"/>
            </w:tcMar>
          </w:tcPr>
          <w:p w14:paraId="4CDBB342" w14:textId="77777777" w:rsidR="004964C1" w:rsidRPr="00BA1ECA" w:rsidRDefault="004964C1" w:rsidP="004964C1">
            <w:pPr>
              <w:tabs>
                <w:tab w:val="left" w:pos="8280"/>
              </w:tabs>
              <w:spacing w:after="60"/>
              <w:jc w:val="right"/>
              <w:rPr>
                <w:sz w:val="18"/>
                <w:szCs w:val="18"/>
                <w:lang w:val="es-ES_tradnl"/>
              </w:rPr>
            </w:pPr>
            <w:r w:rsidRPr="00BA1ECA">
              <w:rPr>
                <w:sz w:val="18"/>
                <w:szCs w:val="18"/>
                <w:lang w:val="es-ES_tradnl"/>
              </w:rPr>
              <w:t>66.40</w:t>
            </w:r>
          </w:p>
        </w:tc>
        <w:tc>
          <w:tcPr>
            <w:tcW w:w="485" w:type="pct"/>
            <w:tcMar>
              <w:left w:w="57" w:type="dxa"/>
              <w:right w:w="57" w:type="dxa"/>
            </w:tcMar>
          </w:tcPr>
          <w:p w14:paraId="2378D6A7" w14:textId="058D4863" w:rsidR="004964C1" w:rsidRPr="00BA1ECA" w:rsidRDefault="004964C1" w:rsidP="00904E62">
            <w:pPr>
              <w:tabs>
                <w:tab w:val="left" w:pos="8280"/>
              </w:tabs>
              <w:spacing w:after="60"/>
              <w:jc w:val="right"/>
              <w:rPr>
                <w:sz w:val="18"/>
                <w:szCs w:val="18"/>
                <w:lang w:val="es-ES_tradnl"/>
              </w:rPr>
            </w:pPr>
            <w:r w:rsidRPr="00BA1ECA">
              <w:rPr>
                <w:sz w:val="18"/>
                <w:szCs w:val="18"/>
                <w:lang w:val="es-ES_tradnl"/>
              </w:rPr>
              <w:t>33.</w:t>
            </w:r>
            <w:r w:rsidR="00904E62" w:rsidRPr="00BA1ECA">
              <w:rPr>
                <w:sz w:val="18"/>
                <w:szCs w:val="18"/>
                <w:lang w:val="es-ES_tradnl"/>
              </w:rPr>
              <w:t>6</w:t>
            </w:r>
            <w:r w:rsidRPr="00BA1ECA">
              <w:rPr>
                <w:sz w:val="18"/>
                <w:szCs w:val="18"/>
                <w:lang w:val="es-ES_tradnl"/>
              </w:rPr>
              <w:t>0</w:t>
            </w:r>
          </w:p>
        </w:tc>
        <w:tc>
          <w:tcPr>
            <w:tcW w:w="486" w:type="pct"/>
            <w:tcMar>
              <w:left w:w="57" w:type="dxa"/>
              <w:right w:w="57" w:type="dxa"/>
            </w:tcMar>
          </w:tcPr>
          <w:p w14:paraId="6DCF78D1" w14:textId="2045695E" w:rsidR="004964C1" w:rsidRPr="00BA1ECA" w:rsidRDefault="00755C5D" w:rsidP="004964C1">
            <w:pPr>
              <w:tabs>
                <w:tab w:val="left" w:pos="8280"/>
              </w:tabs>
              <w:spacing w:after="60"/>
              <w:jc w:val="right"/>
              <w:rPr>
                <w:sz w:val="18"/>
                <w:szCs w:val="18"/>
                <w:lang w:val="es-ES_tradnl"/>
              </w:rPr>
            </w:pPr>
            <w:r w:rsidRPr="00BA1ECA">
              <w:rPr>
                <w:sz w:val="18"/>
                <w:szCs w:val="18"/>
                <w:lang w:val="es-ES_tradnl"/>
              </w:rPr>
              <w:t>—</w:t>
            </w:r>
          </w:p>
        </w:tc>
      </w:tr>
      <w:tr w:rsidR="004964C1" w:rsidRPr="00BA1ECA" w14:paraId="5C7ABC4E" w14:textId="77777777" w:rsidTr="00BB55F7">
        <w:trPr>
          <w:trHeight w:val="212"/>
        </w:trPr>
        <w:tc>
          <w:tcPr>
            <w:tcW w:w="634" w:type="pct"/>
            <w:vMerge w:val="restart"/>
            <w:shd w:val="clear" w:color="auto" w:fill="auto"/>
          </w:tcPr>
          <w:p w14:paraId="7681EC03" w14:textId="2EBFCF27" w:rsidR="004964C1" w:rsidRPr="00BA1ECA" w:rsidRDefault="00BB4DE9" w:rsidP="004964C1">
            <w:pPr>
              <w:tabs>
                <w:tab w:val="left" w:pos="8280"/>
              </w:tabs>
              <w:spacing w:after="60"/>
              <w:jc w:val="left"/>
              <w:rPr>
                <w:sz w:val="18"/>
                <w:szCs w:val="18"/>
                <w:lang w:val="es-ES_tradnl"/>
              </w:rPr>
            </w:pPr>
            <w:r w:rsidRPr="00BA1ECA">
              <w:rPr>
                <w:sz w:val="18"/>
                <w:szCs w:val="18"/>
                <w:lang w:val="es-ES_tradnl"/>
              </w:rPr>
              <w:t>Costos de</w:t>
            </w:r>
            <w:r w:rsidR="00F30C36">
              <w:rPr>
                <w:sz w:val="18"/>
                <w:szCs w:val="18"/>
                <w:lang w:val="es-ES_tradnl"/>
              </w:rPr>
              <w:t>l</w:t>
            </w:r>
            <w:r w:rsidRPr="00BA1ECA">
              <w:rPr>
                <w:sz w:val="18"/>
                <w:szCs w:val="18"/>
                <w:lang w:val="es-ES_tradnl"/>
              </w:rPr>
              <w:t xml:space="preserve"> proyecto</w:t>
            </w:r>
            <w:r w:rsidR="00A13BEA" w:rsidRPr="00BA1ECA">
              <w:rPr>
                <w:sz w:val="18"/>
                <w:szCs w:val="18"/>
                <w:lang w:val="es-ES_tradnl"/>
              </w:rPr>
              <w:t xml:space="preserve"> </w:t>
            </w:r>
            <w:r w:rsidR="009374DA" w:rsidRPr="00BA1ECA">
              <w:rPr>
                <w:sz w:val="18"/>
                <w:szCs w:val="18"/>
                <w:lang w:val="es-ES_tradnl"/>
              </w:rPr>
              <w:t>solicitados</w:t>
            </w:r>
            <w:r w:rsidR="00A13BEA" w:rsidRPr="00BA1ECA">
              <w:rPr>
                <w:sz w:val="18"/>
                <w:szCs w:val="18"/>
                <w:lang w:val="es-ES_tradnl"/>
              </w:rPr>
              <w:t xml:space="preserve"> </w:t>
            </w:r>
            <w:r w:rsidR="009374DA" w:rsidRPr="00BA1ECA">
              <w:rPr>
                <w:sz w:val="18"/>
                <w:szCs w:val="18"/>
                <w:lang w:val="es-ES_tradnl"/>
              </w:rPr>
              <w:t>en</w:t>
            </w:r>
            <w:r w:rsidR="00A13BEA" w:rsidRPr="00BA1ECA">
              <w:rPr>
                <w:sz w:val="18"/>
                <w:szCs w:val="18"/>
                <w:lang w:val="es-ES_tradnl"/>
              </w:rPr>
              <w:t xml:space="preserve"> </w:t>
            </w:r>
            <w:r w:rsidR="009374DA" w:rsidRPr="00BA1ECA">
              <w:rPr>
                <w:sz w:val="18"/>
                <w:szCs w:val="18"/>
                <w:lang w:val="es-ES_tradnl"/>
              </w:rPr>
              <w:t>principio</w:t>
            </w:r>
            <w:r w:rsidR="00A13BEA" w:rsidRPr="00BA1ECA">
              <w:rPr>
                <w:sz w:val="18"/>
                <w:szCs w:val="18"/>
                <w:lang w:val="es-ES_tradnl"/>
              </w:rPr>
              <w:t xml:space="preserve"> </w:t>
            </w:r>
            <w:r w:rsidR="00E26F0F" w:rsidRPr="00BA1ECA">
              <w:rPr>
                <w:sz w:val="18"/>
                <w:szCs w:val="18"/>
                <w:lang w:val="es-ES_tradnl"/>
              </w:rPr>
              <w:t>($EUA)</w:t>
            </w:r>
          </w:p>
        </w:tc>
        <w:tc>
          <w:tcPr>
            <w:tcW w:w="538" w:type="pct"/>
            <w:vMerge w:val="restart"/>
            <w:shd w:val="clear" w:color="auto" w:fill="auto"/>
            <w:vAlign w:val="center"/>
          </w:tcPr>
          <w:p w14:paraId="71482E04" w14:textId="1CFFDD65" w:rsidR="004964C1" w:rsidRPr="00BA1ECA" w:rsidRDefault="001A4F35" w:rsidP="004964C1">
            <w:pPr>
              <w:tabs>
                <w:tab w:val="left" w:pos="8280"/>
              </w:tabs>
              <w:spacing w:after="60"/>
              <w:jc w:val="center"/>
              <w:rPr>
                <w:sz w:val="18"/>
                <w:szCs w:val="18"/>
                <w:lang w:val="es-ES_tradnl"/>
              </w:rPr>
            </w:pPr>
            <w:r w:rsidRPr="00BA1ECA">
              <w:rPr>
                <w:color w:val="000000" w:themeColor="text1"/>
                <w:sz w:val="18"/>
                <w:szCs w:val="18"/>
                <w:lang w:val="es-ES_tradnl"/>
              </w:rPr>
              <w:t>PNUMA</w:t>
            </w:r>
          </w:p>
        </w:tc>
        <w:tc>
          <w:tcPr>
            <w:tcW w:w="916" w:type="pct"/>
            <w:shd w:val="clear" w:color="auto" w:fill="auto"/>
          </w:tcPr>
          <w:p w14:paraId="791A4443" w14:textId="77B1E436" w:rsidR="004964C1" w:rsidRPr="00BA1ECA" w:rsidRDefault="00755C5D" w:rsidP="004964C1">
            <w:pPr>
              <w:tabs>
                <w:tab w:val="left" w:pos="8280"/>
              </w:tabs>
              <w:spacing w:after="60"/>
              <w:jc w:val="left"/>
              <w:rPr>
                <w:sz w:val="18"/>
                <w:szCs w:val="18"/>
                <w:lang w:val="es-ES_tradnl"/>
              </w:rPr>
            </w:pPr>
            <w:r w:rsidRPr="00BA1ECA">
              <w:rPr>
                <w:sz w:val="18"/>
                <w:szCs w:val="18"/>
                <w:lang w:val="es-ES_tradnl"/>
              </w:rPr>
              <w:t>Costos</w:t>
            </w:r>
            <w:r w:rsidR="00A13BEA" w:rsidRPr="00BA1ECA">
              <w:rPr>
                <w:sz w:val="18"/>
                <w:szCs w:val="18"/>
                <w:lang w:val="es-ES_tradnl"/>
              </w:rPr>
              <w:t xml:space="preserve"> </w:t>
            </w:r>
            <w:r w:rsidRPr="00BA1ECA">
              <w:rPr>
                <w:sz w:val="18"/>
                <w:szCs w:val="18"/>
                <w:lang w:val="es-ES_tradnl"/>
              </w:rPr>
              <w:t>del</w:t>
            </w:r>
            <w:r w:rsidR="00A13BEA" w:rsidRPr="00BA1ECA">
              <w:rPr>
                <w:sz w:val="18"/>
                <w:szCs w:val="18"/>
                <w:lang w:val="es-ES_tradnl"/>
              </w:rPr>
              <w:t xml:space="preserve"> </w:t>
            </w:r>
            <w:r w:rsidRPr="00BA1ECA">
              <w:rPr>
                <w:sz w:val="18"/>
                <w:szCs w:val="18"/>
                <w:lang w:val="es-ES_tradnl"/>
              </w:rPr>
              <w:t>proyecto</w:t>
            </w:r>
          </w:p>
        </w:tc>
        <w:tc>
          <w:tcPr>
            <w:tcW w:w="485" w:type="pct"/>
            <w:shd w:val="clear" w:color="auto" w:fill="auto"/>
            <w:tcMar>
              <w:left w:w="57" w:type="dxa"/>
              <w:right w:w="57" w:type="dxa"/>
            </w:tcMar>
          </w:tcPr>
          <w:p w14:paraId="7FB9C56F" w14:textId="1CDF7D52" w:rsidR="004964C1" w:rsidRPr="00BA1ECA" w:rsidRDefault="00D05E4B" w:rsidP="001C3FCF">
            <w:pPr>
              <w:tabs>
                <w:tab w:val="left" w:pos="8280"/>
              </w:tabs>
              <w:spacing w:after="60"/>
              <w:jc w:val="right"/>
              <w:rPr>
                <w:sz w:val="18"/>
                <w:szCs w:val="18"/>
                <w:lang w:val="es-ES_tradnl"/>
              </w:rPr>
            </w:pPr>
            <w:r w:rsidRPr="00BA1ECA">
              <w:rPr>
                <w:sz w:val="18"/>
                <w:szCs w:val="18"/>
                <w:lang w:val="es-ES_tradnl"/>
              </w:rPr>
              <w:t>3</w:t>
            </w:r>
            <w:r w:rsidR="001C3FCF" w:rsidRPr="00BA1ECA">
              <w:rPr>
                <w:sz w:val="18"/>
                <w:szCs w:val="18"/>
                <w:lang w:val="es-ES_tradnl"/>
              </w:rPr>
              <w:t>3</w:t>
            </w:r>
            <w:r w:rsidR="009374DA" w:rsidRPr="00BA1ECA">
              <w:rPr>
                <w:sz w:val="18"/>
                <w:szCs w:val="18"/>
                <w:lang w:val="es-ES_tradnl"/>
              </w:rPr>
              <w:t>5.</w:t>
            </w:r>
            <w:r w:rsidRPr="00BA1ECA">
              <w:rPr>
                <w:sz w:val="18"/>
                <w:szCs w:val="18"/>
                <w:lang w:val="es-ES_tradnl"/>
              </w:rPr>
              <w:t>000</w:t>
            </w:r>
          </w:p>
        </w:tc>
        <w:tc>
          <w:tcPr>
            <w:tcW w:w="485" w:type="pct"/>
            <w:tcMar>
              <w:left w:w="57" w:type="dxa"/>
              <w:right w:w="57" w:type="dxa"/>
            </w:tcMar>
          </w:tcPr>
          <w:p w14:paraId="14D82059" w14:textId="18389C55" w:rsidR="004964C1" w:rsidRPr="00BA1ECA" w:rsidRDefault="001C3FCF" w:rsidP="004964C1">
            <w:pPr>
              <w:tabs>
                <w:tab w:val="left" w:pos="8280"/>
              </w:tabs>
              <w:spacing w:after="60"/>
              <w:jc w:val="right"/>
              <w:rPr>
                <w:sz w:val="18"/>
                <w:szCs w:val="18"/>
                <w:lang w:val="es-ES_tradnl"/>
              </w:rPr>
            </w:pPr>
            <w:r w:rsidRPr="00BA1ECA">
              <w:rPr>
                <w:sz w:val="18"/>
                <w:szCs w:val="18"/>
                <w:lang w:val="es-ES_tradnl"/>
              </w:rPr>
              <w:t>58</w:t>
            </w:r>
            <w:r w:rsidR="009374DA" w:rsidRPr="00BA1ECA">
              <w:rPr>
                <w:sz w:val="18"/>
                <w:szCs w:val="18"/>
                <w:lang w:val="es-ES_tradnl"/>
              </w:rPr>
              <w:t>5.</w:t>
            </w:r>
            <w:r w:rsidR="00D05E4B" w:rsidRPr="00BA1ECA">
              <w:rPr>
                <w:sz w:val="18"/>
                <w:szCs w:val="18"/>
                <w:lang w:val="es-ES_tradnl"/>
              </w:rPr>
              <w:t>000</w:t>
            </w:r>
          </w:p>
        </w:tc>
        <w:tc>
          <w:tcPr>
            <w:tcW w:w="485" w:type="pct"/>
            <w:tcMar>
              <w:left w:w="57" w:type="dxa"/>
              <w:right w:w="57" w:type="dxa"/>
            </w:tcMar>
          </w:tcPr>
          <w:p w14:paraId="425DB4E6" w14:textId="6F87EA5B" w:rsidR="004964C1" w:rsidRPr="00BA1ECA" w:rsidRDefault="00D05E4B" w:rsidP="001C3FCF">
            <w:pPr>
              <w:tabs>
                <w:tab w:val="left" w:pos="8280"/>
              </w:tabs>
              <w:spacing w:after="60"/>
              <w:jc w:val="right"/>
              <w:rPr>
                <w:sz w:val="18"/>
                <w:szCs w:val="18"/>
                <w:lang w:val="es-ES_tradnl"/>
              </w:rPr>
            </w:pPr>
            <w:r w:rsidRPr="00BA1ECA">
              <w:rPr>
                <w:sz w:val="18"/>
                <w:szCs w:val="18"/>
                <w:lang w:val="es-ES_tradnl"/>
              </w:rPr>
              <w:t>6</w:t>
            </w:r>
            <w:r w:rsidR="001C3FCF" w:rsidRPr="00BA1ECA">
              <w:rPr>
                <w:sz w:val="18"/>
                <w:szCs w:val="18"/>
                <w:lang w:val="es-ES_tradnl"/>
              </w:rPr>
              <w:t>5</w:t>
            </w:r>
            <w:r w:rsidR="009374DA" w:rsidRPr="00BA1ECA">
              <w:rPr>
                <w:sz w:val="18"/>
                <w:szCs w:val="18"/>
                <w:lang w:val="es-ES_tradnl"/>
              </w:rPr>
              <w:t>5.</w:t>
            </w:r>
            <w:r w:rsidRPr="00BA1ECA">
              <w:rPr>
                <w:sz w:val="18"/>
                <w:szCs w:val="18"/>
                <w:lang w:val="es-ES_tradnl"/>
              </w:rPr>
              <w:t>000</w:t>
            </w:r>
          </w:p>
        </w:tc>
        <w:tc>
          <w:tcPr>
            <w:tcW w:w="485" w:type="pct"/>
            <w:tcMar>
              <w:left w:w="57" w:type="dxa"/>
              <w:right w:w="57" w:type="dxa"/>
            </w:tcMar>
          </w:tcPr>
          <w:p w14:paraId="1FF1A8BC" w14:textId="2C42A79E"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0</w:t>
            </w:r>
          </w:p>
        </w:tc>
        <w:tc>
          <w:tcPr>
            <w:tcW w:w="485" w:type="pct"/>
            <w:tcMar>
              <w:left w:w="57" w:type="dxa"/>
              <w:right w:w="57" w:type="dxa"/>
            </w:tcMar>
          </w:tcPr>
          <w:p w14:paraId="14E2EB39" w14:textId="6402149B" w:rsidR="004964C1" w:rsidRPr="00BA1ECA" w:rsidRDefault="001C3FCF" w:rsidP="001C3FCF">
            <w:pPr>
              <w:tabs>
                <w:tab w:val="left" w:pos="8280"/>
              </w:tabs>
              <w:spacing w:after="60"/>
              <w:jc w:val="right"/>
              <w:rPr>
                <w:sz w:val="18"/>
                <w:szCs w:val="18"/>
                <w:lang w:val="es-ES_tradnl"/>
              </w:rPr>
            </w:pPr>
            <w:r w:rsidRPr="00BA1ECA">
              <w:rPr>
                <w:sz w:val="18"/>
                <w:szCs w:val="18"/>
                <w:lang w:val="es-ES_tradnl"/>
              </w:rPr>
              <w:t>26</w:t>
            </w:r>
            <w:r w:rsidR="009374DA" w:rsidRPr="00BA1ECA">
              <w:rPr>
                <w:sz w:val="18"/>
                <w:szCs w:val="18"/>
                <w:lang w:val="es-ES_tradnl"/>
              </w:rPr>
              <w:t>5.</w:t>
            </w:r>
            <w:r w:rsidR="00D05E4B" w:rsidRPr="00BA1ECA">
              <w:rPr>
                <w:sz w:val="18"/>
                <w:szCs w:val="18"/>
                <w:lang w:val="es-ES_tradnl"/>
              </w:rPr>
              <w:t>000</w:t>
            </w:r>
          </w:p>
        </w:tc>
        <w:tc>
          <w:tcPr>
            <w:tcW w:w="486" w:type="pct"/>
            <w:tcMar>
              <w:left w:w="57" w:type="dxa"/>
              <w:right w:w="57" w:type="dxa"/>
            </w:tcMar>
          </w:tcPr>
          <w:p w14:paraId="6066A2A7" w14:textId="736474D9" w:rsidR="004964C1" w:rsidRPr="00BA1ECA" w:rsidRDefault="00755C5D" w:rsidP="004964C1">
            <w:pPr>
              <w:tabs>
                <w:tab w:val="left" w:pos="8280"/>
              </w:tabs>
              <w:spacing w:after="60"/>
              <w:jc w:val="right"/>
              <w:rPr>
                <w:sz w:val="18"/>
                <w:szCs w:val="18"/>
                <w:lang w:val="es-ES_tradnl"/>
              </w:rPr>
            </w:pPr>
            <w:r w:rsidRPr="00BA1ECA">
              <w:rPr>
                <w:sz w:val="18"/>
                <w:szCs w:val="18"/>
                <w:lang w:val="es-ES_tradnl"/>
              </w:rPr>
              <w:t>1.</w:t>
            </w:r>
            <w:r w:rsidR="00D05E4B" w:rsidRPr="00BA1ECA">
              <w:rPr>
                <w:sz w:val="18"/>
                <w:szCs w:val="18"/>
                <w:lang w:val="es-ES_tradnl"/>
              </w:rPr>
              <w:t>84</w:t>
            </w:r>
            <w:r w:rsidRPr="00BA1ECA">
              <w:rPr>
                <w:sz w:val="18"/>
                <w:szCs w:val="18"/>
                <w:lang w:val="es-ES_tradnl"/>
              </w:rPr>
              <w:t>0.</w:t>
            </w:r>
            <w:r w:rsidR="00D05E4B" w:rsidRPr="00BA1ECA">
              <w:rPr>
                <w:sz w:val="18"/>
                <w:szCs w:val="18"/>
                <w:lang w:val="es-ES_tradnl"/>
              </w:rPr>
              <w:t>000</w:t>
            </w:r>
          </w:p>
        </w:tc>
      </w:tr>
      <w:tr w:rsidR="004964C1" w:rsidRPr="00BA1ECA" w14:paraId="5B5C7EFD" w14:textId="77777777" w:rsidTr="00BB55F7">
        <w:trPr>
          <w:trHeight w:val="275"/>
        </w:trPr>
        <w:tc>
          <w:tcPr>
            <w:tcW w:w="634" w:type="pct"/>
            <w:vMerge/>
            <w:shd w:val="clear" w:color="auto" w:fill="auto"/>
          </w:tcPr>
          <w:p w14:paraId="6B96DBCB" w14:textId="77777777" w:rsidR="004964C1" w:rsidRPr="00BA1ECA" w:rsidRDefault="004964C1" w:rsidP="004964C1">
            <w:pPr>
              <w:tabs>
                <w:tab w:val="left" w:pos="8280"/>
              </w:tabs>
              <w:spacing w:after="60"/>
              <w:jc w:val="left"/>
              <w:rPr>
                <w:sz w:val="18"/>
                <w:szCs w:val="18"/>
                <w:lang w:val="es-ES_tradnl"/>
              </w:rPr>
            </w:pPr>
          </w:p>
        </w:tc>
        <w:tc>
          <w:tcPr>
            <w:tcW w:w="538" w:type="pct"/>
            <w:vMerge/>
            <w:shd w:val="clear" w:color="auto" w:fill="auto"/>
            <w:vAlign w:val="center"/>
          </w:tcPr>
          <w:p w14:paraId="157AE453" w14:textId="77777777" w:rsidR="004964C1" w:rsidRPr="00BA1ECA" w:rsidRDefault="004964C1" w:rsidP="004964C1">
            <w:pPr>
              <w:tabs>
                <w:tab w:val="left" w:pos="8280"/>
              </w:tabs>
              <w:spacing w:after="60"/>
              <w:jc w:val="center"/>
              <w:rPr>
                <w:sz w:val="18"/>
                <w:szCs w:val="18"/>
                <w:lang w:val="es-ES_tradnl"/>
              </w:rPr>
            </w:pPr>
          </w:p>
        </w:tc>
        <w:tc>
          <w:tcPr>
            <w:tcW w:w="916" w:type="pct"/>
            <w:shd w:val="clear" w:color="auto" w:fill="auto"/>
          </w:tcPr>
          <w:p w14:paraId="2695F515" w14:textId="63F9D8C0" w:rsidR="004964C1" w:rsidRPr="00BA1ECA" w:rsidRDefault="00755C5D" w:rsidP="004964C1">
            <w:pPr>
              <w:tabs>
                <w:tab w:val="left" w:pos="8280"/>
              </w:tabs>
              <w:spacing w:after="60"/>
              <w:jc w:val="left"/>
              <w:rPr>
                <w:sz w:val="18"/>
                <w:szCs w:val="18"/>
                <w:lang w:val="es-ES_tradnl"/>
              </w:rPr>
            </w:pPr>
            <w:r w:rsidRPr="00BA1ECA">
              <w:rPr>
                <w:sz w:val="18"/>
                <w:szCs w:val="18"/>
                <w:lang w:val="es-ES_tradnl"/>
              </w:rPr>
              <w:t>Gastos</w:t>
            </w:r>
            <w:r w:rsidR="00A13BEA" w:rsidRPr="00BA1ECA">
              <w:rPr>
                <w:sz w:val="18"/>
                <w:szCs w:val="18"/>
                <w:lang w:val="es-ES_tradnl"/>
              </w:rPr>
              <w:t xml:space="preserve"> </w:t>
            </w:r>
            <w:r w:rsidRPr="00BA1ECA">
              <w:rPr>
                <w:sz w:val="18"/>
                <w:szCs w:val="18"/>
                <w:lang w:val="es-ES_tradnl"/>
              </w:rPr>
              <w:t>de</w:t>
            </w:r>
            <w:r w:rsidR="00A13BEA" w:rsidRPr="00BA1ECA">
              <w:rPr>
                <w:sz w:val="18"/>
                <w:szCs w:val="18"/>
                <w:lang w:val="es-ES_tradnl"/>
              </w:rPr>
              <w:t xml:space="preserve"> </w:t>
            </w:r>
            <w:r w:rsidRPr="00BA1ECA">
              <w:rPr>
                <w:sz w:val="18"/>
                <w:szCs w:val="18"/>
                <w:lang w:val="es-ES_tradnl"/>
              </w:rPr>
              <w:t>apoyo</w:t>
            </w:r>
          </w:p>
        </w:tc>
        <w:tc>
          <w:tcPr>
            <w:tcW w:w="485" w:type="pct"/>
            <w:shd w:val="clear" w:color="auto" w:fill="auto"/>
            <w:tcMar>
              <w:left w:w="57" w:type="dxa"/>
              <w:right w:w="57" w:type="dxa"/>
            </w:tcMar>
          </w:tcPr>
          <w:p w14:paraId="61E7F18E" w14:textId="5F0E4CAA" w:rsidR="004964C1" w:rsidRPr="00BA1ECA" w:rsidRDefault="001C3FCF" w:rsidP="004964C1">
            <w:pPr>
              <w:tabs>
                <w:tab w:val="left" w:pos="8280"/>
              </w:tabs>
              <w:spacing w:after="60"/>
              <w:jc w:val="right"/>
              <w:rPr>
                <w:sz w:val="18"/>
                <w:szCs w:val="18"/>
                <w:lang w:val="es-ES_tradnl"/>
              </w:rPr>
            </w:pPr>
            <w:r w:rsidRPr="00BA1ECA">
              <w:rPr>
                <w:sz w:val="18"/>
                <w:szCs w:val="18"/>
                <w:lang w:val="es-ES_tradnl"/>
              </w:rPr>
              <w:t>3</w:t>
            </w:r>
            <w:r w:rsidR="009374DA" w:rsidRPr="00BA1ECA">
              <w:rPr>
                <w:sz w:val="18"/>
                <w:szCs w:val="18"/>
                <w:lang w:val="es-ES_tradnl"/>
              </w:rPr>
              <w:t>8.</w:t>
            </w:r>
            <w:r w:rsidRPr="00BA1ECA">
              <w:rPr>
                <w:sz w:val="18"/>
                <w:szCs w:val="18"/>
                <w:lang w:val="es-ES_tradnl"/>
              </w:rPr>
              <w:t>671</w:t>
            </w:r>
          </w:p>
        </w:tc>
        <w:tc>
          <w:tcPr>
            <w:tcW w:w="485" w:type="pct"/>
            <w:tcMar>
              <w:left w:w="57" w:type="dxa"/>
              <w:right w:w="57" w:type="dxa"/>
            </w:tcMar>
          </w:tcPr>
          <w:p w14:paraId="1A2AC701" w14:textId="1D3E003A" w:rsidR="004964C1" w:rsidRPr="00BA1ECA" w:rsidRDefault="001C3FCF" w:rsidP="004964C1">
            <w:pPr>
              <w:tabs>
                <w:tab w:val="left" w:pos="8280"/>
              </w:tabs>
              <w:spacing w:after="60"/>
              <w:jc w:val="right"/>
              <w:rPr>
                <w:sz w:val="18"/>
                <w:szCs w:val="18"/>
                <w:lang w:val="es-ES_tradnl"/>
              </w:rPr>
            </w:pPr>
            <w:r w:rsidRPr="00BA1ECA">
              <w:rPr>
                <w:sz w:val="18"/>
                <w:szCs w:val="18"/>
                <w:lang w:val="es-ES_tradnl"/>
              </w:rPr>
              <w:t>6</w:t>
            </w:r>
            <w:r w:rsidR="009374DA" w:rsidRPr="00BA1ECA">
              <w:rPr>
                <w:sz w:val="18"/>
                <w:szCs w:val="18"/>
                <w:lang w:val="es-ES_tradnl"/>
              </w:rPr>
              <w:t>7.</w:t>
            </w:r>
            <w:r w:rsidRPr="00BA1ECA">
              <w:rPr>
                <w:sz w:val="18"/>
                <w:szCs w:val="18"/>
                <w:lang w:val="es-ES_tradnl"/>
              </w:rPr>
              <w:t>529</w:t>
            </w:r>
          </w:p>
        </w:tc>
        <w:tc>
          <w:tcPr>
            <w:tcW w:w="485" w:type="pct"/>
            <w:tcMar>
              <w:left w:w="57" w:type="dxa"/>
              <w:right w:w="57" w:type="dxa"/>
            </w:tcMar>
          </w:tcPr>
          <w:p w14:paraId="762132D9" w14:textId="4D3513D9" w:rsidR="00D05E4B" w:rsidRPr="00BA1ECA" w:rsidRDefault="001C3FCF" w:rsidP="00D05E4B">
            <w:pPr>
              <w:tabs>
                <w:tab w:val="left" w:pos="8280"/>
              </w:tabs>
              <w:spacing w:after="60"/>
              <w:jc w:val="right"/>
              <w:rPr>
                <w:sz w:val="18"/>
                <w:szCs w:val="18"/>
                <w:lang w:val="es-ES_tradnl"/>
              </w:rPr>
            </w:pPr>
            <w:r w:rsidRPr="00BA1ECA">
              <w:rPr>
                <w:sz w:val="18"/>
                <w:szCs w:val="18"/>
                <w:lang w:val="es-ES_tradnl"/>
              </w:rPr>
              <w:t>7</w:t>
            </w:r>
            <w:r w:rsidR="009374DA" w:rsidRPr="00BA1ECA">
              <w:rPr>
                <w:sz w:val="18"/>
                <w:szCs w:val="18"/>
                <w:lang w:val="es-ES_tradnl"/>
              </w:rPr>
              <w:t>5.</w:t>
            </w:r>
            <w:r w:rsidRPr="00BA1ECA">
              <w:rPr>
                <w:sz w:val="18"/>
                <w:szCs w:val="18"/>
                <w:lang w:val="es-ES_tradnl"/>
              </w:rPr>
              <w:t>610</w:t>
            </w:r>
          </w:p>
        </w:tc>
        <w:tc>
          <w:tcPr>
            <w:tcW w:w="485" w:type="pct"/>
            <w:tcMar>
              <w:left w:w="57" w:type="dxa"/>
              <w:right w:w="57" w:type="dxa"/>
            </w:tcMar>
          </w:tcPr>
          <w:p w14:paraId="72A8A597" w14:textId="309B7A8F"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0</w:t>
            </w:r>
          </w:p>
        </w:tc>
        <w:tc>
          <w:tcPr>
            <w:tcW w:w="485" w:type="pct"/>
            <w:tcMar>
              <w:left w:w="57" w:type="dxa"/>
              <w:right w:w="57" w:type="dxa"/>
            </w:tcMar>
          </w:tcPr>
          <w:p w14:paraId="4AE58E50" w14:textId="4720C39B" w:rsidR="004964C1" w:rsidRPr="00BA1ECA" w:rsidRDefault="001C3FCF" w:rsidP="004964C1">
            <w:pPr>
              <w:tabs>
                <w:tab w:val="left" w:pos="8280"/>
              </w:tabs>
              <w:spacing w:after="60"/>
              <w:jc w:val="right"/>
              <w:rPr>
                <w:sz w:val="18"/>
                <w:szCs w:val="18"/>
                <w:lang w:val="es-ES_tradnl"/>
              </w:rPr>
            </w:pPr>
            <w:r w:rsidRPr="00BA1ECA">
              <w:rPr>
                <w:sz w:val="18"/>
                <w:szCs w:val="18"/>
                <w:lang w:val="es-ES_tradnl"/>
              </w:rPr>
              <w:t>3</w:t>
            </w:r>
            <w:r w:rsidR="00755C5D" w:rsidRPr="00BA1ECA">
              <w:rPr>
                <w:sz w:val="18"/>
                <w:szCs w:val="18"/>
                <w:lang w:val="es-ES_tradnl"/>
              </w:rPr>
              <w:t>0.</w:t>
            </w:r>
            <w:r w:rsidRPr="00BA1ECA">
              <w:rPr>
                <w:sz w:val="18"/>
                <w:szCs w:val="18"/>
                <w:lang w:val="es-ES_tradnl"/>
              </w:rPr>
              <w:t>590</w:t>
            </w:r>
          </w:p>
        </w:tc>
        <w:tc>
          <w:tcPr>
            <w:tcW w:w="486" w:type="pct"/>
            <w:tcMar>
              <w:left w:w="57" w:type="dxa"/>
              <w:right w:w="57" w:type="dxa"/>
            </w:tcMar>
          </w:tcPr>
          <w:p w14:paraId="639161A9" w14:textId="7F8F18EE"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21</w:t>
            </w:r>
            <w:r w:rsidR="00755C5D" w:rsidRPr="00BA1ECA">
              <w:rPr>
                <w:sz w:val="18"/>
                <w:szCs w:val="18"/>
                <w:lang w:val="es-ES_tradnl"/>
              </w:rPr>
              <w:t>2.</w:t>
            </w:r>
            <w:r w:rsidRPr="00BA1ECA">
              <w:rPr>
                <w:sz w:val="18"/>
                <w:szCs w:val="18"/>
                <w:lang w:val="es-ES_tradnl"/>
              </w:rPr>
              <w:t>400</w:t>
            </w:r>
          </w:p>
        </w:tc>
      </w:tr>
      <w:tr w:rsidR="004964C1" w:rsidRPr="00BA1ECA" w14:paraId="70912038" w14:textId="77777777" w:rsidTr="00BB55F7">
        <w:trPr>
          <w:trHeight w:val="69"/>
        </w:trPr>
        <w:tc>
          <w:tcPr>
            <w:tcW w:w="634" w:type="pct"/>
            <w:vMerge/>
            <w:shd w:val="clear" w:color="auto" w:fill="auto"/>
          </w:tcPr>
          <w:p w14:paraId="06808DA6" w14:textId="77777777" w:rsidR="004964C1" w:rsidRPr="00BA1ECA" w:rsidRDefault="004964C1" w:rsidP="004964C1">
            <w:pPr>
              <w:tabs>
                <w:tab w:val="left" w:pos="8280"/>
              </w:tabs>
              <w:spacing w:after="60"/>
              <w:jc w:val="left"/>
              <w:rPr>
                <w:sz w:val="18"/>
                <w:szCs w:val="18"/>
                <w:lang w:val="es-ES_tradnl"/>
              </w:rPr>
            </w:pPr>
          </w:p>
        </w:tc>
        <w:tc>
          <w:tcPr>
            <w:tcW w:w="538" w:type="pct"/>
            <w:vMerge w:val="restart"/>
            <w:shd w:val="clear" w:color="auto" w:fill="auto"/>
            <w:vAlign w:val="center"/>
          </w:tcPr>
          <w:p w14:paraId="0CC6D5B3" w14:textId="43B063AC" w:rsidR="004964C1" w:rsidRPr="00BA1ECA" w:rsidRDefault="001A4F35" w:rsidP="004964C1">
            <w:pPr>
              <w:tabs>
                <w:tab w:val="left" w:pos="8280"/>
              </w:tabs>
              <w:spacing w:after="60"/>
              <w:jc w:val="center"/>
              <w:rPr>
                <w:sz w:val="18"/>
                <w:szCs w:val="18"/>
                <w:lang w:val="es-ES_tradnl"/>
              </w:rPr>
            </w:pPr>
            <w:r w:rsidRPr="00BA1ECA">
              <w:rPr>
                <w:color w:val="000000" w:themeColor="text1"/>
                <w:sz w:val="18"/>
                <w:szCs w:val="18"/>
                <w:lang w:val="es-ES_tradnl"/>
              </w:rPr>
              <w:t>ONUDI</w:t>
            </w:r>
          </w:p>
        </w:tc>
        <w:tc>
          <w:tcPr>
            <w:tcW w:w="916" w:type="pct"/>
            <w:shd w:val="clear" w:color="auto" w:fill="auto"/>
          </w:tcPr>
          <w:p w14:paraId="4300F6F0" w14:textId="0B5BE5E6" w:rsidR="004964C1" w:rsidRPr="00BA1ECA" w:rsidRDefault="00755C5D" w:rsidP="004964C1">
            <w:pPr>
              <w:tabs>
                <w:tab w:val="left" w:pos="8280"/>
              </w:tabs>
              <w:spacing w:after="60"/>
              <w:jc w:val="left"/>
              <w:rPr>
                <w:sz w:val="18"/>
                <w:szCs w:val="18"/>
                <w:lang w:val="es-ES_tradnl"/>
              </w:rPr>
            </w:pPr>
            <w:r w:rsidRPr="00BA1ECA">
              <w:rPr>
                <w:sz w:val="18"/>
                <w:szCs w:val="18"/>
                <w:lang w:val="es-ES_tradnl"/>
              </w:rPr>
              <w:t>Costos</w:t>
            </w:r>
            <w:r w:rsidR="00A13BEA" w:rsidRPr="00BA1ECA">
              <w:rPr>
                <w:sz w:val="18"/>
                <w:szCs w:val="18"/>
                <w:lang w:val="es-ES_tradnl"/>
              </w:rPr>
              <w:t xml:space="preserve"> </w:t>
            </w:r>
            <w:r w:rsidRPr="00BA1ECA">
              <w:rPr>
                <w:sz w:val="18"/>
                <w:szCs w:val="18"/>
                <w:lang w:val="es-ES_tradnl"/>
              </w:rPr>
              <w:t>del</w:t>
            </w:r>
            <w:r w:rsidR="00A13BEA" w:rsidRPr="00BA1ECA">
              <w:rPr>
                <w:sz w:val="18"/>
                <w:szCs w:val="18"/>
                <w:lang w:val="es-ES_tradnl"/>
              </w:rPr>
              <w:t xml:space="preserve"> </w:t>
            </w:r>
            <w:r w:rsidRPr="00BA1ECA">
              <w:rPr>
                <w:sz w:val="18"/>
                <w:szCs w:val="18"/>
                <w:lang w:val="es-ES_tradnl"/>
              </w:rPr>
              <w:t>proyecto</w:t>
            </w:r>
          </w:p>
        </w:tc>
        <w:tc>
          <w:tcPr>
            <w:tcW w:w="485" w:type="pct"/>
            <w:shd w:val="clear" w:color="auto" w:fill="auto"/>
            <w:tcMar>
              <w:left w:w="57" w:type="dxa"/>
              <w:right w:w="57" w:type="dxa"/>
            </w:tcMar>
          </w:tcPr>
          <w:p w14:paraId="170E36E6" w14:textId="2F46204F"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2</w:t>
            </w:r>
            <w:r w:rsidR="009374DA" w:rsidRPr="00BA1ECA">
              <w:rPr>
                <w:sz w:val="18"/>
                <w:szCs w:val="18"/>
                <w:lang w:val="es-ES_tradnl"/>
              </w:rPr>
              <w:t>5.</w:t>
            </w:r>
            <w:r w:rsidRPr="00BA1ECA">
              <w:rPr>
                <w:sz w:val="18"/>
                <w:szCs w:val="18"/>
                <w:lang w:val="es-ES_tradnl"/>
              </w:rPr>
              <w:t>000</w:t>
            </w:r>
          </w:p>
        </w:tc>
        <w:tc>
          <w:tcPr>
            <w:tcW w:w="485" w:type="pct"/>
            <w:tcMar>
              <w:left w:w="57" w:type="dxa"/>
              <w:right w:w="57" w:type="dxa"/>
            </w:tcMar>
          </w:tcPr>
          <w:p w14:paraId="175CC3A3" w14:textId="5AA48225"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32</w:t>
            </w:r>
            <w:r w:rsidR="00755C5D" w:rsidRPr="00BA1ECA">
              <w:rPr>
                <w:sz w:val="18"/>
                <w:szCs w:val="18"/>
                <w:lang w:val="es-ES_tradnl"/>
              </w:rPr>
              <w:t>0.</w:t>
            </w:r>
            <w:r w:rsidRPr="00BA1ECA">
              <w:rPr>
                <w:sz w:val="18"/>
                <w:szCs w:val="18"/>
                <w:lang w:val="es-ES_tradnl"/>
              </w:rPr>
              <w:t>000</w:t>
            </w:r>
          </w:p>
        </w:tc>
        <w:tc>
          <w:tcPr>
            <w:tcW w:w="485" w:type="pct"/>
            <w:tcMar>
              <w:left w:w="57" w:type="dxa"/>
              <w:right w:w="57" w:type="dxa"/>
            </w:tcMar>
          </w:tcPr>
          <w:p w14:paraId="5CCA12E3" w14:textId="5C67E3AA" w:rsidR="004964C1" w:rsidRPr="00BA1ECA" w:rsidRDefault="00FB0276" w:rsidP="004964C1">
            <w:pPr>
              <w:tabs>
                <w:tab w:val="left" w:pos="8280"/>
              </w:tabs>
              <w:spacing w:after="60"/>
              <w:jc w:val="right"/>
              <w:rPr>
                <w:sz w:val="18"/>
                <w:szCs w:val="18"/>
                <w:lang w:val="es-ES_tradnl"/>
              </w:rPr>
            </w:pPr>
            <w:r w:rsidRPr="00BA1ECA">
              <w:rPr>
                <w:sz w:val="18"/>
                <w:szCs w:val="18"/>
                <w:lang w:val="es-ES_tradnl"/>
              </w:rPr>
              <w:t>35</w:t>
            </w:r>
            <w:r w:rsidR="009374DA" w:rsidRPr="00BA1ECA">
              <w:rPr>
                <w:sz w:val="18"/>
                <w:szCs w:val="18"/>
                <w:lang w:val="es-ES_tradnl"/>
              </w:rPr>
              <w:t>5.</w:t>
            </w:r>
            <w:r w:rsidR="00D05E4B" w:rsidRPr="00BA1ECA">
              <w:rPr>
                <w:sz w:val="18"/>
                <w:szCs w:val="18"/>
                <w:lang w:val="es-ES_tradnl"/>
              </w:rPr>
              <w:t>000</w:t>
            </w:r>
          </w:p>
        </w:tc>
        <w:tc>
          <w:tcPr>
            <w:tcW w:w="485" w:type="pct"/>
            <w:tcMar>
              <w:left w:w="57" w:type="dxa"/>
              <w:right w:w="57" w:type="dxa"/>
            </w:tcMar>
          </w:tcPr>
          <w:p w14:paraId="4F438407" w14:textId="7B8A5442"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0</w:t>
            </w:r>
          </w:p>
        </w:tc>
        <w:tc>
          <w:tcPr>
            <w:tcW w:w="485" w:type="pct"/>
            <w:tcMar>
              <w:left w:w="57" w:type="dxa"/>
              <w:right w:w="57" w:type="dxa"/>
            </w:tcMar>
          </w:tcPr>
          <w:p w14:paraId="6C2CDA28" w14:textId="49ABD609" w:rsidR="004964C1" w:rsidRPr="00BA1ECA" w:rsidRDefault="00FB0276" w:rsidP="004964C1">
            <w:pPr>
              <w:tabs>
                <w:tab w:val="left" w:pos="8280"/>
              </w:tabs>
              <w:spacing w:after="60"/>
              <w:jc w:val="right"/>
              <w:rPr>
                <w:sz w:val="18"/>
                <w:szCs w:val="18"/>
                <w:lang w:val="es-ES_tradnl"/>
              </w:rPr>
            </w:pPr>
            <w:r w:rsidRPr="00BA1ECA">
              <w:rPr>
                <w:sz w:val="18"/>
                <w:szCs w:val="18"/>
                <w:lang w:val="es-ES_tradnl"/>
              </w:rPr>
              <w:t>21</w:t>
            </w:r>
            <w:r w:rsidR="00755C5D" w:rsidRPr="00BA1ECA">
              <w:rPr>
                <w:sz w:val="18"/>
                <w:szCs w:val="18"/>
                <w:lang w:val="es-ES_tradnl"/>
              </w:rPr>
              <w:t>0.</w:t>
            </w:r>
            <w:r w:rsidR="00D05E4B" w:rsidRPr="00BA1ECA">
              <w:rPr>
                <w:sz w:val="18"/>
                <w:szCs w:val="18"/>
                <w:lang w:val="es-ES_tradnl"/>
              </w:rPr>
              <w:t>000</w:t>
            </w:r>
          </w:p>
        </w:tc>
        <w:tc>
          <w:tcPr>
            <w:tcW w:w="486" w:type="pct"/>
            <w:tcMar>
              <w:left w:w="57" w:type="dxa"/>
              <w:right w:w="57" w:type="dxa"/>
            </w:tcMar>
          </w:tcPr>
          <w:p w14:paraId="0FBA13AA" w14:textId="67E8A589"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91</w:t>
            </w:r>
            <w:r w:rsidR="00755C5D" w:rsidRPr="00BA1ECA">
              <w:rPr>
                <w:sz w:val="18"/>
                <w:szCs w:val="18"/>
                <w:lang w:val="es-ES_tradnl"/>
              </w:rPr>
              <w:t>0.</w:t>
            </w:r>
            <w:r w:rsidRPr="00BA1ECA">
              <w:rPr>
                <w:sz w:val="18"/>
                <w:szCs w:val="18"/>
                <w:lang w:val="es-ES_tradnl"/>
              </w:rPr>
              <w:t>000</w:t>
            </w:r>
          </w:p>
        </w:tc>
      </w:tr>
      <w:tr w:rsidR="004964C1" w:rsidRPr="00BA1ECA" w14:paraId="1F36FAAD" w14:textId="77777777" w:rsidTr="00BB55F7">
        <w:trPr>
          <w:trHeight w:val="80"/>
        </w:trPr>
        <w:tc>
          <w:tcPr>
            <w:tcW w:w="634" w:type="pct"/>
            <w:vMerge/>
            <w:shd w:val="clear" w:color="auto" w:fill="auto"/>
          </w:tcPr>
          <w:p w14:paraId="0A8DFEC8" w14:textId="77777777" w:rsidR="004964C1" w:rsidRPr="00BA1ECA" w:rsidRDefault="004964C1" w:rsidP="004964C1">
            <w:pPr>
              <w:tabs>
                <w:tab w:val="left" w:pos="8280"/>
              </w:tabs>
              <w:spacing w:after="60"/>
              <w:jc w:val="center"/>
              <w:rPr>
                <w:sz w:val="18"/>
                <w:szCs w:val="18"/>
                <w:lang w:val="es-ES_tradnl"/>
              </w:rPr>
            </w:pPr>
          </w:p>
        </w:tc>
        <w:tc>
          <w:tcPr>
            <w:tcW w:w="538" w:type="pct"/>
            <w:vMerge/>
            <w:shd w:val="clear" w:color="auto" w:fill="auto"/>
          </w:tcPr>
          <w:p w14:paraId="0473EAA5" w14:textId="77777777" w:rsidR="004964C1" w:rsidRPr="00BA1ECA" w:rsidRDefault="004964C1" w:rsidP="004964C1">
            <w:pPr>
              <w:tabs>
                <w:tab w:val="left" w:pos="8280"/>
              </w:tabs>
              <w:spacing w:after="60"/>
              <w:jc w:val="center"/>
              <w:rPr>
                <w:sz w:val="18"/>
                <w:szCs w:val="18"/>
                <w:lang w:val="es-ES_tradnl"/>
              </w:rPr>
            </w:pPr>
          </w:p>
        </w:tc>
        <w:tc>
          <w:tcPr>
            <w:tcW w:w="916" w:type="pct"/>
            <w:shd w:val="clear" w:color="auto" w:fill="auto"/>
          </w:tcPr>
          <w:p w14:paraId="6DFD60F4" w14:textId="4B9C7E01" w:rsidR="004964C1" w:rsidRPr="00BA1ECA" w:rsidRDefault="00755C5D" w:rsidP="004964C1">
            <w:pPr>
              <w:tabs>
                <w:tab w:val="left" w:pos="8280"/>
              </w:tabs>
              <w:spacing w:after="60"/>
              <w:jc w:val="left"/>
              <w:rPr>
                <w:sz w:val="18"/>
                <w:szCs w:val="18"/>
                <w:lang w:val="es-ES_tradnl"/>
              </w:rPr>
            </w:pPr>
            <w:r w:rsidRPr="00BA1ECA">
              <w:rPr>
                <w:sz w:val="18"/>
                <w:szCs w:val="18"/>
                <w:lang w:val="es-ES_tradnl"/>
              </w:rPr>
              <w:t>Gastos</w:t>
            </w:r>
            <w:r w:rsidR="00A13BEA" w:rsidRPr="00BA1ECA">
              <w:rPr>
                <w:sz w:val="18"/>
                <w:szCs w:val="18"/>
                <w:lang w:val="es-ES_tradnl"/>
              </w:rPr>
              <w:t xml:space="preserve"> </w:t>
            </w:r>
            <w:r w:rsidRPr="00BA1ECA">
              <w:rPr>
                <w:sz w:val="18"/>
                <w:szCs w:val="18"/>
                <w:lang w:val="es-ES_tradnl"/>
              </w:rPr>
              <w:t>de</w:t>
            </w:r>
            <w:r w:rsidR="00A13BEA" w:rsidRPr="00BA1ECA">
              <w:rPr>
                <w:sz w:val="18"/>
                <w:szCs w:val="18"/>
                <w:lang w:val="es-ES_tradnl"/>
              </w:rPr>
              <w:t xml:space="preserve"> </w:t>
            </w:r>
            <w:r w:rsidRPr="00BA1ECA">
              <w:rPr>
                <w:sz w:val="18"/>
                <w:szCs w:val="18"/>
                <w:lang w:val="es-ES_tradnl"/>
              </w:rPr>
              <w:t>apoyo</w:t>
            </w:r>
          </w:p>
        </w:tc>
        <w:tc>
          <w:tcPr>
            <w:tcW w:w="485" w:type="pct"/>
            <w:shd w:val="clear" w:color="auto" w:fill="auto"/>
            <w:tcMar>
              <w:left w:w="57" w:type="dxa"/>
              <w:right w:w="57" w:type="dxa"/>
            </w:tcMar>
          </w:tcPr>
          <w:p w14:paraId="2C7D6681" w14:textId="09BC2855" w:rsidR="004964C1" w:rsidRPr="00BA1ECA" w:rsidRDefault="00755C5D" w:rsidP="004964C1">
            <w:pPr>
              <w:tabs>
                <w:tab w:val="left" w:pos="8280"/>
              </w:tabs>
              <w:spacing w:after="60"/>
              <w:jc w:val="right"/>
              <w:rPr>
                <w:sz w:val="18"/>
                <w:szCs w:val="18"/>
                <w:lang w:val="es-ES_tradnl"/>
              </w:rPr>
            </w:pPr>
            <w:r w:rsidRPr="00BA1ECA">
              <w:rPr>
                <w:sz w:val="18"/>
                <w:szCs w:val="18"/>
                <w:lang w:val="es-ES_tradnl"/>
              </w:rPr>
              <w:t>1.</w:t>
            </w:r>
            <w:r w:rsidR="00D05E4B" w:rsidRPr="00BA1ECA">
              <w:rPr>
                <w:sz w:val="18"/>
                <w:szCs w:val="18"/>
                <w:lang w:val="es-ES_tradnl"/>
              </w:rPr>
              <w:t>750</w:t>
            </w:r>
          </w:p>
        </w:tc>
        <w:tc>
          <w:tcPr>
            <w:tcW w:w="485" w:type="pct"/>
            <w:tcMar>
              <w:left w:w="57" w:type="dxa"/>
              <w:right w:w="57" w:type="dxa"/>
            </w:tcMar>
          </w:tcPr>
          <w:p w14:paraId="61D23210" w14:textId="65FFE982"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2</w:t>
            </w:r>
            <w:r w:rsidR="00755C5D" w:rsidRPr="00BA1ECA">
              <w:rPr>
                <w:sz w:val="18"/>
                <w:szCs w:val="18"/>
                <w:lang w:val="es-ES_tradnl"/>
              </w:rPr>
              <w:t>2.</w:t>
            </w:r>
            <w:r w:rsidRPr="00BA1ECA">
              <w:rPr>
                <w:sz w:val="18"/>
                <w:szCs w:val="18"/>
                <w:lang w:val="es-ES_tradnl"/>
              </w:rPr>
              <w:t>400</w:t>
            </w:r>
          </w:p>
        </w:tc>
        <w:tc>
          <w:tcPr>
            <w:tcW w:w="485" w:type="pct"/>
            <w:tcMar>
              <w:left w:w="57" w:type="dxa"/>
              <w:right w:w="57" w:type="dxa"/>
            </w:tcMar>
          </w:tcPr>
          <w:p w14:paraId="57D7696D" w14:textId="53DDA5A3" w:rsidR="004964C1" w:rsidRPr="00BA1ECA" w:rsidRDefault="00D05E4B" w:rsidP="00FB0276">
            <w:pPr>
              <w:tabs>
                <w:tab w:val="left" w:pos="8280"/>
              </w:tabs>
              <w:spacing w:after="60"/>
              <w:jc w:val="right"/>
              <w:rPr>
                <w:sz w:val="18"/>
                <w:szCs w:val="18"/>
                <w:lang w:val="es-ES_tradnl"/>
              </w:rPr>
            </w:pPr>
            <w:r w:rsidRPr="00BA1ECA">
              <w:rPr>
                <w:sz w:val="18"/>
                <w:szCs w:val="18"/>
                <w:lang w:val="es-ES_tradnl"/>
              </w:rPr>
              <w:t>2</w:t>
            </w:r>
            <w:r w:rsidR="00755C5D" w:rsidRPr="00BA1ECA">
              <w:rPr>
                <w:sz w:val="18"/>
                <w:szCs w:val="18"/>
                <w:lang w:val="es-ES_tradnl"/>
              </w:rPr>
              <w:t>4.</w:t>
            </w:r>
            <w:r w:rsidR="00FB0276" w:rsidRPr="00BA1ECA">
              <w:rPr>
                <w:sz w:val="18"/>
                <w:szCs w:val="18"/>
                <w:lang w:val="es-ES_tradnl"/>
              </w:rPr>
              <w:t>8</w:t>
            </w:r>
            <w:r w:rsidRPr="00BA1ECA">
              <w:rPr>
                <w:sz w:val="18"/>
                <w:szCs w:val="18"/>
                <w:lang w:val="es-ES_tradnl"/>
              </w:rPr>
              <w:t>50</w:t>
            </w:r>
          </w:p>
        </w:tc>
        <w:tc>
          <w:tcPr>
            <w:tcW w:w="485" w:type="pct"/>
            <w:tcMar>
              <w:left w:w="57" w:type="dxa"/>
              <w:right w:w="57" w:type="dxa"/>
            </w:tcMar>
          </w:tcPr>
          <w:p w14:paraId="7DF45DB9" w14:textId="2AB7772F"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0</w:t>
            </w:r>
          </w:p>
        </w:tc>
        <w:tc>
          <w:tcPr>
            <w:tcW w:w="485" w:type="pct"/>
            <w:tcMar>
              <w:left w:w="57" w:type="dxa"/>
              <w:right w:w="57" w:type="dxa"/>
            </w:tcMar>
          </w:tcPr>
          <w:p w14:paraId="22BC8E53" w14:textId="1A25DE4A" w:rsidR="004964C1" w:rsidRPr="00BA1ECA" w:rsidRDefault="00D05E4B" w:rsidP="00FB0276">
            <w:pPr>
              <w:tabs>
                <w:tab w:val="left" w:pos="8280"/>
              </w:tabs>
              <w:spacing w:after="60"/>
              <w:jc w:val="right"/>
              <w:rPr>
                <w:sz w:val="18"/>
                <w:szCs w:val="18"/>
                <w:lang w:val="es-ES_tradnl"/>
              </w:rPr>
            </w:pPr>
            <w:r w:rsidRPr="00BA1ECA">
              <w:rPr>
                <w:sz w:val="18"/>
                <w:szCs w:val="18"/>
                <w:lang w:val="es-ES_tradnl"/>
              </w:rPr>
              <w:t>1</w:t>
            </w:r>
            <w:r w:rsidR="00755C5D" w:rsidRPr="00BA1ECA">
              <w:rPr>
                <w:sz w:val="18"/>
                <w:szCs w:val="18"/>
                <w:lang w:val="es-ES_tradnl"/>
              </w:rPr>
              <w:t>4.</w:t>
            </w:r>
            <w:r w:rsidR="00FB0276" w:rsidRPr="00BA1ECA">
              <w:rPr>
                <w:sz w:val="18"/>
                <w:szCs w:val="18"/>
                <w:lang w:val="es-ES_tradnl"/>
              </w:rPr>
              <w:t>7</w:t>
            </w:r>
            <w:r w:rsidRPr="00BA1ECA">
              <w:rPr>
                <w:sz w:val="18"/>
                <w:szCs w:val="18"/>
                <w:lang w:val="es-ES_tradnl"/>
              </w:rPr>
              <w:t>00</w:t>
            </w:r>
          </w:p>
        </w:tc>
        <w:tc>
          <w:tcPr>
            <w:tcW w:w="486" w:type="pct"/>
            <w:tcMar>
              <w:left w:w="57" w:type="dxa"/>
              <w:right w:w="57" w:type="dxa"/>
            </w:tcMar>
          </w:tcPr>
          <w:p w14:paraId="36ACD368" w14:textId="2AC62523"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6</w:t>
            </w:r>
            <w:r w:rsidR="00755C5D" w:rsidRPr="00BA1ECA">
              <w:rPr>
                <w:sz w:val="18"/>
                <w:szCs w:val="18"/>
                <w:lang w:val="es-ES_tradnl"/>
              </w:rPr>
              <w:t>3.</w:t>
            </w:r>
            <w:r w:rsidRPr="00BA1ECA">
              <w:rPr>
                <w:sz w:val="18"/>
                <w:szCs w:val="18"/>
                <w:lang w:val="es-ES_tradnl"/>
              </w:rPr>
              <w:t>700</w:t>
            </w:r>
          </w:p>
        </w:tc>
      </w:tr>
      <w:tr w:rsidR="004964C1" w:rsidRPr="00BA1ECA" w14:paraId="29B253D5" w14:textId="77777777" w:rsidTr="00BB55F7">
        <w:trPr>
          <w:trHeight w:val="158"/>
        </w:trPr>
        <w:tc>
          <w:tcPr>
            <w:tcW w:w="2088" w:type="pct"/>
            <w:gridSpan w:val="3"/>
            <w:shd w:val="clear" w:color="auto" w:fill="auto"/>
          </w:tcPr>
          <w:p w14:paraId="1B3B73AD" w14:textId="33FB32C5" w:rsidR="004964C1" w:rsidRPr="00BA1ECA" w:rsidRDefault="00464AE3" w:rsidP="004964C1">
            <w:pPr>
              <w:tabs>
                <w:tab w:val="left" w:pos="8280"/>
              </w:tabs>
              <w:spacing w:after="60"/>
              <w:jc w:val="left"/>
              <w:rPr>
                <w:sz w:val="18"/>
                <w:szCs w:val="18"/>
                <w:lang w:val="es-ES_tradnl"/>
              </w:rPr>
            </w:pPr>
            <w:r>
              <w:rPr>
                <w:sz w:val="18"/>
                <w:szCs w:val="18"/>
                <w:lang w:val="es-ES_tradnl"/>
              </w:rPr>
              <w:t>Costo</w:t>
            </w:r>
            <w:r w:rsidR="006F25F1">
              <w:rPr>
                <w:sz w:val="18"/>
                <w:szCs w:val="18"/>
                <w:lang w:val="es-ES_tradnl"/>
              </w:rPr>
              <w:t>s</w:t>
            </w:r>
            <w:r>
              <w:rPr>
                <w:sz w:val="18"/>
                <w:szCs w:val="18"/>
                <w:lang w:val="es-ES_tradnl"/>
              </w:rPr>
              <w:t xml:space="preserve"> total</w:t>
            </w:r>
            <w:r w:rsidR="006F25F1">
              <w:rPr>
                <w:sz w:val="18"/>
                <w:szCs w:val="18"/>
                <w:lang w:val="es-ES_tradnl"/>
              </w:rPr>
              <w:t>e</w:t>
            </w:r>
            <w:r w:rsidR="00E26F0F" w:rsidRPr="00BA1ECA">
              <w:rPr>
                <w:sz w:val="18"/>
                <w:szCs w:val="18"/>
                <w:lang w:val="es-ES_tradnl"/>
              </w:rPr>
              <w:t>s</w:t>
            </w:r>
            <w:r w:rsidR="00A13BEA" w:rsidRPr="00BA1ECA">
              <w:rPr>
                <w:sz w:val="18"/>
                <w:szCs w:val="18"/>
                <w:lang w:val="es-ES_tradnl"/>
              </w:rPr>
              <w:t xml:space="preserve"> </w:t>
            </w:r>
            <w:r w:rsidR="00755C5D" w:rsidRPr="00BA1ECA">
              <w:rPr>
                <w:sz w:val="18"/>
                <w:szCs w:val="18"/>
                <w:lang w:val="es-ES_tradnl"/>
              </w:rPr>
              <w:t>del</w:t>
            </w:r>
            <w:r w:rsidR="00A13BEA" w:rsidRPr="00BA1ECA">
              <w:rPr>
                <w:sz w:val="18"/>
                <w:szCs w:val="18"/>
                <w:lang w:val="es-ES_tradnl"/>
              </w:rPr>
              <w:t xml:space="preserve"> </w:t>
            </w:r>
            <w:r w:rsidR="00755C5D" w:rsidRPr="00BA1ECA">
              <w:rPr>
                <w:sz w:val="18"/>
                <w:szCs w:val="18"/>
                <w:lang w:val="es-ES_tradnl"/>
              </w:rPr>
              <w:t>proyecto</w:t>
            </w:r>
            <w:r w:rsidR="00A13BEA" w:rsidRPr="00BA1ECA">
              <w:rPr>
                <w:sz w:val="18"/>
                <w:szCs w:val="18"/>
                <w:lang w:val="es-ES_tradnl"/>
              </w:rPr>
              <w:t xml:space="preserve"> </w:t>
            </w:r>
            <w:r w:rsidR="009374DA" w:rsidRPr="00BA1ECA">
              <w:rPr>
                <w:sz w:val="18"/>
                <w:szCs w:val="18"/>
                <w:lang w:val="es-ES_tradnl"/>
              </w:rPr>
              <w:t>solicitados</w:t>
            </w:r>
            <w:r w:rsidR="00A13BEA" w:rsidRPr="00BA1ECA">
              <w:rPr>
                <w:sz w:val="18"/>
                <w:szCs w:val="18"/>
                <w:lang w:val="es-ES_tradnl"/>
              </w:rPr>
              <w:t xml:space="preserve"> </w:t>
            </w:r>
            <w:r w:rsidR="009374DA" w:rsidRPr="00BA1ECA">
              <w:rPr>
                <w:sz w:val="18"/>
                <w:szCs w:val="18"/>
                <w:lang w:val="es-ES_tradnl"/>
              </w:rPr>
              <w:t>en</w:t>
            </w:r>
            <w:r w:rsidR="00A13BEA" w:rsidRPr="00BA1ECA">
              <w:rPr>
                <w:sz w:val="18"/>
                <w:szCs w:val="18"/>
                <w:lang w:val="es-ES_tradnl"/>
              </w:rPr>
              <w:t xml:space="preserve"> </w:t>
            </w:r>
            <w:r w:rsidR="009374DA" w:rsidRPr="00BA1ECA">
              <w:rPr>
                <w:sz w:val="18"/>
                <w:szCs w:val="18"/>
                <w:lang w:val="es-ES_tradnl"/>
              </w:rPr>
              <w:t>principio</w:t>
            </w:r>
            <w:r w:rsidR="00A13BEA" w:rsidRPr="00BA1ECA">
              <w:rPr>
                <w:sz w:val="18"/>
                <w:szCs w:val="18"/>
                <w:lang w:val="es-ES_tradnl"/>
              </w:rPr>
              <w:t xml:space="preserve"> </w:t>
            </w:r>
            <w:r w:rsidR="00E26F0F" w:rsidRPr="00BA1ECA">
              <w:rPr>
                <w:sz w:val="18"/>
                <w:szCs w:val="18"/>
                <w:lang w:val="es-ES_tradnl"/>
              </w:rPr>
              <w:t>($EUA)</w:t>
            </w:r>
          </w:p>
        </w:tc>
        <w:tc>
          <w:tcPr>
            <w:tcW w:w="485" w:type="pct"/>
            <w:shd w:val="clear" w:color="auto" w:fill="auto"/>
            <w:tcMar>
              <w:left w:w="57" w:type="dxa"/>
              <w:right w:w="57" w:type="dxa"/>
            </w:tcMar>
          </w:tcPr>
          <w:p w14:paraId="52D1697F" w14:textId="5E27B0B4" w:rsidR="004964C1" w:rsidRPr="00BA1ECA" w:rsidRDefault="00D05E4B" w:rsidP="00FB0276">
            <w:pPr>
              <w:tabs>
                <w:tab w:val="left" w:pos="8280"/>
              </w:tabs>
              <w:spacing w:after="60"/>
              <w:jc w:val="right"/>
              <w:rPr>
                <w:sz w:val="18"/>
                <w:szCs w:val="18"/>
                <w:lang w:val="es-ES_tradnl"/>
              </w:rPr>
            </w:pPr>
            <w:r w:rsidRPr="00BA1ECA">
              <w:rPr>
                <w:sz w:val="18"/>
                <w:szCs w:val="18"/>
                <w:lang w:val="es-ES_tradnl"/>
              </w:rPr>
              <w:t>3</w:t>
            </w:r>
            <w:r w:rsidR="00FB0276" w:rsidRPr="00BA1ECA">
              <w:rPr>
                <w:sz w:val="18"/>
                <w:szCs w:val="18"/>
                <w:lang w:val="es-ES_tradnl"/>
              </w:rPr>
              <w:t>6</w:t>
            </w:r>
            <w:r w:rsidR="00755C5D" w:rsidRPr="00BA1ECA">
              <w:rPr>
                <w:sz w:val="18"/>
                <w:szCs w:val="18"/>
                <w:lang w:val="es-ES_tradnl"/>
              </w:rPr>
              <w:t>0.</w:t>
            </w:r>
            <w:r w:rsidRPr="00BA1ECA">
              <w:rPr>
                <w:sz w:val="18"/>
                <w:szCs w:val="18"/>
                <w:lang w:val="es-ES_tradnl"/>
              </w:rPr>
              <w:t>000</w:t>
            </w:r>
          </w:p>
        </w:tc>
        <w:tc>
          <w:tcPr>
            <w:tcW w:w="485" w:type="pct"/>
            <w:tcMar>
              <w:left w:w="57" w:type="dxa"/>
              <w:right w:w="57" w:type="dxa"/>
            </w:tcMar>
          </w:tcPr>
          <w:p w14:paraId="46C90913" w14:textId="45E8FCFC" w:rsidR="004964C1" w:rsidRPr="00BA1ECA" w:rsidRDefault="00FB0276" w:rsidP="00FB0276">
            <w:pPr>
              <w:tabs>
                <w:tab w:val="left" w:pos="8280"/>
              </w:tabs>
              <w:spacing w:after="60"/>
              <w:jc w:val="right"/>
              <w:rPr>
                <w:sz w:val="18"/>
                <w:szCs w:val="18"/>
                <w:lang w:val="es-ES_tradnl"/>
              </w:rPr>
            </w:pPr>
            <w:r w:rsidRPr="00BA1ECA">
              <w:rPr>
                <w:sz w:val="18"/>
                <w:szCs w:val="18"/>
                <w:lang w:val="es-ES_tradnl"/>
              </w:rPr>
              <w:t>90</w:t>
            </w:r>
            <w:r w:rsidR="009374DA" w:rsidRPr="00BA1ECA">
              <w:rPr>
                <w:sz w:val="18"/>
                <w:szCs w:val="18"/>
                <w:lang w:val="es-ES_tradnl"/>
              </w:rPr>
              <w:t>5.</w:t>
            </w:r>
            <w:r w:rsidR="00D05E4B" w:rsidRPr="00BA1ECA">
              <w:rPr>
                <w:sz w:val="18"/>
                <w:szCs w:val="18"/>
                <w:lang w:val="es-ES_tradnl"/>
              </w:rPr>
              <w:t>000</w:t>
            </w:r>
          </w:p>
        </w:tc>
        <w:tc>
          <w:tcPr>
            <w:tcW w:w="485" w:type="pct"/>
            <w:tcMar>
              <w:left w:w="57" w:type="dxa"/>
              <w:right w:w="57" w:type="dxa"/>
            </w:tcMar>
          </w:tcPr>
          <w:p w14:paraId="296DF2DF" w14:textId="2257F46B" w:rsidR="004964C1" w:rsidRPr="00BA1ECA" w:rsidRDefault="00755C5D" w:rsidP="004964C1">
            <w:pPr>
              <w:tabs>
                <w:tab w:val="left" w:pos="8280"/>
              </w:tabs>
              <w:spacing w:after="60"/>
              <w:jc w:val="right"/>
              <w:rPr>
                <w:sz w:val="18"/>
                <w:szCs w:val="18"/>
                <w:lang w:val="es-ES_tradnl"/>
              </w:rPr>
            </w:pPr>
            <w:r w:rsidRPr="00BA1ECA">
              <w:rPr>
                <w:sz w:val="18"/>
                <w:szCs w:val="18"/>
                <w:lang w:val="es-ES_tradnl"/>
              </w:rPr>
              <w:t>1.</w:t>
            </w:r>
            <w:r w:rsidR="00FB0276" w:rsidRPr="00BA1ECA">
              <w:rPr>
                <w:sz w:val="18"/>
                <w:szCs w:val="18"/>
                <w:lang w:val="es-ES_tradnl"/>
              </w:rPr>
              <w:t>01</w:t>
            </w:r>
            <w:r w:rsidRPr="00BA1ECA">
              <w:rPr>
                <w:sz w:val="18"/>
                <w:szCs w:val="18"/>
                <w:lang w:val="es-ES_tradnl"/>
              </w:rPr>
              <w:t>0.</w:t>
            </w:r>
            <w:r w:rsidR="00D05E4B" w:rsidRPr="00BA1ECA">
              <w:rPr>
                <w:sz w:val="18"/>
                <w:szCs w:val="18"/>
                <w:lang w:val="es-ES_tradnl"/>
              </w:rPr>
              <w:t>000</w:t>
            </w:r>
          </w:p>
        </w:tc>
        <w:tc>
          <w:tcPr>
            <w:tcW w:w="485" w:type="pct"/>
            <w:tcMar>
              <w:left w:w="57" w:type="dxa"/>
              <w:right w:w="57" w:type="dxa"/>
            </w:tcMar>
          </w:tcPr>
          <w:p w14:paraId="7A0B2E19" w14:textId="2C20438E"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0</w:t>
            </w:r>
          </w:p>
        </w:tc>
        <w:tc>
          <w:tcPr>
            <w:tcW w:w="485" w:type="pct"/>
            <w:tcMar>
              <w:left w:w="57" w:type="dxa"/>
              <w:right w:w="57" w:type="dxa"/>
            </w:tcMar>
          </w:tcPr>
          <w:p w14:paraId="19F4742A" w14:textId="6C530F47" w:rsidR="004964C1" w:rsidRPr="00BA1ECA" w:rsidRDefault="00FB0276" w:rsidP="00FB0276">
            <w:pPr>
              <w:tabs>
                <w:tab w:val="left" w:pos="8280"/>
              </w:tabs>
              <w:spacing w:after="60"/>
              <w:jc w:val="right"/>
              <w:rPr>
                <w:sz w:val="18"/>
                <w:szCs w:val="18"/>
                <w:lang w:val="es-ES_tradnl"/>
              </w:rPr>
            </w:pPr>
            <w:r w:rsidRPr="00BA1ECA">
              <w:rPr>
                <w:sz w:val="18"/>
                <w:szCs w:val="18"/>
                <w:lang w:val="es-ES_tradnl"/>
              </w:rPr>
              <w:t>47</w:t>
            </w:r>
            <w:r w:rsidR="009374DA" w:rsidRPr="00BA1ECA">
              <w:rPr>
                <w:sz w:val="18"/>
                <w:szCs w:val="18"/>
                <w:lang w:val="es-ES_tradnl"/>
              </w:rPr>
              <w:t>5.</w:t>
            </w:r>
            <w:r w:rsidR="00D05E4B" w:rsidRPr="00BA1ECA">
              <w:rPr>
                <w:sz w:val="18"/>
                <w:szCs w:val="18"/>
                <w:lang w:val="es-ES_tradnl"/>
              </w:rPr>
              <w:t>000</w:t>
            </w:r>
          </w:p>
        </w:tc>
        <w:tc>
          <w:tcPr>
            <w:tcW w:w="486" w:type="pct"/>
            <w:tcMar>
              <w:left w:w="57" w:type="dxa"/>
              <w:right w:w="57" w:type="dxa"/>
            </w:tcMar>
          </w:tcPr>
          <w:p w14:paraId="52192521" w14:textId="23E2905A" w:rsidR="004964C1" w:rsidRPr="00BA1ECA" w:rsidRDefault="00755C5D" w:rsidP="004964C1">
            <w:pPr>
              <w:tabs>
                <w:tab w:val="left" w:pos="8280"/>
              </w:tabs>
              <w:spacing w:after="60"/>
              <w:jc w:val="right"/>
              <w:rPr>
                <w:sz w:val="18"/>
                <w:szCs w:val="18"/>
                <w:lang w:val="es-ES_tradnl"/>
              </w:rPr>
            </w:pPr>
            <w:r w:rsidRPr="00BA1ECA">
              <w:rPr>
                <w:sz w:val="18"/>
                <w:szCs w:val="18"/>
                <w:lang w:val="es-ES_tradnl"/>
              </w:rPr>
              <w:t>2.</w:t>
            </w:r>
            <w:r w:rsidR="00D05E4B" w:rsidRPr="00BA1ECA">
              <w:rPr>
                <w:sz w:val="18"/>
                <w:szCs w:val="18"/>
                <w:lang w:val="es-ES_tradnl"/>
              </w:rPr>
              <w:t>75</w:t>
            </w:r>
            <w:r w:rsidRPr="00BA1ECA">
              <w:rPr>
                <w:sz w:val="18"/>
                <w:szCs w:val="18"/>
                <w:lang w:val="es-ES_tradnl"/>
              </w:rPr>
              <w:t>0.</w:t>
            </w:r>
            <w:r w:rsidR="00D05E4B" w:rsidRPr="00BA1ECA">
              <w:rPr>
                <w:sz w:val="18"/>
                <w:szCs w:val="18"/>
                <w:lang w:val="es-ES_tradnl"/>
              </w:rPr>
              <w:t>000</w:t>
            </w:r>
          </w:p>
        </w:tc>
      </w:tr>
      <w:tr w:rsidR="004964C1" w:rsidRPr="00BA1ECA" w14:paraId="1D7EA143" w14:textId="77777777" w:rsidTr="00BB55F7">
        <w:trPr>
          <w:trHeight w:val="200"/>
        </w:trPr>
        <w:tc>
          <w:tcPr>
            <w:tcW w:w="2088" w:type="pct"/>
            <w:gridSpan w:val="3"/>
            <w:shd w:val="clear" w:color="auto" w:fill="auto"/>
          </w:tcPr>
          <w:p w14:paraId="3946DAFC" w14:textId="6BCAFD10" w:rsidR="004964C1" w:rsidRPr="00BA1ECA" w:rsidRDefault="004964C1" w:rsidP="004964C1">
            <w:pPr>
              <w:tabs>
                <w:tab w:val="left" w:pos="8280"/>
              </w:tabs>
              <w:spacing w:after="60"/>
              <w:jc w:val="left"/>
              <w:rPr>
                <w:sz w:val="18"/>
                <w:szCs w:val="18"/>
                <w:lang w:val="es-ES_tradnl"/>
              </w:rPr>
            </w:pPr>
            <w:r w:rsidRPr="00BA1ECA">
              <w:rPr>
                <w:sz w:val="18"/>
                <w:szCs w:val="18"/>
                <w:lang w:val="es-ES_tradnl"/>
              </w:rPr>
              <w:t>Total</w:t>
            </w:r>
            <w:r w:rsidR="00A13BEA" w:rsidRPr="00BA1ECA">
              <w:rPr>
                <w:sz w:val="18"/>
                <w:szCs w:val="18"/>
                <w:lang w:val="es-ES_tradnl"/>
              </w:rPr>
              <w:t xml:space="preserve"> </w:t>
            </w:r>
            <w:r w:rsidR="00755C5D" w:rsidRPr="00BA1ECA">
              <w:rPr>
                <w:sz w:val="18"/>
                <w:szCs w:val="18"/>
                <w:lang w:val="es-ES_tradnl"/>
              </w:rPr>
              <w:t>gastos</w:t>
            </w:r>
            <w:r w:rsidR="00A13BEA" w:rsidRPr="00BA1ECA">
              <w:rPr>
                <w:sz w:val="18"/>
                <w:szCs w:val="18"/>
                <w:lang w:val="es-ES_tradnl"/>
              </w:rPr>
              <w:t xml:space="preserve"> </w:t>
            </w:r>
            <w:r w:rsidR="00755C5D" w:rsidRPr="00BA1ECA">
              <w:rPr>
                <w:sz w:val="18"/>
                <w:szCs w:val="18"/>
                <w:lang w:val="es-ES_tradnl"/>
              </w:rPr>
              <w:t>de</w:t>
            </w:r>
            <w:r w:rsidR="00A13BEA" w:rsidRPr="00BA1ECA">
              <w:rPr>
                <w:sz w:val="18"/>
                <w:szCs w:val="18"/>
                <w:lang w:val="es-ES_tradnl"/>
              </w:rPr>
              <w:t xml:space="preserve"> </w:t>
            </w:r>
            <w:r w:rsidR="00755C5D" w:rsidRPr="00BA1ECA">
              <w:rPr>
                <w:sz w:val="18"/>
                <w:szCs w:val="18"/>
                <w:lang w:val="es-ES_tradnl"/>
              </w:rPr>
              <w:t>apoyo</w:t>
            </w:r>
            <w:r w:rsidR="00A13BEA" w:rsidRPr="00BA1ECA">
              <w:rPr>
                <w:sz w:val="18"/>
                <w:szCs w:val="18"/>
                <w:lang w:val="es-ES_tradnl"/>
              </w:rPr>
              <w:t xml:space="preserve"> </w:t>
            </w:r>
            <w:r w:rsidR="009374DA" w:rsidRPr="00BA1ECA">
              <w:rPr>
                <w:sz w:val="18"/>
                <w:szCs w:val="18"/>
                <w:lang w:val="es-ES_tradnl"/>
              </w:rPr>
              <w:t>solicitados</w:t>
            </w:r>
            <w:r w:rsidR="00A13BEA" w:rsidRPr="00BA1ECA">
              <w:rPr>
                <w:sz w:val="18"/>
                <w:szCs w:val="18"/>
                <w:lang w:val="es-ES_tradnl"/>
              </w:rPr>
              <w:t xml:space="preserve"> </w:t>
            </w:r>
            <w:r w:rsidR="009374DA" w:rsidRPr="00BA1ECA">
              <w:rPr>
                <w:sz w:val="18"/>
                <w:szCs w:val="18"/>
                <w:lang w:val="es-ES_tradnl"/>
              </w:rPr>
              <w:t>en</w:t>
            </w:r>
            <w:r w:rsidR="00A13BEA" w:rsidRPr="00BA1ECA">
              <w:rPr>
                <w:sz w:val="18"/>
                <w:szCs w:val="18"/>
                <w:lang w:val="es-ES_tradnl"/>
              </w:rPr>
              <w:t xml:space="preserve"> </w:t>
            </w:r>
            <w:r w:rsidR="009374DA" w:rsidRPr="00BA1ECA">
              <w:rPr>
                <w:sz w:val="18"/>
                <w:szCs w:val="18"/>
                <w:lang w:val="es-ES_tradnl"/>
              </w:rPr>
              <w:t>principio</w:t>
            </w:r>
            <w:r w:rsidR="00A13BEA" w:rsidRPr="00BA1ECA">
              <w:rPr>
                <w:sz w:val="18"/>
                <w:szCs w:val="18"/>
                <w:lang w:val="es-ES_tradnl"/>
              </w:rPr>
              <w:t xml:space="preserve"> </w:t>
            </w:r>
            <w:r w:rsidR="00E26F0F" w:rsidRPr="00BA1ECA">
              <w:rPr>
                <w:sz w:val="18"/>
                <w:szCs w:val="18"/>
                <w:lang w:val="es-ES_tradnl"/>
              </w:rPr>
              <w:t>($EUA)</w:t>
            </w:r>
          </w:p>
        </w:tc>
        <w:tc>
          <w:tcPr>
            <w:tcW w:w="485" w:type="pct"/>
            <w:shd w:val="clear" w:color="auto" w:fill="auto"/>
            <w:tcMar>
              <w:left w:w="57" w:type="dxa"/>
              <w:right w:w="57" w:type="dxa"/>
            </w:tcMar>
          </w:tcPr>
          <w:p w14:paraId="6E4BCFC2" w14:textId="7E1D4D2B" w:rsidR="004964C1" w:rsidRPr="00BA1ECA" w:rsidRDefault="00FB0276" w:rsidP="004964C1">
            <w:pPr>
              <w:tabs>
                <w:tab w:val="left" w:pos="8280"/>
              </w:tabs>
              <w:spacing w:after="60"/>
              <w:jc w:val="right"/>
              <w:rPr>
                <w:sz w:val="18"/>
                <w:szCs w:val="18"/>
                <w:lang w:val="es-ES_tradnl"/>
              </w:rPr>
            </w:pPr>
            <w:r w:rsidRPr="00BA1ECA">
              <w:rPr>
                <w:sz w:val="18"/>
                <w:szCs w:val="18"/>
                <w:lang w:val="es-ES_tradnl"/>
              </w:rPr>
              <w:t>4</w:t>
            </w:r>
            <w:r w:rsidR="00755C5D" w:rsidRPr="00BA1ECA">
              <w:rPr>
                <w:sz w:val="18"/>
                <w:szCs w:val="18"/>
                <w:lang w:val="es-ES_tradnl"/>
              </w:rPr>
              <w:t>0.</w:t>
            </w:r>
            <w:r w:rsidRPr="00BA1ECA">
              <w:rPr>
                <w:sz w:val="18"/>
                <w:szCs w:val="18"/>
                <w:lang w:val="es-ES_tradnl"/>
              </w:rPr>
              <w:t>421</w:t>
            </w:r>
          </w:p>
        </w:tc>
        <w:tc>
          <w:tcPr>
            <w:tcW w:w="485" w:type="pct"/>
            <w:tcMar>
              <w:left w:w="57" w:type="dxa"/>
              <w:right w:w="57" w:type="dxa"/>
            </w:tcMar>
          </w:tcPr>
          <w:p w14:paraId="6D6E39FD" w14:textId="72CEE7D7" w:rsidR="004964C1" w:rsidRPr="00BA1ECA" w:rsidRDefault="00FB0276" w:rsidP="004964C1">
            <w:pPr>
              <w:tabs>
                <w:tab w:val="left" w:pos="8280"/>
              </w:tabs>
              <w:spacing w:after="60"/>
              <w:jc w:val="right"/>
              <w:rPr>
                <w:sz w:val="18"/>
                <w:szCs w:val="18"/>
                <w:lang w:val="es-ES_tradnl"/>
              </w:rPr>
            </w:pPr>
            <w:r w:rsidRPr="00BA1ECA">
              <w:rPr>
                <w:sz w:val="18"/>
                <w:szCs w:val="18"/>
                <w:lang w:val="es-ES_tradnl"/>
              </w:rPr>
              <w:t>8</w:t>
            </w:r>
            <w:r w:rsidR="009374DA" w:rsidRPr="00BA1ECA">
              <w:rPr>
                <w:sz w:val="18"/>
                <w:szCs w:val="18"/>
                <w:lang w:val="es-ES_tradnl"/>
              </w:rPr>
              <w:t>9.</w:t>
            </w:r>
            <w:r w:rsidRPr="00BA1ECA">
              <w:rPr>
                <w:sz w:val="18"/>
                <w:szCs w:val="18"/>
                <w:lang w:val="es-ES_tradnl"/>
              </w:rPr>
              <w:t>929</w:t>
            </w:r>
          </w:p>
        </w:tc>
        <w:tc>
          <w:tcPr>
            <w:tcW w:w="485" w:type="pct"/>
            <w:tcMar>
              <w:left w:w="57" w:type="dxa"/>
              <w:right w:w="57" w:type="dxa"/>
            </w:tcMar>
          </w:tcPr>
          <w:p w14:paraId="38B38A22" w14:textId="6F050527" w:rsidR="004964C1" w:rsidRPr="00BA1ECA" w:rsidRDefault="00D05E4B" w:rsidP="00FB0276">
            <w:pPr>
              <w:tabs>
                <w:tab w:val="left" w:pos="8280"/>
              </w:tabs>
              <w:spacing w:after="60"/>
              <w:jc w:val="right"/>
              <w:rPr>
                <w:sz w:val="18"/>
                <w:szCs w:val="18"/>
                <w:lang w:val="es-ES_tradnl"/>
              </w:rPr>
            </w:pPr>
            <w:r w:rsidRPr="00BA1ECA">
              <w:rPr>
                <w:sz w:val="18"/>
                <w:szCs w:val="18"/>
                <w:lang w:val="es-ES_tradnl"/>
              </w:rPr>
              <w:t>10</w:t>
            </w:r>
            <w:r w:rsidR="00755C5D" w:rsidRPr="00BA1ECA">
              <w:rPr>
                <w:sz w:val="18"/>
                <w:szCs w:val="18"/>
                <w:lang w:val="es-ES_tradnl"/>
              </w:rPr>
              <w:t>0.</w:t>
            </w:r>
            <w:r w:rsidR="00FB0276" w:rsidRPr="00BA1ECA">
              <w:rPr>
                <w:sz w:val="18"/>
                <w:szCs w:val="18"/>
                <w:lang w:val="es-ES_tradnl"/>
              </w:rPr>
              <w:t>460</w:t>
            </w:r>
          </w:p>
        </w:tc>
        <w:tc>
          <w:tcPr>
            <w:tcW w:w="485" w:type="pct"/>
            <w:tcMar>
              <w:left w:w="57" w:type="dxa"/>
              <w:right w:w="57" w:type="dxa"/>
            </w:tcMar>
          </w:tcPr>
          <w:p w14:paraId="5AC7117E" w14:textId="415EA861"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0</w:t>
            </w:r>
          </w:p>
        </w:tc>
        <w:tc>
          <w:tcPr>
            <w:tcW w:w="485" w:type="pct"/>
            <w:tcMar>
              <w:left w:w="57" w:type="dxa"/>
              <w:right w:w="57" w:type="dxa"/>
            </w:tcMar>
          </w:tcPr>
          <w:p w14:paraId="21F6F221" w14:textId="02FD8091" w:rsidR="004964C1" w:rsidRPr="00BA1ECA" w:rsidRDefault="00FB0276" w:rsidP="004964C1">
            <w:pPr>
              <w:tabs>
                <w:tab w:val="left" w:pos="8280"/>
              </w:tabs>
              <w:spacing w:after="60"/>
              <w:jc w:val="right"/>
              <w:rPr>
                <w:sz w:val="18"/>
                <w:szCs w:val="18"/>
                <w:lang w:val="es-ES_tradnl"/>
              </w:rPr>
            </w:pPr>
            <w:r w:rsidRPr="00BA1ECA">
              <w:rPr>
                <w:sz w:val="18"/>
                <w:szCs w:val="18"/>
                <w:lang w:val="es-ES_tradnl"/>
              </w:rPr>
              <w:t>4</w:t>
            </w:r>
            <w:r w:rsidR="009374DA" w:rsidRPr="00BA1ECA">
              <w:rPr>
                <w:sz w:val="18"/>
                <w:szCs w:val="18"/>
                <w:lang w:val="es-ES_tradnl"/>
              </w:rPr>
              <w:t>5.</w:t>
            </w:r>
            <w:r w:rsidRPr="00BA1ECA">
              <w:rPr>
                <w:sz w:val="18"/>
                <w:szCs w:val="18"/>
                <w:lang w:val="es-ES_tradnl"/>
              </w:rPr>
              <w:t>290</w:t>
            </w:r>
          </w:p>
        </w:tc>
        <w:tc>
          <w:tcPr>
            <w:tcW w:w="486" w:type="pct"/>
            <w:tcMar>
              <w:left w:w="57" w:type="dxa"/>
              <w:right w:w="57" w:type="dxa"/>
            </w:tcMar>
          </w:tcPr>
          <w:p w14:paraId="19B3B049" w14:textId="30DE69AE"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27</w:t>
            </w:r>
            <w:r w:rsidR="009374DA" w:rsidRPr="00BA1ECA">
              <w:rPr>
                <w:sz w:val="18"/>
                <w:szCs w:val="18"/>
                <w:lang w:val="es-ES_tradnl"/>
              </w:rPr>
              <w:t>6.</w:t>
            </w:r>
            <w:r w:rsidRPr="00BA1ECA">
              <w:rPr>
                <w:sz w:val="18"/>
                <w:szCs w:val="18"/>
                <w:lang w:val="es-ES_tradnl"/>
              </w:rPr>
              <w:t>100</w:t>
            </w:r>
          </w:p>
        </w:tc>
      </w:tr>
      <w:tr w:rsidR="004964C1" w:rsidRPr="00BA1ECA" w14:paraId="7466E202" w14:textId="77777777" w:rsidTr="00BB55F7">
        <w:trPr>
          <w:trHeight w:val="95"/>
        </w:trPr>
        <w:tc>
          <w:tcPr>
            <w:tcW w:w="2088" w:type="pct"/>
            <w:gridSpan w:val="3"/>
            <w:shd w:val="clear" w:color="auto" w:fill="auto"/>
          </w:tcPr>
          <w:p w14:paraId="1DFD386C" w14:textId="32ADD5B2" w:rsidR="004964C1" w:rsidRPr="00BA1ECA" w:rsidRDefault="004964C1" w:rsidP="004964C1">
            <w:pPr>
              <w:tabs>
                <w:tab w:val="left" w:pos="8280"/>
              </w:tabs>
              <w:spacing w:after="60"/>
              <w:jc w:val="left"/>
              <w:rPr>
                <w:sz w:val="18"/>
                <w:szCs w:val="18"/>
                <w:lang w:val="es-ES_tradnl"/>
              </w:rPr>
            </w:pPr>
            <w:r w:rsidRPr="00BA1ECA">
              <w:rPr>
                <w:sz w:val="18"/>
                <w:szCs w:val="18"/>
                <w:lang w:val="es-ES_tradnl"/>
              </w:rPr>
              <w:t>Total</w:t>
            </w:r>
            <w:r w:rsidR="00A13BEA" w:rsidRPr="00BA1ECA">
              <w:rPr>
                <w:sz w:val="18"/>
                <w:szCs w:val="18"/>
                <w:lang w:val="es-ES_tradnl"/>
              </w:rPr>
              <w:t xml:space="preserve"> </w:t>
            </w:r>
            <w:r w:rsidR="009374DA" w:rsidRPr="00BA1ECA">
              <w:rPr>
                <w:sz w:val="18"/>
                <w:szCs w:val="18"/>
                <w:lang w:val="es-ES_tradnl"/>
              </w:rPr>
              <w:t>fondos</w:t>
            </w:r>
            <w:r w:rsidR="00A13BEA" w:rsidRPr="00BA1ECA">
              <w:rPr>
                <w:sz w:val="18"/>
                <w:szCs w:val="18"/>
                <w:lang w:val="es-ES_tradnl"/>
              </w:rPr>
              <w:t xml:space="preserve"> </w:t>
            </w:r>
            <w:r w:rsidR="009374DA" w:rsidRPr="00BA1ECA">
              <w:rPr>
                <w:sz w:val="18"/>
                <w:szCs w:val="18"/>
                <w:lang w:val="es-ES_tradnl"/>
              </w:rPr>
              <w:t>solicitados</w:t>
            </w:r>
            <w:r w:rsidR="00A13BEA" w:rsidRPr="00BA1ECA">
              <w:rPr>
                <w:sz w:val="18"/>
                <w:szCs w:val="18"/>
                <w:lang w:val="es-ES_tradnl"/>
              </w:rPr>
              <w:t xml:space="preserve"> </w:t>
            </w:r>
            <w:r w:rsidR="009374DA" w:rsidRPr="00BA1ECA">
              <w:rPr>
                <w:sz w:val="18"/>
                <w:szCs w:val="18"/>
                <w:lang w:val="es-ES_tradnl"/>
              </w:rPr>
              <w:t>en</w:t>
            </w:r>
            <w:r w:rsidR="00A13BEA" w:rsidRPr="00BA1ECA">
              <w:rPr>
                <w:sz w:val="18"/>
                <w:szCs w:val="18"/>
                <w:lang w:val="es-ES_tradnl"/>
              </w:rPr>
              <w:t xml:space="preserve"> </w:t>
            </w:r>
            <w:r w:rsidR="009374DA" w:rsidRPr="00BA1ECA">
              <w:rPr>
                <w:sz w:val="18"/>
                <w:szCs w:val="18"/>
                <w:lang w:val="es-ES_tradnl"/>
              </w:rPr>
              <w:t>principio</w:t>
            </w:r>
            <w:r w:rsidR="00A13BEA" w:rsidRPr="00BA1ECA">
              <w:rPr>
                <w:sz w:val="18"/>
                <w:szCs w:val="18"/>
                <w:lang w:val="es-ES_tradnl"/>
              </w:rPr>
              <w:t xml:space="preserve"> </w:t>
            </w:r>
            <w:r w:rsidR="00E26F0F" w:rsidRPr="00BA1ECA">
              <w:rPr>
                <w:sz w:val="18"/>
                <w:szCs w:val="18"/>
                <w:lang w:val="es-ES_tradnl"/>
              </w:rPr>
              <w:t>($EUA)</w:t>
            </w:r>
          </w:p>
        </w:tc>
        <w:tc>
          <w:tcPr>
            <w:tcW w:w="485" w:type="pct"/>
            <w:shd w:val="clear" w:color="auto" w:fill="auto"/>
            <w:tcMar>
              <w:left w:w="57" w:type="dxa"/>
              <w:right w:w="57" w:type="dxa"/>
            </w:tcMar>
          </w:tcPr>
          <w:p w14:paraId="166A39BD" w14:textId="538C4289" w:rsidR="004964C1" w:rsidRPr="00BA1ECA" w:rsidRDefault="00FB0276" w:rsidP="004964C1">
            <w:pPr>
              <w:tabs>
                <w:tab w:val="left" w:pos="8280"/>
              </w:tabs>
              <w:spacing w:after="60"/>
              <w:jc w:val="right"/>
              <w:rPr>
                <w:sz w:val="18"/>
                <w:szCs w:val="18"/>
                <w:lang w:val="es-ES_tradnl"/>
              </w:rPr>
            </w:pPr>
            <w:r w:rsidRPr="00BA1ECA">
              <w:rPr>
                <w:sz w:val="18"/>
                <w:szCs w:val="18"/>
                <w:lang w:val="es-ES_tradnl"/>
              </w:rPr>
              <w:t>40</w:t>
            </w:r>
            <w:r w:rsidR="00755C5D" w:rsidRPr="00BA1ECA">
              <w:rPr>
                <w:sz w:val="18"/>
                <w:szCs w:val="18"/>
                <w:lang w:val="es-ES_tradnl"/>
              </w:rPr>
              <w:t>0.</w:t>
            </w:r>
            <w:r w:rsidRPr="00BA1ECA">
              <w:rPr>
                <w:sz w:val="18"/>
                <w:szCs w:val="18"/>
                <w:lang w:val="es-ES_tradnl"/>
              </w:rPr>
              <w:t>421</w:t>
            </w:r>
          </w:p>
        </w:tc>
        <w:tc>
          <w:tcPr>
            <w:tcW w:w="485" w:type="pct"/>
            <w:tcMar>
              <w:left w:w="57" w:type="dxa"/>
              <w:right w:w="57" w:type="dxa"/>
            </w:tcMar>
          </w:tcPr>
          <w:p w14:paraId="0435CB79" w14:textId="1D5B9D0E" w:rsidR="004964C1" w:rsidRPr="00BA1ECA" w:rsidRDefault="00FB0276" w:rsidP="004964C1">
            <w:pPr>
              <w:tabs>
                <w:tab w:val="left" w:pos="8280"/>
              </w:tabs>
              <w:spacing w:after="60"/>
              <w:jc w:val="right"/>
              <w:rPr>
                <w:sz w:val="18"/>
                <w:szCs w:val="18"/>
                <w:lang w:val="es-ES_tradnl"/>
              </w:rPr>
            </w:pPr>
            <w:r w:rsidRPr="00BA1ECA">
              <w:rPr>
                <w:sz w:val="18"/>
                <w:szCs w:val="18"/>
                <w:lang w:val="es-ES_tradnl"/>
              </w:rPr>
              <w:t>99</w:t>
            </w:r>
            <w:r w:rsidR="00755C5D" w:rsidRPr="00BA1ECA">
              <w:rPr>
                <w:sz w:val="18"/>
                <w:szCs w:val="18"/>
                <w:lang w:val="es-ES_tradnl"/>
              </w:rPr>
              <w:t>4.</w:t>
            </w:r>
            <w:r w:rsidRPr="00BA1ECA">
              <w:rPr>
                <w:sz w:val="18"/>
                <w:szCs w:val="18"/>
                <w:lang w:val="es-ES_tradnl"/>
              </w:rPr>
              <w:t>929</w:t>
            </w:r>
          </w:p>
        </w:tc>
        <w:tc>
          <w:tcPr>
            <w:tcW w:w="485" w:type="pct"/>
            <w:tcMar>
              <w:left w:w="57" w:type="dxa"/>
              <w:right w:w="57" w:type="dxa"/>
            </w:tcMar>
          </w:tcPr>
          <w:p w14:paraId="1ECBA332" w14:textId="2F341380" w:rsidR="004964C1" w:rsidRPr="00BA1ECA" w:rsidRDefault="00755C5D" w:rsidP="00FB0276">
            <w:pPr>
              <w:tabs>
                <w:tab w:val="left" w:pos="8280"/>
              </w:tabs>
              <w:spacing w:after="60"/>
              <w:jc w:val="right"/>
              <w:rPr>
                <w:sz w:val="18"/>
                <w:szCs w:val="18"/>
                <w:lang w:val="es-ES_tradnl"/>
              </w:rPr>
            </w:pPr>
            <w:r w:rsidRPr="00BA1ECA">
              <w:rPr>
                <w:sz w:val="18"/>
                <w:szCs w:val="18"/>
                <w:lang w:val="es-ES_tradnl"/>
              </w:rPr>
              <w:t>1.</w:t>
            </w:r>
            <w:r w:rsidR="00FB0276" w:rsidRPr="00BA1ECA">
              <w:rPr>
                <w:sz w:val="18"/>
                <w:szCs w:val="18"/>
                <w:lang w:val="es-ES_tradnl"/>
              </w:rPr>
              <w:t>11</w:t>
            </w:r>
            <w:r w:rsidRPr="00BA1ECA">
              <w:rPr>
                <w:sz w:val="18"/>
                <w:szCs w:val="18"/>
                <w:lang w:val="es-ES_tradnl"/>
              </w:rPr>
              <w:t>0.</w:t>
            </w:r>
            <w:r w:rsidR="00FB0276" w:rsidRPr="00BA1ECA">
              <w:rPr>
                <w:sz w:val="18"/>
                <w:szCs w:val="18"/>
                <w:lang w:val="es-ES_tradnl"/>
              </w:rPr>
              <w:t>460</w:t>
            </w:r>
          </w:p>
        </w:tc>
        <w:tc>
          <w:tcPr>
            <w:tcW w:w="485" w:type="pct"/>
            <w:tcMar>
              <w:left w:w="57" w:type="dxa"/>
              <w:right w:w="57" w:type="dxa"/>
            </w:tcMar>
          </w:tcPr>
          <w:p w14:paraId="05407E86" w14:textId="710980CD" w:rsidR="004964C1" w:rsidRPr="00BA1ECA" w:rsidRDefault="00D05E4B" w:rsidP="004964C1">
            <w:pPr>
              <w:tabs>
                <w:tab w:val="left" w:pos="8280"/>
              </w:tabs>
              <w:spacing w:after="60"/>
              <w:jc w:val="right"/>
              <w:rPr>
                <w:sz w:val="18"/>
                <w:szCs w:val="18"/>
                <w:lang w:val="es-ES_tradnl"/>
              </w:rPr>
            </w:pPr>
            <w:r w:rsidRPr="00BA1ECA">
              <w:rPr>
                <w:sz w:val="18"/>
                <w:szCs w:val="18"/>
                <w:lang w:val="es-ES_tradnl"/>
              </w:rPr>
              <w:t>0</w:t>
            </w:r>
          </w:p>
        </w:tc>
        <w:tc>
          <w:tcPr>
            <w:tcW w:w="485" w:type="pct"/>
            <w:tcMar>
              <w:left w:w="57" w:type="dxa"/>
              <w:right w:w="57" w:type="dxa"/>
            </w:tcMar>
          </w:tcPr>
          <w:p w14:paraId="1642877D" w14:textId="4C47CFD7" w:rsidR="004964C1" w:rsidRPr="00BA1ECA" w:rsidRDefault="00FB0276" w:rsidP="00FB0276">
            <w:pPr>
              <w:tabs>
                <w:tab w:val="left" w:pos="8280"/>
              </w:tabs>
              <w:spacing w:after="60"/>
              <w:jc w:val="right"/>
              <w:rPr>
                <w:sz w:val="18"/>
                <w:szCs w:val="18"/>
                <w:lang w:val="es-ES_tradnl"/>
              </w:rPr>
            </w:pPr>
            <w:r w:rsidRPr="00BA1ECA">
              <w:rPr>
                <w:sz w:val="18"/>
                <w:szCs w:val="18"/>
                <w:lang w:val="es-ES_tradnl"/>
              </w:rPr>
              <w:t>52</w:t>
            </w:r>
            <w:r w:rsidR="00755C5D" w:rsidRPr="00BA1ECA">
              <w:rPr>
                <w:sz w:val="18"/>
                <w:szCs w:val="18"/>
                <w:lang w:val="es-ES_tradnl"/>
              </w:rPr>
              <w:t>0.</w:t>
            </w:r>
            <w:r w:rsidRPr="00BA1ECA">
              <w:rPr>
                <w:sz w:val="18"/>
                <w:szCs w:val="18"/>
                <w:lang w:val="es-ES_tradnl"/>
              </w:rPr>
              <w:t>290</w:t>
            </w:r>
          </w:p>
        </w:tc>
        <w:tc>
          <w:tcPr>
            <w:tcW w:w="486" w:type="pct"/>
            <w:tcMar>
              <w:left w:w="57" w:type="dxa"/>
              <w:right w:w="57" w:type="dxa"/>
            </w:tcMar>
          </w:tcPr>
          <w:p w14:paraId="115491B7" w14:textId="269504C5" w:rsidR="004964C1" w:rsidRPr="00BA1ECA" w:rsidRDefault="00755C5D" w:rsidP="004964C1">
            <w:pPr>
              <w:tabs>
                <w:tab w:val="left" w:pos="8280"/>
              </w:tabs>
              <w:spacing w:after="60"/>
              <w:jc w:val="right"/>
              <w:rPr>
                <w:sz w:val="18"/>
                <w:szCs w:val="18"/>
                <w:lang w:val="es-ES_tradnl"/>
              </w:rPr>
            </w:pPr>
            <w:r w:rsidRPr="00BA1ECA">
              <w:rPr>
                <w:sz w:val="18"/>
                <w:szCs w:val="18"/>
                <w:lang w:val="es-ES_tradnl"/>
              </w:rPr>
              <w:t>3.</w:t>
            </w:r>
            <w:r w:rsidR="00D05E4B" w:rsidRPr="00BA1ECA">
              <w:rPr>
                <w:sz w:val="18"/>
                <w:szCs w:val="18"/>
                <w:lang w:val="es-ES_tradnl"/>
              </w:rPr>
              <w:t>02</w:t>
            </w:r>
            <w:r w:rsidR="009374DA" w:rsidRPr="00BA1ECA">
              <w:rPr>
                <w:sz w:val="18"/>
                <w:szCs w:val="18"/>
                <w:lang w:val="es-ES_tradnl"/>
              </w:rPr>
              <w:t>6.</w:t>
            </w:r>
            <w:r w:rsidR="00D05E4B" w:rsidRPr="00BA1ECA">
              <w:rPr>
                <w:sz w:val="18"/>
                <w:szCs w:val="18"/>
                <w:lang w:val="es-ES_tradnl"/>
              </w:rPr>
              <w:t>100</w:t>
            </w:r>
          </w:p>
        </w:tc>
      </w:tr>
    </w:tbl>
    <w:p w14:paraId="29F96056" w14:textId="77777777" w:rsidR="004964C1" w:rsidRPr="00BA1ECA" w:rsidRDefault="004964C1" w:rsidP="004964C1">
      <w:pPr>
        <w:rPr>
          <w:sz w:val="18"/>
          <w:szCs w:val="18"/>
          <w:lang w:val="es-ES_tradnl"/>
        </w:rPr>
      </w:pPr>
    </w:p>
    <w:tbl>
      <w:tblPr>
        <w:tblStyle w:val="TableGrid10"/>
        <w:tblW w:w="5309" w:type="pct"/>
        <w:tblInd w:w="-572" w:type="dxa"/>
        <w:tblLook w:val="04A0" w:firstRow="1" w:lastRow="0" w:firstColumn="1" w:lastColumn="0" w:noHBand="0" w:noVBand="1"/>
      </w:tblPr>
      <w:tblGrid>
        <w:gridCol w:w="3111"/>
        <w:gridCol w:w="3332"/>
        <w:gridCol w:w="3485"/>
      </w:tblGrid>
      <w:tr w:rsidR="00EE5B08" w:rsidRPr="00166373" w14:paraId="75048D3B" w14:textId="77777777" w:rsidTr="008A16B9">
        <w:trPr>
          <w:trHeight w:hRule="exact" w:val="227"/>
        </w:trPr>
        <w:tc>
          <w:tcPr>
            <w:tcW w:w="5000" w:type="pct"/>
            <w:gridSpan w:val="3"/>
            <w:shd w:val="clear" w:color="auto" w:fill="auto"/>
          </w:tcPr>
          <w:p w14:paraId="5EF19596" w14:textId="0D2E57C5" w:rsidR="00EE5B08" w:rsidRPr="00BA1ECA" w:rsidRDefault="004964C1" w:rsidP="00E02DF4">
            <w:pPr>
              <w:rPr>
                <w:b/>
                <w:color w:val="000000" w:themeColor="text1"/>
                <w:sz w:val="18"/>
                <w:szCs w:val="18"/>
                <w:lang w:val="es-ES_tradnl"/>
              </w:rPr>
            </w:pPr>
            <w:r w:rsidRPr="00BA1ECA">
              <w:rPr>
                <w:b/>
                <w:color w:val="000000" w:themeColor="text1"/>
                <w:sz w:val="18"/>
                <w:szCs w:val="18"/>
                <w:lang w:val="es-ES_tradnl"/>
              </w:rPr>
              <w:t>(</w:t>
            </w:r>
            <w:r w:rsidR="00EE5B08" w:rsidRPr="00BA1ECA">
              <w:rPr>
                <w:b/>
                <w:color w:val="000000" w:themeColor="text1"/>
                <w:sz w:val="18"/>
                <w:szCs w:val="18"/>
                <w:lang w:val="es-ES_tradnl"/>
              </w:rPr>
              <w:t>VII)</w:t>
            </w:r>
            <w:r w:rsidR="00A13BEA" w:rsidRPr="00BA1ECA">
              <w:rPr>
                <w:b/>
                <w:color w:val="000000" w:themeColor="text1"/>
                <w:sz w:val="18"/>
                <w:szCs w:val="18"/>
                <w:lang w:val="es-ES_tradnl"/>
              </w:rPr>
              <w:t xml:space="preserve"> </w:t>
            </w:r>
            <w:r w:rsidR="0032375F" w:rsidRPr="0032375F">
              <w:rPr>
                <w:b/>
                <w:color w:val="000000" w:themeColor="text1"/>
                <w:sz w:val="18"/>
                <w:szCs w:val="18"/>
                <w:lang w:val="es-ES_tradnl"/>
              </w:rPr>
              <w:t>SOLICITUD DE FINANCIAMIENTO PARA EL PRIMER TRAMO</w:t>
            </w:r>
            <w:r w:rsidR="00A13BEA" w:rsidRPr="00BA1ECA">
              <w:rPr>
                <w:b/>
                <w:color w:val="000000" w:themeColor="text1"/>
                <w:sz w:val="18"/>
                <w:szCs w:val="18"/>
                <w:lang w:val="es-ES_tradnl"/>
              </w:rPr>
              <w:t xml:space="preserve"> </w:t>
            </w:r>
            <w:r w:rsidR="00A45EE3" w:rsidRPr="00BA1ECA">
              <w:rPr>
                <w:b/>
                <w:color w:val="000000" w:themeColor="text1"/>
                <w:sz w:val="18"/>
                <w:szCs w:val="18"/>
                <w:lang w:val="es-ES_tradnl"/>
              </w:rPr>
              <w:t>(2021</w:t>
            </w:r>
            <w:r w:rsidR="00EE5B08" w:rsidRPr="00BA1ECA">
              <w:rPr>
                <w:b/>
                <w:color w:val="000000" w:themeColor="text1"/>
                <w:sz w:val="18"/>
                <w:szCs w:val="18"/>
                <w:lang w:val="es-ES_tradnl"/>
              </w:rPr>
              <w:t>)</w:t>
            </w:r>
          </w:p>
        </w:tc>
      </w:tr>
      <w:tr w:rsidR="00EE5B08" w:rsidRPr="00BA1ECA" w14:paraId="720014B1" w14:textId="77777777" w:rsidTr="008A16B9">
        <w:trPr>
          <w:trHeight w:hRule="exact" w:val="227"/>
        </w:trPr>
        <w:tc>
          <w:tcPr>
            <w:tcW w:w="1567" w:type="pct"/>
            <w:shd w:val="clear" w:color="auto" w:fill="auto"/>
          </w:tcPr>
          <w:p w14:paraId="4AAB064C" w14:textId="299AC5C7" w:rsidR="00EE5B08" w:rsidRPr="00BA1ECA" w:rsidRDefault="00755C5D" w:rsidP="00E02DF4">
            <w:pPr>
              <w:jc w:val="center"/>
              <w:rPr>
                <w:b/>
                <w:color w:val="000000" w:themeColor="text1"/>
                <w:sz w:val="18"/>
                <w:szCs w:val="18"/>
                <w:lang w:val="es-ES_tradnl"/>
              </w:rPr>
            </w:pPr>
            <w:r w:rsidRPr="00BA1ECA">
              <w:rPr>
                <w:b/>
                <w:color w:val="000000" w:themeColor="text1"/>
                <w:sz w:val="18"/>
                <w:szCs w:val="18"/>
                <w:lang w:val="es-ES_tradnl"/>
              </w:rPr>
              <w:t>Organismo</w:t>
            </w:r>
          </w:p>
        </w:tc>
        <w:tc>
          <w:tcPr>
            <w:tcW w:w="1678" w:type="pct"/>
            <w:shd w:val="clear" w:color="auto" w:fill="auto"/>
          </w:tcPr>
          <w:p w14:paraId="1E1D60D0" w14:textId="59D34C93" w:rsidR="00EE5B08" w:rsidRPr="00BA1ECA" w:rsidRDefault="009374DA" w:rsidP="00E02DF4">
            <w:pPr>
              <w:jc w:val="center"/>
              <w:rPr>
                <w:b/>
                <w:color w:val="000000" w:themeColor="text1"/>
                <w:sz w:val="18"/>
                <w:szCs w:val="18"/>
                <w:lang w:val="es-ES_tradnl"/>
              </w:rPr>
            </w:pPr>
            <w:r w:rsidRPr="00BA1ECA">
              <w:rPr>
                <w:b/>
                <w:color w:val="000000" w:themeColor="text1"/>
                <w:sz w:val="18"/>
                <w:szCs w:val="18"/>
                <w:lang w:val="es-ES_tradnl"/>
              </w:rPr>
              <w:t>Financiamiento</w:t>
            </w:r>
            <w:r w:rsidR="00A13BEA" w:rsidRPr="00BA1ECA">
              <w:rPr>
                <w:b/>
                <w:color w:val="000000" w:themeColor="text1"/>
                <w:sz w:val="18"/>
                <w:szCs w:val="18"/>
                <w:lang w:val="es-ES_tradnl"/>
              </w:rPr>
              <w:t xml:space="preserve"> </w:t>
            </w:r>
            <w:r w:rsidRPr="00BA1ECA">
              <w:rPr>
                <w:b/>
                <w:color w:val="000000" w:themeColor="text1"/>
                <w:sz w:val="18"/>
                <w:szCs w:val="18"/>
                <w:lang w:val="es-ES_tradnl"/>
              </w:rPr>
              <w:t>solicitado</w:t>
            </w:r>
            <w:r w:rsidR="00A13BEA" w:rsidRPr="00BA1ECA">
              <w:rPr>
                <w:b/>
                <w:color w:val="000000" w:themeColor="text1"/>
                <w:sz w:val="18"/>
                <w:szCs w:val="18"/>
                <w:lang w:val="es-ES_tradnl"/>
              </w:rPr>
              <w:t xml:space="preserve"> </w:t>
            </w:r>
            <w:r w:rsidR="00E26F0F" w:rsidRPr="00BA1ECA">
              <w:rPr>
                <w:b/>
                <w:color w:val="000000" w:themeColor="text1"/>
                <w:sz w:val="18"/>
                <w:szCs w:val="18"/>
                <w:lang w:val="es-ES_tradnl"/>
              </w:rPr>
              <w:t>($EUA)</w:t>
            </w:r>
          </w:p>
        </w:tc>
        <w:tc>
          <w:tcPr>
            <w:tcW w:w="1755" w:type="pct"/>
            <w:shd w:val="clear" w:color="auto" w:fill="auto"/>
          </w:tcPr>
          <w:p w14:paraId="6817BED0" w14:textId="50FD9159" w:rsidR="00EE5B08" w:rsidRPr="00BA1ECA" w:rsidRDefault="00755C5D" w:rsidP="00E02DF4">
            <w:pPr>
              <w:jc w:val="center"/>
              <w:rPr>
                <w:b/>
                <w:color w:val="000000" w:themeColor="text1"/>
                <w:sz w:val="18"/>
                <w:szCs w:val="18"/>
                <w:lang w:val="es-ES_tradnl"/>
              </w:rPr>
            </w:pPr>
            <w:r w:rsidRPr="00BA1ECA">
              <w:rPr>
                <w:b/>
                <w:color w:val="000000" w:themeColor="text1"/>
                <w:sz w:val="18"/>
                <w:szCs w:val="18"/>
                <w:lang w:val="es-ES_tradnl"/>
              </w:rPr>
              <w:t>Gastos</w:t>
            </w:r>
            <w:r w:rsidR="00A13BEA" w:rsidRPr="00BA1ECA">
              <w:rPr>
                <w:b/>
                <w:color w:val="000000" w:themeColor="text1"/>
                <w:sz w:val="18"/>
                <w:szCs w:val="18"/>
                <w:lang w:val="es-ES_tradnl"/>
              </w:rPr>
              <w:t xml:space="preserve"> </w:t>
            </w:r>
            <w:r w:rsidRPr="00BA1ECA">
              <w:rPr>
                <w:b/>
                <w:color w:val="000000" w:themeColor="text1"/>
                <w:sz w:val="18"/>
                <w:szCs w:val="18"/>
                <w:lang w:val="es-ES_tradnl"/>
              </w:rPr>
              <w:t>de</w:t>
            </w:r>
            <w:r w:rsidR="00A13BEA" w:rsidRPr="00BA1ECA">
              <w:rPr>
                <w:b/>
                <w:color w:val="000000" w:themeColor="text1"/>
                <w:sz w:val="18"/>
                <w:szCs w:val="18"/>
                <w:lang w:val="es-ES_tradnl"/>
              </w:rPr>
              <w:t xml:space="preserve"> </w:t>
            </w:r>
            <w:r w:rsidRPr="00BA1ECA">
              <w:rPr>
                <w:b/>
                <w:color w:val="000000" w:themeColor="text1"/>
                <w:sz w:val="18"/>
                <w:szCs w:val="18"/>
                <w:lang w:val="es-ES_tradnl"/>
              </w:rPr>
              <w:t>apoyo</w:t>
            </w:r>
            <w:r w:rsidR="00A13BEA" w:rsidRPr="00BA1ECA">
              <w:rPr>
                <w:b/>
                <w:color w:val="000000" w:themeColor="text1"/>
                <w:sz w:val="18"/>
                <w:szCs w:val="18"/>
                <w:lang w:val="es-ES_tradnl"/>
              </w:rPr>
              <w:t xml:space="preserve"> </w:t>
            </w:r>
            <w:r w:rsidR="00E26F0F" w:rsidRPr="00BA1ECA">
              <w:rPr>
                <w:b/>
                <w:color w:val="000000" w:themeColor="text1"/>
                <w:sz w:val="18"/>
                <w:szCs w:val="18"/>
                <w:lang w:val="es-ES_tradnl"/>
              </w:rPr>
              <w:t>($EUA)</w:t>
            </w:r>
          </w:p>
        </w:tc>
      </w:tr>
      <w:tr w:rsidR="00EE5B08" w:rsidRPr="00BA1ECA" w14:paraId="11C93454" w14:textId="77777777" w:rsidTr="008A16B9">
        <w:trPr>
          <w:trHeight w:hRule="exact" w:val="227"/>
        </w:trPr>
        <w:tc>
          <w:tcPr>
            <w:tcW w:w="1567" w:type="pct"/>
            <w:shd w:val="clear" w:color="auto" w:fill="auto"/>
          </w:tcPr>
          <w:p w14:paraId="0826B00F" w14:textId="267709F9" w:rsidR="00EE5B08" w:rsidRPr="00BA1ECA" w:rsidRDefault="001A4F35" w:rsidP="004964C1">
            <w:pPr>
              <w:rPr>
                <w:color w:val="000000" w:themeColor="text1"/>
                <w:sz w:val="18"/>
                <w:szCs w:val="18"/>
                <w:lang w:val="es-ES_tradnl"/>
              </w:rPr>
            </w:pPr>
            <w:r w:rsidRPr="00BA1ECA">
              <w:rPr>
                <w:color w:val="000000" w:themeColor="text1"/>
                <w:sz w:val="18"/>
                <w:szCs w:val="18"/>
                <w:lang w:val="es-ES_tradnl"/>
              </w:rPr>
              <w:t>PNUMA</w:t>
            </w:r>
          </w:p>
        </w:tc>
        <w:tc>
          <w:tcPr>
            <w:tcW w:w="1678" w:type="pct"/>
            <w:shd w:val="clear" w:color="auto" w:fill="auto"/>
          </w:tcPr>
          <w:p w14:paraId="4F3CD656" w14:textId="12444D6D" w:rsidR="00EE5B08" w:rsidRPr="00BA1ECA" w:rsidRDefault="00D05E4B" w:rsidP="00FB0276">
            <w:pPr>
              <w:jc w:val="right"/>
              <w:rPr>
                <w:color w:val="000000" w:themeColor="text1"/>
                <w:sz w:val="18"/>
                <w:szCs w:val="18"/>
                <w:lang w:val="es-ES_tradnl"/>
              </w:rPr>
            </w:pPr>
            <w:r w:rsidRPr="00BA1ECA">
              <w:rPr>
                <w:color w:val="000000" w:themeColor="text1"/>
                <w:sz w:val="18"/>
                <w:szCs w:val="18"/>
                <w:lang w:val="es-ES_tradnl"/>
              </w:rPr>
              <w:t>3</w:t>
            </w:r>
            <w:r w:rsidR="00FB0276" w:rsidRPr="00BA1ECA">
              <w:rPr>
                <w:color w:val="000000" w:themeColor="text1"/>
                <w:sz w:val="18"/>
                <w:szCs w:val="18"/>
                <w:lang w:val="es-ES_tradnl"/>
              </w:rPr>
              <w:t>3</w:t>
            </w:r>
            <w:r w:rsidR="009374DA" w:rsidRPr="00BA1ECA">
              <w:rPr>
                <w:color w:val="000000" w:themeColor="text1"/>
                <w:sz w:val="18"/>
                <w:szCs w:val="18"/>
                <w:lang w:val="es-ES_tradnl"/>
              </w:rPr>
              <w:t>5.</w:t>
            </w:r>
            <w:r w:rsidRPr="00BA1ECA">
              <w:rPr>
                <w:color w:val="000000" w:themeColor="text1"/>
                <w:sz w:val="18"/>
                <w:szCs w:val="18"/>
                <w:lang w:val="es-ES_tradnl"/>
              </w:rPr>
              <w:t>000</w:t>
            </w:r>
          </w:p>
        </w:tc>
        <w:tc>
          <w:tcPr>
            <w:tcW w:w="1755" w:type="pct"/>
            <w:shd w:val="clear" w:color="auto" w:fill="auto"/>
          </w:tcPr>
          <w:p w14:paraId="6BF7857E" w14:textId="0F04D7BF" w:rsidR="00EE5B08" w:rsidRPr="00BA1ECA" w:rsidRDefault="00D05E4B" w:rsidP="00FB0276">
            <w:pPr>
              <w:jc w:val="right"/>
              <w:rPr>
                <w:color w:val="000000" w:themeColor="text1"/>
                <w:sz w:val="18"/>
                <w:szCs w:val="18"/>
                <w:lang w:val="es-ES_tradnl"/>
              </w:rPr>
            </w:pPr>
            <w:r w:rsidRPr="00BA1ECA">
              <w:rPr>
                <w:color w:val="000000" w:themeColor="text1"/>
                <w:sz w:val="18"/>
                <w:szCs w:val="18"/>
                <w:lang w:val="es-ES_tradnl"/>
              </w:rPr>
              <w:t>3</w:t>
            </w:r>
            <w:r w:rsidR="009374DA" w:rsidRPr="00BA1ECA">
              <w:rPr>
                <w:color w:val="000000" w:themeColor="text1"/>
                <w:sz w:val="18"/>
                <w:szCs w:val="18"/>
                <w:lang w:val="es-ES_tradnl"/>
              </w:rPr>
              <w:t>8.</w:t>
            </w:r>
            <w:r w:rsidR="00FB0276" w:rsidRPr="00BA1ECA">
              <w:rPr>
                <w:color w:val="000000" w:themeColor="text1"/>
                <w:sz w:val="18"/>
                <w:szCs w:val="18"/>
                <w:lang w:val="es-ES_tradnl"/>
              </w:rPr>
              <w:t>671</w:t>
            </w:r>
          </w:p>
        </w:tc>
      </w:tr>
      <w:tr w:rsidR="00EE5B08" w:rsidRPr="00BA1ECA" w14:paraId="5FF4F7A5" w14:textId="77777777" w:rsidTr="008A16B9">
        <w:trPr>
          <w:trHeight w:hRule="exact" w:val="227"/>
        </w:trPr>
        <w:tc>
          <w:tcPr>
            <w:tcW w:w="1567" w:type="pct"/>
            <w:shd w:val="clear" w:color="auto" w:fill="auto"/>
          </w:tcPr>
          <w:p w14:paraId="6EE9303D" w14:textId="6FA6FAA0" w:rsidR="00EE5B08" w:rsidRPr="00BA1ECA" w:rsidRDefault="001A4F35" w:rsidP="00E02DF4">
            <w:pPr>
              <w:rPr>
                <w:color w:val="000000" w:themeColor="text1"/>
                <w:sz w:val="18"/>
                <w:szCs w:val="18"/>
                <w:u w:val="single"/>
                <w:lang w:val="es-ES_tradnl"/>
              </w:rPr>
            </w:pPr>
            <w:r w:rsidRPr="00BA1ECA">
              <w:rPr>
                <w:color w:val="000000" w:themeColor="text1"/>
                <w:sz w:val="18"/>
                <w:szCs w:val="18"/>
                <w:u w:val="single"/>
                <w:lang w:val="es-ES_tradnl"/>
              </w:rPr>
              <w:t>ONUDI</w:t>
            </w:r>
          </w:p>
        </w:tc>
        <w:tc>
          <w:tcPr>
            <w:tcW w:w="1678" w:type="pct"/>
            <w:shd w:val="clear" w:color="auto" w:fill="auto"/>
          </w:tcPr>
          <w:p w14:paraId="02EC7712" w14:textId="7AA7ED5D" w:rsidR="00EE5B08" w:rsidRPr="00BA1ECA" w:rsidRDefault="00D05E4B" w:rsidP="00E02DF4">
            <w:pPr>
              <w:jc w:val="right"/>
              <w:rPr>
                <w:color w:val="000000" w:themeColor="text1"/>
                <w:sz w:val="18"/>
                <w:szCs w:val="18"/>
                <w:lang w:val="es-ES_tradnl"/>
              </w:rPr>
            </w:pPr>
            <w:r w:rsidRPr="00BA1ECA">
              <w:rPr>
                <w:color w:val="000000" w:themeColor="text1"/>
                <w:sz w:val="18"/>
                <w:szCs w:val="18"/>
                <w:lang w:val="es-ES_tradnl"/>
              </w:rPr>
              <w:t>2</w:t>
            </w:r>
            <w:r w:rsidR="009374DA" w:rsidRPr="00BA1ECA">
              <w:rPr>
                <w:color w:val="000000" w:themeColor="text1"/>
                <w:sz w:val="18"/>
                <w:szCs w:val="18"/>
                <w:lang w:val="es-ES_tradnl"/>
              </w:rPr>
              <w:t>5.</w:t>
            </w:r>
            <w:r w:rsidRPr="00BA1ECA">
              <w:rPr>
                <w:color w:val="000000" w:themeColor="text1"/>
                <w:sz w:val="18"/>
                <w:szCs w:val="18"/>
                <w:lang w:val="es-ES_tradnl"/>
              </w:rPr>
              <w:t>000</w:t>
            </w:r>
          </w:p>
        </w:tc>
        <w:tc>
          <w:tcPr>
            <w:tcW w:w="1755" w:type="pct"/>
            <w:shd w:val="clear" w:color="auto" w:fill="auto"/>
          </w:tcPr>
          <w:p w14:paraId="44A09806" w14:textId="623ED7A9" w:rsidR="00EE5B08" w:rsidRPr="00BA1ECA" w:rsidRDefault="00755C5D" w:rsidP="00EE5B08">
            <w:pPr>
              <w:jc w:val="right"/>
              <w:rPr>
                <w:color w:val="000000" w:themeColor="text1"/>
                <w:sz w:val="18"/>
                <w:szCs w:val="18"/>
                <w:lang w:val="es-ES_tradnl"/>
              </w:rPr>
            </w:pPr>
            <w:r w:rsidRPr="00BA1ECA">
              <w:rPr>
                <w:color w:val="000000" w:themeColor="text1"/>
                <w:sz w:val="18"/>
                <w:szCs w:val="18"/>
                <w:lang w:val="es-ES_tradnl"/>
              </w:rPr>
              <w:t>1.</w:t>
            </w:r>
            <w:r w:rsidR="00D05E4B" w:rsidRPr="00BA1ECA">
              <w:rPr>
                <w:color w:val="000000" w:themeColor="text1"/>
                <w:sz w:val="18"/>
                <w:szCs w:val="18"/>
                <w:lang w:val="es-ES_tradnl"/>
              </w:rPr>
              <w:t>750</w:t>
            </w:r>
          </w:p>
        </w:tc>
      </w:tr>
      <w:tr w:rsidR="00B257BB" w:rsidRPr="00BA1ECA" w14:paraId="559CC72F" w14:textId="77777777" w:rsidTr="008A16B9">
        <w:trPr>
          <w:trHeight w:hRule="exact" w:val="227"/>
        </w:trPr>
        <w:tc>
          <w:tcPr>
            <w:tcW w:w="1567" w:type="pct"/>
            <w:shd w:val="clear" w:color="auto" w:fill="auto"/>
          </w:tcPr>
          <w:p w14:paraId="53CD6123" w14:textId="77777777" w:rsidR="00B257BB" w:rsidRPr="00BA1ECA" w:rsidRDefault="00B257BB" w:rsidP="00E02DF4">
            <w:pPr>
              <w:rPr>
                <w:color w:val="000000" w:themeColor="text1"/>
                <w:sz w:val="18"/>
                <w:szCs w:val="18"/>
                <w:highlight w:val="cyan"/>
                <w:lang w:val="es-ES_tradnl"/>
              </w:rPr>
            </w:pPr>
            <w:r w:rsidRPr="00BA1ECA">
              <w:rPr>
                <w:color w:val="000000" w:themeColor="text1"/>
                <w:sz w:val="18"/>
                <w:szCs w:val="18"/>
                <w:lang w:val="es-ES_tradnl"/>
              </w:rPr>
              <w:t>Total</w:t>
            </w:r>
          </w:p>
        </w:tc>
        <w:tc>
          <w:tcPr>
            <w:tcW w:w="1678" w:type="pct"/>
            <w:shd w:val="clear" w:color="auto" w:fill="auto"/>
          </w:tcPr>
          <w:p w14:paraId="091460A6" w14:textId="05F15694" w:rsidR="00B257BB" w:rsidRPr="00BA1ECA" w:rsidRDefault="00D05E4B" w:rsidP="00FB0276">
            <w:pPr>
              <w:jc w:val="right"/>
              <w:rPr>
                <w:color w:val="000000" w:themeColor="text1"/>
                <w:sz w:val="18"/>
                <w:szCs w:val="18"/>
                <w:lang w:val="es-ES_tradnl"/>
              </w:rPr>
            </w:pPr>
            <w:r w:rsidRPr="00BA1ECA">
              <w:rPr>
                <w:color w:val="000000" w:themeColor="text1"/>
                <w:sz w:val="18"/>
                <w:szCs w:val="18"/>
                <w:lang w:val="es-ES_tradnl"/>
              </w:rPr>
              <w:t>3</w:t>
            </w:r>
            <w:r w:rsidR="00FB0276" w:rsidRPr="00BA1ECA">
              <w:rPr>
                <w:color w:val="000000" w:themeColor="text1"/>
                <w:sz w:val="18"/>
                <w:szCs w:val="18"/>
                <w:lang w:val="es-ES_tradnl"/>
              </w:rPr>
              <w:t>6</w:t>
            </w:r>
            <w:r w:rsidR="00755C5D" w:rsidRPr="00BA1ECA">
              <w:rPr>
                <w:color w:val="000000" w:themeColor="text1"/>
                <w:sz w:val="18"/>
                <w:szCs w:val="18"/>
                <w:lang w:val="es-ES_tradnl"/>
              </w:rPr>
              <w:t>0.</w:t>
            </w:r>
            <w:r w:rsidRPr="00BA1ECA">
              <w:rPr>
                <w:color w:val="000000" w:themeColor="text1"/>
                <w:sz w:val="18"/>
                <w:szCs w:val="18"/>
                <w:lang w:val="es-ES_tradnl"/>
              </w:rPr>
              <w:t>000</w:t>
            </w:r>
          </w:p>
        </w:tc>
        <w:tc>
          <w:tcPr>
            <w:tcW w:w="1755" w:type="pct"/>
            <w:shd w:val="clear" w:color="auto" w:fill="auto"/>
          </w:tcPr>
          <w:p w14:paraId="6DCC671D" w14:textId="26479202" w:rsidR="00B257BB" w:rsidRPr="00BA1ECA" w:rsidRDefault="00FB0276" w:rsidP="00FB0276">
            <w:pPr>
              <w:jc w:val="right"/>
              <w:rPr>
                <w:color w:val="000000" w:themeColor="text1"/>
                <w:sz w:val="18"/>
                <w:szCs w:val="18"/>
                <w:lang w:val="es-ES_tradnl"/>
              </w:rPr>
            </w:pPr>
            <w:r w:rsidRPr="00BA1ECA">
              <w:rPr>
                <w:color w:val="000000" w:themeColor="text1"/>
                <w:sz w:val="18"/>
                <w:szCs w:val="18"/>
                <w:lang w:val="es-ES_tradnl"/>
              </w:rPr>
              <w:t>4</w:t>
            </w:r>
            <w:r w:rsidR="00755C5D" w:rsidRPr="00BA1ECA">
              <w:rPr>
                <w:color w:val="000000" w:themeColor="text1"/>
                <w:sz w:val="18"/>
                <w:szCs w:val="18"/>
                <w:lang w:val="es-ES_tradnl"/>
              </w:rPr>
              <w:t>0.</w:t>
            </w:r>
            <w:r w:rsidRPr="00BA1ECA">
              <w:rPr>
                <w:color w:val="000000" w:themeColor="text1"/>
                <w:sz w:val="18"/>
                <w:szCs w:val="18"/>
                <w:lang w:val="es-ES_tradnl"/>
              </w:rPr>
              <w:t>421</w:t>
            </w:r>
          </w:p>
        </w:tc>
      </w:tr>
    </w:tbl>
    <w:p w14:paraId="7A923574" w14:textId="77777777" w:rsidR="00EE5B08" w:rsidRPr="00BA1ECA" w:rsidRDefault="00EE5B08" w:rsidP="00EE5B08">
      <w:pPr>
        <w:ind w:left="-567"/>
        <w:rPr>
          <w:sz w:val="18"/>
          <w:szCs w:val="18"/>
          <w:lang w:val="es-ES_tradnl"/>
        </w:rPr>
      </w:pPr>
    </w:p>
    <w:tbl>
      <w:tblPr>
        <w:tblStyle w:val="TableGrid"/>
        <w:tblW w:w="5309" w:type="pct"/>
        <w:tblInd w:w="-572" w:type="dxa"/>
        <w:tblLook w:val="04A0" w:firstRow="1" w:lastRow="0" w:firstColumn="1" w:lastColumn="0" w:noHBand="0" w:noVBand="1"/>
      </w:tblPr>
      <w:tblGrid>
        <w:gridCol w:w="3121"/>
        <w:gridCol w:w="6807"/>
      </w:tblGrid>
      <w:tr w:rsidR="00EE5B08" w:rsidRPr="00BA1ECA" w14:paraId="5A642A2D" w14:textId="77777777" w:rsidTr="00E02DF4">
        <w:trPr>
          <w:trHeight w:hRule="exact" w:val="281"/>
        </w:trPr>
        <w:tc>
          <w:tcPr>
            <w:tcW w:w="1572" w:type="pct"/>
            <w:shd w:val="clear" w:color="auto" w:fill="auto"/>
          </w:tcPr>
          <w:p w14:paraId="5619AC1C" w14:textId="71F26683" w:rsidR="00EE5B08" w:rsidRPr="00BA1ECA" w:rsidRDefault="00755C5D" w:rsidP="00E02DF4">
            <w:pPr>
              <w:jc w:val="left"/>
              <w:rPr>
                <w:b/>
                <w:color w:val="000000" w:themeColor="text1"/>
                <w:sz w:val="18"/>
                <w:szCs w:val="18"/>
                <w:lang w:val="es-ES_tradnl"/>
              </w:rPr>
            </w:pPr>
            <w:r w:rsidRPr="00BA1ECA">
              <w:rPr>
                <w:b/>
                <w:color w:val="000000" w:themeColor="text1"/>
                <w:sz w:val="18"/>
                <w:szCs w:val="18"/>
                <w:lang w:val="es-ES_tradnl"/>
              </w:rPr>
              <w:t>Recomendación</w:t>
            </w:r>
            <w:r w:rsidR="00A13BEA" w:rsidRPr="00BA1ECA">
              <w:rPr>
                <w:b/>
                <w:color w:val="000000" w:themeColor="text1"/>
                <w:sz w:val="18"/>
                <w:szCs w:val="18"/>
                <w:lang w:val="es-ES_tradnl"/>
              </w:rPr>
              <w:t xml:space="preserve"> </w:t>
            </w:r>
            <w:r w:rsidRPr="00BA1ECA">
              <w:rPr>
                <w:b/>
                <w:color w:val="000000" w:themeColor="text1"/>
                <w:sz w:val="18"/>
                <w:szCs w:val="18"/>
                <w:lang w:val="es-ES_tradnl"/>
              </w:rPr>
              <w:t>de</w:t>
            </w:r>
            <w:r w:rsidR="00A13BEA" w:rsidRPr="00BA1ECA">
              <w:rPr>
                <w:b/>
                <w:color w:val="000000" w:themeColor="text1"/>
                <w:sz w:val="18"/>
                <w:szCs w:val="18"/>
                <w:lang w:val="es-ES_tradnl"/>
              </w:rPr>
              <w:t xml:space="preserve"> </w:t>
            </w:r>
            <w:r w:rsidRPr="00BA1ECA">
              <w:rPr>
                <w:b/>
                <w:color w:val="000000" w:themeColor="text1"/>
                <w:sz w:val="18"/>
                <w:szCs w:val="18"/>
                <w:lang w:val="es-ES_tradnl"/>
              </w:rPr>
              <w:t>la</w:t>
            </w:r>
            <w:r w:rsidR="00A13BEA" w:rsidRPr="00BA1ECA">
              <w:rPr>
                <w:b/>
                <w:color w:val="000000" w:themeColor="text1"/>
                <w:sz w:val="18"/>
                <w:szCs w:val="18"/>
                <w:lang w:val="es-ES_tradnl"/>
              </w:rPr>
              <w:t xml:space="preserve"> </w:t>
            </w:r>
            <w:r w:rsidRPr="00BA1ECA">
              <w:rPr>
                <w:b/>
                <w:color w:val="000000" w:themeColor="text1"/>
                <w:sz w:val="18"/>
                <w:szCs w:val="18"/>
                <w:lang w:val="es-ES_tradnl"/>
              </w:rPr>
              <w:t>Secretaría</w:t>
            </w:r>
            <w:r w:rsidR="00EE5B08" w:rsidRPr="00BA1ECA">
              <w:rPr>
                <w:b/>
                <w:color w:val="000000" w:themeColor="text1"/>
                <w:sz w:val="18"/>
                <w:szCs w:val="18"/>
                <w:lang w:val="es-ES_tradnl"/>
              </w:rPr>
              <w:t>:</w:t>
            </w:r>
          </w:p>
        </w:tc>
        <w:tc>
          <w:tcPr>
            <w:tcW w:w="3428" w:type="pct"/>
            <w:shd w:val="clear" w:color="auto" w:fill="auto"/>
          </w:tcPr>
          <w:p w14:paraId="31EC8983" w14:textId="4226C1BF" w:rsidR="00EE5B08" w:rsidRPr="00BA1ECA" w:rsidRDefault="00755C5D">
            <w:pPr>
              <w:jc w:val="center"/>
              <w:rPr>
                <w:color w:val="000000" w:themeColor="text1"/>
                <w:sz w:val="18"/>
                <w:szCs w:val="18"/>
                <w:lang w:val="es-ES_tradnl"/>
              </w:rPr>
            </w:pPr>
            <w:r w:rsidRPr="00BA1ECA">
              <w:rPr>
                <w:color w:val="000000" w:themeColor="text1"/>
                <w:sz w:val="18"/>
                <w:szCs w:val="18"/>
                <w:lang w:val="es-ES_tradnl"/>
              </w:rPr>
              <w:t>Para</w:t>
            </w:r>
            <w:r w:rsidR="00A13BEA" w:rsidRPr="00BA1ECA">
              <w:rPr>
                <w:color w:val="000000" w:themeColor="text1"/>
                <w:sz w:val="18"/>
                <w:szCs w:val="18"/>
                <w:lang w:val="es-ES_tradnl"/>
              </w:rPr>
              <w:t xml:space="preserve"> </w:t>
            </w:r>
            <w:r w:rsidRPr="00BA1ECA">
              <w:rPr>
                <w:color w:val="000000" w:themeColor="text1"/>
                <w:sz w:val="18"/>
                <w:szCs w:val="18"/>
                <w:lang w:val="es-ES_tradnl"/>
              </w:rPr>
              <w:t>consideración</w:t>
            </w:r>
            <w:r w:rsidR="00A13BEA" w:rsidRPr="00BA1ECA">
              <w:rPr>
                <w:color w:val="000000" w:themeColor="text1"/>
                <w:sz w:val="18"/>
                <w:szCs w:val="18"/>
                <w:lang w:val="es-ES_tradnl"/>
              </w:rPr>
              <w:t xml:space="preserve"> </w:t>
            </w:r>
            <w:r w:rsidRPr="00BA1ECA">
              <w:rPr>
                <w:color w:val="000000" w:themeColor="text1"/>
                <w:sz w:val="18"/>
                <w:szCs w:val="18"/>
                <w:lang w:val="es-ES_tradnl"/>
              </w:rPr>
              <w:t>individual</w:t>
            </w:r>
          </w:p>
        </w:tc>
      </w:tr>
    </w:tbl>
    <w:p w14:paraId="4FB2D40B" w14:textId="77777777" w:rsidR="00D42A14" w:rsidRPr="00B924EB" w:rsidRDefault="00D42A14">
      <w:pPr>
        <w:jc w:val="left"/>
        <w:rPr>
          <w:lang w:val="es-ES_tradnl"/>
        </w:rPr>
      </w:pPr>
      <w:r w:rsidRPr="00B924EB">
        <w:rPr>
          <w:lang w:val="es-ES_tradnl"/>
        </w:rPr>
        <w:br w:type="page"/>
      </w:r>
    </w:p>
    <w:p w14:paraId="1A7D7FB7" w14:textId="642C6744" w:rsidR="00C679D6" w:rsidRPr="00B924EB" w:rsidRDefault="00755C5D" w:rsidP="00C679D6">
      <w:pPr>
        <w:pStyle w:val="StyleHeader4Para4Left0Firstline0"/>
        <w:numPr>
          <w:ilvl w:val="0"/>
          <w:numId w:val="0"/>
        </w:numPr>
        <w:jc w:val="center"/>
        <w:rPr>
          <w:b/>
          <w:sz w:val="22"/>
          <w:lang w:val="es-ES_tradnl"/>
        </w:rPr>
      </w:pPr>
      <w:r w:rsidRPr="00B924EB">
        <w:rPr>
          <w:b/>
          <w:sz w:val="22"/>
          <w:lang w:val="es-ES_tradnl"/>
        </w:rPr>
        <w:lastRenderedPageBreak/>
        <w:t>DESCRIPCIÓN</w:t>
      </w:r>
      <w:r w:rsidR="00A13BEA" w:rsidRPr="00B924EB">
        <w:rPr>
          <w:b/>
          <w:sz w:val="22"/>
          <w:lang w:val="es-ES_tradnl"/>
        </w:rPr>
        <w:t xml:space="preserve"> </w:t>
      </w:r>
      <w:r w:rsidRPr="00B924EB">
        <w:rPr>
          <w:b/>
          <w:sz w:val="22"/>
          <w:lang w:val="es-ES_tradnl"/>
        </w:rPr>
        <w:t>DEL</w:t>
      </w:r>
      <w:r w:rsidR="00A13BEA" w:rsidRPr="00B924EB">
        <w:rPr>
          <w:b/>
          <w:sz w:val="22"/>
          <w:lang w:val="es-ES_tradnl"/>
        </w:rPr>
        <w:t xml:space="preserve"> </w:t>
      </w:r>
      <w:r w:rsidRPr="00B924EB">
        <w:rPr>
          <w:b/>
          <w:sz w:val="22"/>
          <w:lang w:val="es-ES_tradnl"/>
        </w:rPr>
        <w:t>PROYECTO</w:t>
      </w:r>
    </w:p>
    <w:p w14:paraId="5B996187" w14:textId="3763833F" w:rsidR="00C679D6" w:rsidRPr="00B924EB" w:rsidRDefault="000521A3" w:rsidP="00C679D6">
      <w:pPr>
        <w:rPr>
          <w:b/>
          <w:lang w:val="es-ES_tradnl"/>
        </w:rPr>
      </w:pPr>
      <w:r w:rsidRPr="00B924EB">
        <w:rPr>
          <w:b/>
          <w:lang w:val="es-ES_tradnl"/>
        </w:rPr>
        <w:t>Antecedentes</w:t>
      </w:r>
    </w:p>
    <w:p w14:paraId="263F4DEA" w14:textId="77777777" w:rsidR="00C679D6" w:rsidRPr="00B924EB" w:rsidRDefault="00C679D6" w:rsidP="00C679D6">
      <w:pPr>
        <w:rPr>
          <w:lang w:val="es-ES_tradnl"/>
        </w:rPr>
      </w:pPr>
    </w:p>
    <w:p w14:paraId="01A4D42E" w14:textId="419B20FF" w:rsidR="000521A3" w:rsidRPr="00B924EB" w:rsidRDefault="00755C5D" w:rsidP="002203B6">
      <w:pPr>
        <w:pStyle w:val="Heading1"/>
        <w:rPr>
          <w:lang w:val="es-ES_tradnl"/>
        </w:rPr>
      </w:pPr>
      <w:r w:rsidRPr="00B924EB">
        <w:rPr>
          <w:lang w:val="es-ES_tradnl"/>
        </w:rPr>
        <w:t>A</w:t>
      </w:r>
      <w:r w:rsidR="00A13BEA" w:rsidRPr="00B924EB">
        <w:rPr>
          <w:lang w:val="es-ES_tradnl"/>
        </w:rPr>
        <w:t xml:space="preserve"> </w:t>
      </w:r>
      <w:r w:rsidRPr="00B924EB">
        <w:rPr>
          <w:lang w:val="es-ES_tradnl"/>
        </w:rPr>
        <w:t>nombre</w:t>
      </w:r>
      <w:r w:rsidR="00A13BEA" w:rsidRPr="00B924EB">
        <w:rPr>
          <w:lang w:val="es-ES_tradnl"/>
        </w:rPr>
        <w:t xml:space="preserve"> </w:t>
      </w:r>
      <w:r w:rsidRPr="00B924EB">
        <w:rPr>
          <w:lang w:val="es-ES_tradnl"/>
        </w:rPr>
        <w:t>del</w:t>
      </w:r>
      <w:r w:rsidR="00A13BEA" w:rsidRPr="00B924EB">
        <w:rPr>
          <w:lang w:val="es-ES_tradnl"/>
        </w:rPr>
        <w:t xml:space="preserve"> </w:t>
      </w:r>
      <w:r w:rsidRPr="00B924EB">
        <w:rPr>
          <w:lang w:val="es-ES_tradnl"/>
        </w:rPr>
        <w:t>Gobierno</w:t>
      </w:r>
      <w:r w:rsidR="00A13BEA" w:rsidRPr="00B924EB">
        <w:rPr>
          <w:lang w:val="es-ES_tradnl"/>
        </w:rPr>
        <w:t xml:space="preserve"> </w:t>
      </w:r>
      <w:r w:rsidRPr="00B924EB">
        <w:rPr>
          <w:lang w:val="es-ES_tradnl"/>
        </w:rPr>
        <w:t>de</w:t>
      </w:r>
      <w:r w:rsidR="00A13BEA" w:rsidRPr="00B924EB">
        <w:rPr>
          <w:lang w:val="es-ES_tradnl"/>
        </w:rPr>
        <w:t xml:space="preserve"> </w:t>
      </w:r>
      <w:r w:rsidR="000435DB" w:rsidRPr="00B924EB">
        <w:rPr>
          <w:lang w:val="es-ES_tradnl"/>
        </w:rPr>
        <w:t>Iraq</w:t>
      </w:r>
      <w:r w:rsidR="00197D03" w:rsidRPr="00B924EB">
        <w:rPr>
          <w:lang w:val="es-ES_tradnl"/>
        </w:rPr>
        <w:t>,</w:t>
      </w:r>
      <w:r w:rsidR="00A13BEA" w:rsidRPr="00B924EB">
        <w:rPr>
          <w:lang w:val="es-ES_tradnl"/>
        </w:rPr>
        <w:t xml:space="preserve"> </w:t>
      </w:r>
      <w:r w:rsidRPr="00B924EB">
        <w:rPr>
          <w:lang w:val="es-ES_tradnl"/>
        </w:rPr>
        <w:t>el</w:t>
      </w:r>
      <w:r w:rsidR="00A13BEA" w:rsidRPr="00B924EB">
        <w:rPr>
          <w:lang w:val="es-ES_tradnl"/>
        </w:rPr>
        <w:t xml:space="preserve"> </w:t>
      </w:r>
      <w:r w:rsidR="00F63E3D">
        <w:rPr>
          <w:lang w:val="es-ES_tradnl"/>
        </w:rPr>
        <w:t xml:space="preserve">PNUMA, </w:t>
      </w:r>
      <w:r w:rsidR="005E1320" w:rsidRPr="00B924EB">
        <w:rPr>
          <w:lang w:val="es-ES_tradnl"/>
        </w:rPr>
        <w:t>en</w:t>
      </w:r>
      <w:r w:rsidR="00A13BEA" w:rsidRPr="00B924EB">
        <w:rPr>
          <w:lang w:val="es-ES_tradnl"/>
        </w:rPr>
        <w:t xml:space="preserve"> </w:t>
      </w:r>
      <w:r w:rsidR="005E1320" w:rsidRPr="00B924EB">
        <w:rPr>
          <w:lang w:val="es-ES_tradnl"/>
        </w:rPr>
        <w:t>calidad</w:t>
      </w:r>
      <w:r w:rsidR="00A13BEA" w:rsidRPr="00B924EB">
        <w:rPr>
          <w:lang w:val="es-ES_tradnl"/>
        </w:rPr>
        <w:t xml:space="preserve"> </w:t>
      </w:r>
      <w:r w:rsidR="005E1320" w:rsidRPr="00B924EB">
        <w:rPr>
          <w:lang w:val="es-ES_tradnl"/>
        </w:rPr>
        <w:t>de</w:t>
      </w:r>
      <w:r w:rsidR="00A13BEA" w:rsidRPr="00B924EB">
        <w:rPr>
          <w:lang w:val="es-ES_tradnl"/>
        </w:rPr>
        <w:t xml:space="preserve"> </w:t>
      </w:r>
      <w:r w:rsidR="005E1320" w:rsidRPr="00B924EB">
        <w:rPr>
          <w:lang w:val="es-ES_tradnl"/>
        </w:rPr>
        <w:t>principal</w:t>
      </w:r>
      <w:r w:rsidR="00A13BEA" w:rsidRPr="00B924EB">
        <w:rPr>
          <w:lang w:val="es-ES_tradnl"/>
        </w:rPr>
        <w:t xml:space="preserve"> </w:t>
      </w:r>
      <w:r w:rsidR="005E1320" w:rsidRPr="00B924EB">
        <w:rPr>
          <w:lang w:val="es-ES_tradnl"/>
        </w:rPr>
        <w:t>organismo</w:t>
      </w:r>
      <w:r w:rsidR="00A13BEA" w:rsidRPr="00B924EB">
        <w:rPr>
          <w:lang w:val="es-ES_tradnl"/>
        </w:rPr>
        <w:t xml:space="preserve"> </w:t>
      </w:r>
      <w:r w:rsidR="004B0CA3" w:rsidRPr="00B924EB">
        <w:rPr>
          <w:lang w:val="es-ES_tradnl"/>
        </w:rPr>
        <w:t>de</w:t>
      </w:r>
      <w:r w:rsidR="00A13BEA" w:rsidRPr="00B924EB">
        <w:rPr>
          <w:lang w:val="es-ES_tradnl"/>
        </w:rPr>
        <w:t xml:space="preserve"> </w:t>
      </w:r>
      <w:r w:rsidR="004B0CA3" w:rsidRPr="00B924EB">
        <w:rPr>
          <w:lang w:val="es-ES_tradnl"/>
        </w:rPr>
        <w:t>ejecución</w:t>
      </w:r>
      <w:r w:rsidR="00393B7A">
        <w:rPr>
          <w:lang w:val="es-ES_tradnl"/>
        </w:rPr>
        <w:t>,</w:t>
      </w:r>
      <w:r w:rsidR="00A13BEA" w:rsidRPr="00B924EB">
        <w:rPr>
          <w:lang w:val="es-ES_tradnl"/>
        </w:rPr>
        <w:t xml:space="preserve"> </w:t>
      </w:r>
      <w:r w:rsidR="00913926" w:rsidRPr="00913926">
        <w:rPr>
          <w:lang w:val="es-ES_tradnl"/>
        </w:rPr>
        <w:t xml:space="preserve">solicita financiamiento </w:t>
      </w:r>
      <w:r w:rsidR="009374DA" w:rsidRPr="00B924EB">
        <w:rPr>
          <w:lang w:val="es-ES_tradnl"/>
        </w:rPr>
        <w:t>para</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197D03" w:rsidRPr="00B924EB">
        <w:rPr>
          <w:lang w:val="es-ES_tradnl"/>
        </w:rPr>
        <w:t>I</w:t>
      </w:r>
      <w:r w:rsidR="00A13BEA" w:rsidRPr="00B924EB">
        <w:rPr>
          <w:lang w:val="es-ES_tradnl"/>
        </w:rPr>
        <w:t xml:space="preserve"> </w:t>
      </w:r>
      <w:r w:rsidR="000521A3" w:rsidRPr="00B924EB">
        <w:rPr>
          <w:lang w:val="es-ES_tradnl"/>
        </w:rPr>
        <w:t>del</w:t>
      </w:r>
      <w:r w:rsidR="00A13BEA" w:rsidRPr="00B924EB">
        <w:rPr>
          <w:lang w:val="es-ES_tradnl"/>
        </w:rPr>
        <w:t xml:space="preserve"> </w:t>
      </w:r>
      <w:r w:rsidR="00E26F0F" w:rsidRPr="00B924EB">
        <w:rPr>
          <w:lang w:val="es-ES_tradnl"/>
        </w:rPr>
        <w:t>plan</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gestión</w:t>
      </w:r>
      <w:r w:rsidR="00A13BEA" w:rsidRPr="00B924EB">
        <w:rPr>
          <w:lang w:val="es-ES_tradnl"/>
        </w:rPr>
        <w:t xml:space="preserve"> </w:t>
      </w:r>
      <w:r w:rsidRPr="00B924EB">
        <w:rPr>
          <w:lang w:val="es-ES_tradnl"/>
        </w:rPr>
        <w:t>para</w:t>
      </w:r>
      <w:r w:rsidR="00A13BEA" w:rsidRPr="00B924EB">
        <w:rPr>
          <w:lang w:val="es-ES_tradnl"/>
        </w:rPr>
        <w:t xml:space="preserve"> </w:t>
      </w:r>
      <w:r w:rsidRPr="00B924EB">
        <w:rPr>
          <w:lang w:val="es-ES_tradnl"/>
        </w:rPr>
        <w:t>la</w:t>
      </w:r>
      <w:r w:rsidR="00A13BEA" w:rsidRPr="00B924EB">
        <w:rPr>
          <w:lang w:val="es-ES_tradnl"/>
        </w:rPr>
        <w:t xml:space="preserve"> </w:t>
      </w:r>
      <w:r w:rsidRPr="00B924EB">
        <w:rPr>
          <w:lang w:val="es-ES_tradnl"/>
        </w:rPr>
        <w:t>eliminación</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HCFC</w:t>
      </w:r>
      <w:r w:rsidR="00A13BEA" w:rsidRPr="00B924EB">
        <w:rPr>
          <w:lang w:val="es-ES_tradnl"/>
        </w:rPr>
        <w:t xml:space="preserve"> </w:t>
      </w:r>
      <w:r w:rsidRPr="00B924EB">
        <w:rPr>
          <w:lang w:val="es-ES_tradnl"/>
        </w:rPr>
        <w:t>(PGEH)</w:t>
      </w:r>
      <w:r w:rsidR="00A13BEA" w:rsidRPr="00B924EB">
        <w:rPr>
          <w:lang w:val="es-ES_tradnl"/>
        </w:rPr>
        <w:t xml:space="preserve"> </w:t>
      </w:r>
      <w:r w:rsidR="00E26F0F" w:rsidRPr="00B924EB">
        <w:rPr>
          <w:lang w:val="es-ES_tradnl"/>
        </w:rPr>
        <w:t>por</w:t>
      </w:r>
      <w:r w:rsidR="00A13BEA" w:rsidRPr="00B924EB">
        <w:rPr>
          <w:lang w:val="es-ES_tradnl"/>
        </w:rPr>
        <w:t xml:space="preserve"> </w:t>
      </w:r>
      <w:r w:rsidR="00E26F0F" w:rsidRPr="00B924EB">
        <w:rPr>
          <w:lang w:val="es-ES_tradnl"/>
        </w:rPr>
        <w:t>un</w:t>
      </w:r>
      <w:r w:rsidR="00A13BEA" w:rsidRPr="00B924EB">
        <w:rPr>
          <w:lang w:val="es-ES_tradnl"/>
        </w:rPr>
        <w:t xml:space="preserve"> </w:t>
      </w:r>
      <w:r w:rsidR="00E26F0F" w:rsidRPr="00B924EB">
        <w:rPr>
          <w:lang w:val="es-ES_tradnl"/>
        </w:rPr>
        <w:t>total</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3.</w:t>
      </w:r>
      <w:r w:rsidR="00CF407E" w:rsidRPr="00B924EB">
        <w:rPr>
          <w:lang w:val="es-ES_tradnl"/>
        </w:rPr>
        <w:t>19</w:t>
      </w:r>
      <w:r w:rsidR="009374DA" w:rsidRPr="00B924EB">
        <w:rPr>
          <w:lang w:val="es-ES_tradnl"/>
        </w:rPr>
        <w:t>7.</w:t>
      </w:r>
      <w:r w:rsidR="00CF407E" w:rsidRPr="00B924EB">
        <w:rPr>
          <w:lang w:val="es-ES_tradnl"/>
        </w:rPr>
        <w:t>75</w:t>
      </w:r>
      <w:r w:rsidRPr="00B924EB">
        <w:rPr>
          <w:lang w:val="es-ES_tradnl"/>
        </w:rPr>
        <w:t>0</w:t>
      </w:r>
      <w:r w:rsidR="00A13BEA" w:rsidRPr="00B924EB">
        <w:rPr>
          <w:lang w:val="es-ES_tradnl"/>
        </w:rPr>
        <w:t xml:space="preserve"> </w:t>
      </w:r>
      <w:r w:rsidR="00E26F0F" w:rsidRPr="00B924EB">
        <w:rPr>
          <w:lang w:val="es-ES_tradnl"/>
        </w:rPr>
        <w:t>$EUA,</w:t>
      </w:r>
      <w:r w:rsidR="00A13BEA" w:rsidRPr="00B924EB">
        <w:rPr>
          <w:lang w:val="es-ES_tradnl"/>
        </w:rPr>
        <w:t xml:space="preserve"> </w:t>
      </w:r>
      <w:r w:rsidR="00E26F0F" w:rsidRPr="00B924EB">
        <w:rPr>
          <w:lang w:val="es-ES_tradnl"/>
        </w:rPr>
        <w:t>cifra</w:t>
      </w:r>
      <w:r w:rsidR="00A13BEA" w:rsidRPr="00B924EB">
        <w:rPr>
          <w:lang w:val="es-ES_tradnl"/>
        </w:rPr>
        <w:t xml:space="preserve"> </w:t>
      </w:r>
      <w:r w:rsidR="00E26F0F" w:rsidRPr="00B924EB">
        <w:rPr>
          <w:lang w:val="es-ES_tradnl"/>
        </w:rPr>
        <w:t>consistente</w:t>
      </w:r>
      <w:r w:rsidR="00A13BEA" w:rsidRPr="00B924EB">
        <w:rPr>
          <w:lang w:val="es-ES_tradnl"/>
        </w:rPr>
        <w:t xml:space="preserve"> </w:t>
      </w:r>
      <w:r w:rsidR="00E26F0F" w:rsidRPr="00B924EB">
        <w:rPr>
          <w:lang w:val="es-ES_tradnl"/>
        </w:rPr>
        <w:t>en</w:t>
      </w:r>
      <w:r w:rsidR="00A13BEA" w:rsidRPr="00B924EB">
        <w:rPr>
          <w:lang w:val="es-ES_tradnl"/>
        </w:rPr>
        <w:t xml:space="preserve"> </w:t>
      </w:r>
      <w:r w:rsidRPr="00B924EB">
        <w:rPr>
          <w:lang w:val="es-ES_tradnl"/>
        </w:rPr>
        <w:t>2.</w:t>
      </w:r>
      <w:r w:rsidR="000435DB" w:rsidRPr="00B924EB">
        <w:rPr>
          <w:lang w:val="es-ES_tradnl"/>
        </w:rPr>
        <w:t>02</w:t>
      </w:r>
      <w:r w:rsidR="009374DA" w:rsidRPr="00B924EB">
        <w:rPr>
          <w:lang w:val="es-ES_tradnl"/>
        </w:rPr>
        <w:t>5.</w:t>
      </w:r>
      <w:r w:rsidR="000435DB" w:rsidRPr="00B924EB">
        <w:rPr>
          <w:lang w:val="es-ES_tradnl"/>
        </w:rPr>
        <w:t>00</w:t>
      </w:r>
      <w:r w:rsidRPr="00B924EB">
        <w:rPr>
          <w:lang w:val="es-ES_tradnl"/>
        </w:rPr>
        <w:t>0</w:t>
      </w:r>
      <w:r w:rsidR="00A13BEA" w:rsidRPr="00B924EB">
        <w:rPr>
          <w:lang w:val="es-ES_tradnl"/>
        </w:rPr>
        <w:t xml:space="preserve"> </w:t>
      </w:r>
      <w:r w:rsidR="00DB3D7B" w:rsidRPr="00B924EB">
        <w:rPr>
          <w:lang w:val="es-ES_tradnl"/>
        </w:rPr>
        <w:t>$EUA</w:t>
      </w:r>
      <w:r w:rsidR="00A13BEA" w:rsidRPr="00B924EB">
        <w:rPr>
          <w:lang w:val="es-ES_tradnl"/>
        </w:rPr>
        <w:t xml:space="preserve"> </w:t>
      </w:r>
      <w:r w:rsidR="00DB3D7B" w:rsidRPr="00B924EB">
        <w:rPr>
          <w:lang w:val="es-ES_tradnl"/>
        </w:rPr>
        <w:t>más</w:t>
      </w:r>
      <w:r w:rsidR="00A13BEA" w:rsidRPr="00B924EB">
        <w:rPr>
          <w:lang w:val="es-ES_tradnl"/>
        </w:rPr>
        <w:t xml:space="preserve"> </w:t>
      </w:r>
      <w:r w:rsidR="004135A5" w:rsidRPr="00B924EB">
        <w:rPr>
          <w:lang w:val="es-ES_tradnl"/>
        </w:rPr>
        <w:t>gastos de apoyo de</w:t>
      </w:r>
      <w:r w:rsidR="00A13BEA" w:rsidRPr="00B924EB">
        <w:rPr>
          <w:lang w:val="es-ES_tradnl"/>
        </w:rPr>
        <w:t xml:space="preserve"> </w:t>
      </w:r>
      <w:r w:rsidR="000435DB" w:rsidRPr="00B924EB">
        <w:rPr>
          <w:lang w:val="es-ES_tradnl"/>
        </w:rPr>
        <w:t>26</w:t>
      </w:r>
      <w:r w:rsidRPr="00B924EB">
        <w:rPr>
          <w:lang w:val="es-ES_tradnl"/>
        </w:rPr>
        <w:t>3.</w:t>
      </w:r>
      <w:r w:rsidR="000435DB" w:rsidRPr="00B924EB">
        <w:rPr>
          <w:lang w:val="es-ES_tradnl"/>
        </w:rPr>
        <w:t>250</w:t>
      </w:r>
      <w:r w:rsidR="00CB5CC5" w:rsidRPr="00CB5CC5">
        <w:rPr>
          <w:lang w:val="es-ES_tradnl"/>
        </w:rPr>
        <w:t xml:space="preserve"> $EUA </w:t>
      </w:r>
      <w:r w:rsidR="00E26F0F" w:rsidRPr="00B924EB">
        <w:rPr>
          <w:lang w:val="es-ES_tradnl"/>
        </w:rPr>
        <w:t>para</w:t>
      </w:r>
      <w:r w:rsidR="00A13BEA" w:rsidRPr="00B924EB">
        <w:rPr>
          <w:lang w:val="es-ES_tradnl"/>
        </w:rPr>
        <w:t xml:space="preserve"> </w:t>
      </w:r>
      <w:r w:rsidR="00E26F0F" w:rsidRPr="00B924EB">
        <w:rPr>
          <w:lang w:val="es-ES_tradnl"/>
        </w:rPr>
        <w:t>el</w:t>
      </w:r>
      <w:r w:rsidR="00A13BEA" w:rsidRPr="00B924EB">
        <w:rPr>
          <w:lang w:val="es-ES_tradnl"/>
        </w:rPr>
        <w:t xml:space="preserve"> </w:t>
      </w:r>
      <w:r w:rsidRPr="00B924EB">
        <w:rPr>
          <w:lang w:val="es-ES_tradnl"/>
        </w:rPr>
        <w:t>PNUMA</w:t>
      </w:r>
      <w:r w:rsidR="00A13BEA" w:rsidRPr="00B924EB">
        <w:rPr>
          <w:lang w:val="es-ES_tradnl"/>
        </w:rPr>
        <w:t xml:space="preserve"> </w:t>
      </w:r>
      <w:r w:rsidRPr="00B924EB">
        <w:rPr>
          <w:lang w:val="es-ES_tradnl"/>
        </w:rPr>
        <w:t>y</w:t>
      </w:r>
      <w:r w:rsidR="00A13BEA" w:rsidRPr="00B924EB">
        <w:rPr>
          <w:lang w:val="es-ES_tradnl"/>
        </w:rPr>
        <w:t xml:space="preserve"> </w:t>
      </w:r>
      <w:r w:rsidR="000435DB" w:rsidRPr="00B924EB">
        <w:rPr>
          <w:lang w:val="es-ES_tradnl"/>
        </w:rPr>
        <w:t>85</w:t>
      </w:r>
      <w:r w:rsidRPr="00B924EB">
        <w:rPr>
          <w:lang w:val="es-ES_tradnl"/>
        </w:rPr>
        <w:t>0.</w:t>
      </w:r>
      <w:r w:rsidR="000435DB" w:rsidRPr="00B924EB">
        <w:rPr>
          <w:lang w:val="es-ES_tradnl"/>
        </w:rPr>
        <w:t>00</w:t>
      </w:r>
      <w:r w:rsidRPr="00B924EB">
        <w:rPr>
          <w:lang w:val="es-ES_tradnl"/>
        </w:rPr>
        <w:t>0</w:t>
      </w:r>
      <w:r w:rsidR="00A13BEA" w:rsidRPr="00B924EB">
        <w:rPr>
          <w:lang w:val="es-ES_tradnl"/>
        </w:rPr>
        <w:t xml:space="preserve"> </w:t>
      </w:r>
      <w:r w:rsidR="00DB3D7B" w:rsidRPr="00B924EB">
        <w:rPr>
          <w:lang w:val="es-ES_tradnl"/>
        </w:rPr>
        <w:t>$EUA</w:t>
      </w:r>
      <w:r w:rsidR="00A13BEA" w:rsidRPr="00B924EB">
        <w:rPr>
          <w:lang w:val="es-ES_tradnl"/>
        </w:rPr>
        <w:t xml:space="preserve"> </w:t>
      </w:r>
      <w:r w:rsidR="00DB3D7B" w:rsidRPr="00B924EB">
        <w:rPr>
          <w:lang w:val="es-ES_tradnl"/>
        </w:rPr>
        <w:t>más</w:t>
      </w:r>
      <w:r w:rsidR="00A13BEA" w:rsidRPr="00B924EB">
        <w:rPr>
          <w:lang w:val="es-ES_tradnl"/>
        </w:rPr>
        <w:t xml:space="preserve"> </w:t>
      </w:r>
      <w:r w:rsidR="004135A5" w:rsidRPr="00B924EB">
        <w:rPr>
          <w:lang w:val="es-ES_tradnl"/>
        </w:rPr>
        <w:t>gastos de apoyo de</w:t>
      </w:r>
      <w:r w:rsidR="00A13BEA" w:rsidRPr="00B924EB">
        <w:rPr>
          <w:lang w:val="es-ES_tradnl"/>
        </w:rPr>
        <w:t xml:space="preserve"> </w:t>
      </w:r>
      <w:r w:rsidR="00CF407E" w:rsidRPr="00B924EB">
        <w:rPr>
          <w:lang w:val="es-ES_tradnl"/>
        </w:rPr>
        <w:t>5</w:t>
      </w:r>
      <w:r w:rsidR="009374DA" w:rsidRPr="00B924EB">
        <w:rPr>
          <w:lang w:val="es-ES_tradnl"/>
        </w:rPr>
        <w:t>9.</w:t>
      </w:r>
      <w:r w:rsidR="00CF407E" w:rsidRPr="00B924EB">
        <w:rPr>
          <w:lang w:val="es-ES_tradnl"/>
        </w:rPr>
        <w:t>500</w:t>
      </w:r>
      <w:r w:rsidR="006A4782" w:rsidRPr="006A4782">
        <w:rPr>
          <w:lang w:val="es-ES_tradnl"/>
        </w:rPr>
        <w:t xml:space="preserve"> $EUA</w:t>
      </w:r>
      <w:r w:rsidR="00A13BEA" w:rsidRPr="00B924EB">
        <w:rPr>
          <w:lang w:val="es-ES_tradnl"/>
        </w:rPr>
        <w:t xml:space="preserve"> </w:t>
      </w:r>
      <w:r w:rsidR="000521A3" w:rsidRPr="00B924EB">
        <w:rPr>
          <w:lang w:val="es-ES_tradnl"/>
        </w:rPr>
        <w:t>para</w:t>
      </w:r>
      <w:r w:rsidR="00A13BEA" w:rsidRPr="00B924EB">
        <w:rPr>
          <w:lang w:val="es-ES_tradnl"/>
        </w:rPr>
        <w:t xml:space="preserve"> </w:t>
      </w:r>
      <w:r w:rsidR="000521A3" w:rsidRPr="00B924EB">
        <w:rPr>
          <w:lang w:val="es-ES_tradnl"/>
        </w:rPr>
        <w:t>la</w:t>
      </w:r>
      <w:r w:rsidR="00A13BEA" w:rsidRPr="00B924EB">
        <w:rPr>
          <w:lang w:val="es-ES_tradnl"/>
        </w:rPr>
        <w:t xml:space="preserve"> </w:t>
      </w:r>
      <w:r w:rsidRPr="00B924EB">
        <w:rPr>
          <w:lang w:val="es-ES_tradnl"/>
        </w:rPr>
        <w:t>ONUDI</w:t>
      </w:r>
      <w:r w:rsidR="00197D03" w:rsidRPr="00B924EB">
        <w:rPr>
          <w:lang w:val="es-ES_tradnl"/>
        </w:rPr>
        <w:t>,</w:t>
      </w:r>
      <w:r w:rsidR="00A13BEA" w:rsidRPr="00B924EB">
        <w:rPr>
          <w:lang w:val="es-ES_tradnl"/>
        </w:rPr>
        <w:t xml:space="preserve"> </w:t>
      </w:r>
      <w:r w:rsidR="009374DA" w:rsidRPr="00B924EB">
        <w:rPr>
          <w:lang w:val="es-ES_tradnl"/>
        </w:rPr>
        <w:t>según</w:t>
      </w:r>
      <w:r w:rsidR="00A13BEA" w:rsidRPr="00B924EB">
        <w:rPr>
          <w:lang w:val="es-ES_tradnl"/>
        </w:rPr>
        <w:t xml:space="preserve"> </w:t>
      </w:r>
      <w:r w:rsidR="009374DA" w:rsidRPr="00B924EB">
        <w:rPr>
          <w:lang w:val="es-ES_tradnl"/>
        </w:rPr>
        <w:t>lo</w:t>
      </w:r>
      <w:r w:rsidR="00A13BEA" w:rsidRPr="00B924EB">
        <w:rPr>
          <w:lang w:val="es-ES_tradnl"/>
        </w:rPr>
        <w:t xml:space="preserve"> </w:t>
      </w:r>
      <w:r w:rsidR="009374DA" w:rsidRPr="00B924EB">
        <w:rPr>
          <w:lang w:val="es-ES_tradnl"/>
        </w:rPr>
        <w:t>originalmente</w:t>
      </w:r>
      <w:r w:rsidR="00A13BEA" w:rsidRPr="00B924EB">
        <w:rPr>
          <w:lang w:val="es-ES_tradnl"/>
        </w:rPr>
        <w:t xml:space="preserve"> </w:t>
      </w:r>
      <w:r w:rsidR="009374DA" w:rsidRPr="00B924EB">
        <w:rPr>
          <w:lang w:val="es-ES_tradnl"/>
        </w:rPr>
        <w:t>solicitado</w:t>
      </w:r>
      <w:r w:rsidR="00197D03" w:rsidRPr="00B924EB">
        <w:rPr>
          <w:lang w:val="es-ES_tradnl"/>
        </w:rPr>
        <w:t>.</w:t>
      </w:r>
      <w:r w:rsidR="00197D03" w:rsidRPr="00B924EB">
        <w:rPr>
          <w:rStyle w:val="FootnoteReference"/>
          <w:lang w:val="es-ES_tradnl"/>
        </w:rPr>
        <w:footnoteReference w:id="2"/>
      </w:r>
      <w:r w:rsidR="00A13BEA" w:rsidRPr="00B924EB">
        <w:rPr>
          <w:lang w:val="es-ES_tradnl"/>
        </w:rPr>
        <w:t xml:space="preserve"> </w:t>
      </w:r>
      <w:r w:rsidR="00D92C95" w:rsidRPr="00D92C95">
        <w:rPr>
          <w:lang w:val="es-ES_tradnl"/>
        </w:rPr>
        <w:t>La ejecución</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E758FB" w:rsidRPr="00B924EB">
        <w:rPr>
          <w:lang w:val="es-ES_tradnl"/>
        </w:rPr>
        <w:t>I</w:t>
      </w:r>
      <w:r w:rsidR="00A13BEA" w:rsidRPr="00B924EB">
        <w:rPr>
          <w:lang w:val="es-ES_tradnl"/>
        </w:rPr>
        <w:t xml:space="preserve"> </w:t>
      </w:r>
      <w:r w:rsidRPr="00B924EB">
        <w:rPr>
          <w:lang w:val="es-ES_tradnl"/>
        </w:rPr>
        <w:t>del</w:t>
      </w:r>
      <w:r w:rsidR="00A13BEA" w:rsidRPr="00B924EB">
        <w:rPr>
          <w:lang w:val="es-ES_tradnl"/>
        </w:rPr>
        <w:t xml:space="preserve"> </w:t>
      </w:r>
      <w:r w:rsidRPr="00B924EB">
        <w:rPr>
          <w:lang w:val="es-ES_tradnl"/>
        </w:rPr>
        <w:t>PGEH</w:t>
      </w:r>
      <w:r w:rsidR="00A13BEA" w:rsidRPr="00B924EB">
        <w:rPr>
          <w:lang w:val="es-ES_tradnl"/>
        </w:rPr>
        <w:t xml:space="preserve"> </w:t>
      </w:r>
      <w:r w:rsidR="006259E0" w:rsidRPr="006259E0">
        <w:rPr>
          <w:lang w:val="es-ES_tradnl"/>
        </w:rPr>
        <w:t xml:space="preserve">permitirá eliminar </w:t>
      </w:r>
      <w:r w:rsidR="002203B6" w:rsidRPr="00B924EB">
        <w:rPr>
          <w:lang w:val="es-ES_tradnl"/>
        </w:rPr>
        <w:t>3</w:t>
      </w:r>
      <w:r w:rsidR="00FC35D9" w:rsidRPr="00B924EB">
        <w:rPr>
          <w:lang w:val="es-ES_tradnl"/>
        </w:rPr>
        <w:t>2</w:t>
      </w:r>
      <w:r w:rsidR="002203B6" w:rsidRPr="00B924EB">
        <w:rPr>
          <w:lang w:val="es-ES_tradnl"/>
        </w:rPr>
        <w:t>.</w:t>
      </w:r>
      <w:r w:rsidR="00FC35D9" w:rsidRPr="00B924EB">
        <w:rPr>
          <w:lang w:val="es-ES_tradnl"/>
        </w:rPr>
        <w:t>79</w:t>
      </w:r>
      <w:r w:rsidR="00A13BEA" w:rsidRPr="00B924EB">
        <w:rPr>
          <w:lang w:val="es-ES_tradnl"/>
        </w:rPr>
        <w:t xml:space="preserve"> </w:t>
      </w:r>
      <w:r w:rsidRPr="00B924EB">
        <w:rPr>
          <w:lang w:val="es-ES_tradnl"/>
        </w:rPr>
        <w:t>toneladas</w:t>
      </w:r>
      <w:r w:rsidR="00A13BEA" w:rsidRPr="00B924EB">
        <w:rPr>
          <w:lang w:val="es-ES_tradnl"/>
        </w:rPr>
        <w:t xml:space="preserve"> </w:t>
      </w:r>
      <w:r w:rsidRPr="00B924EB">
        <w:rPr>
          <w:lang w:val="es-ES_tradnl"/>
        </w:rPr>
        <w:t>PAO</w:t>
      </w:r>
      <w:r w:rsidR="00A13BEA" w:rsidRPr="00B924EB">
        <w:rPr>
          <w:lang w:val="es-ES_tradnl"/>
        </w:rPr>
        <w:t xml:space="preserve"> </w:t>
      </w:r>
      <w:r w:rsidRPr="00B924EB">
        <w:rPr>
          <w:lang w:val="es-ES_tradnl"/>
        </w:rPr>
        <w:t>de</w:t>
      </w:r>
      <w:r w:rsidR="00A13BEA" w:rsidRPr="00B924EB">
        <w:rPr>
          <w:lang w:val="es-ES_tradnl"/>
        </w:rPr>
        <w:t xml:space="preserve"> </w:t>
      </w:r>
      <w:r w:rsidR="00E26F0F" w:rsidRPr="00B924EB">
        <w:rPr>
          <w:lang w:val="es-ES_tradnl"/>
        </w:rPr>
        <w:t>HCFC</w:t>
      </w:r>
      <w:r w:rsidR="00A13BEA" w:rsidRPr="00B924EB">
        <w:rPr>
          <w:lang w:val="es-ES_tradnl"/>
        </w:rPr>
        <w:t xml:space="preserve"> </w:t>
      </w:r>
      <w:r w:rsidR="00262348">
        <w:rPr>
          <w:lang w:val="es-ES_tradnl"/>
        </w:rPr>
        <w:t xml:space="preserve">y </w:t>
      </w:r>
      <w:r w:rsidR="004B7A38">
        <w:rPr>
          <w:lang w:val="es-ES_tradnl"/>
        </w:rPr>
        <w:t xml:space="preserve">reducir </w:t>
      </w:r>
      <w:r w:rsidR="004B7A38" w:rsidRPr="004B7A38">
        <w:rPr>
          <w:lang w:val="es-ES_tradnl"/>
        </w:rPr>
        <w:t xml:space="preserve">el consumo de HCFC </w:t>
      </w:r>
      <w:r w:rsidR="004B7A38">
        <w:rPr>
          <w:lang w:val="es-ES_tradnl"/>
        </w:rPr>
        <w:t xml:space="preserve">en un </w:t>
      </w:r>
      <w:r w:rsidR="00D62EA9" w:rsidRPr="00B924EB">
        <w:rPr>
          <w:lang w:val="es-ES_tradnl"/>
        </w:rPr>
        <w:t>69</w:t>
      </w:r>
      <w:r w:rsidR="00A13BEA" w:rsidRPr="00B924EB">
        <w:rPr>
          <w:lang w:val="es-ES_tradnl"/>
        </w:rPr>
        <w:t xml:space="preserve"> </w:t>
      </w:r>
      <w:r w:rsidRPr="00B924EB">
        <w:rPr>
          <w:lang w:val="es-ES_tradnl"/>
        </w:rPr>
        <w:t>por</w:t>
      </w:r>
      <w:r w:rsidR="00A13BEA" w:rsidRPr="00B924EB">
        <w:rPr>
          <w:lang w:val="es-ES_tradnl"/>
        </w:rPr>
        <w:t xml:space="preserve"> </w:t>
      </w:r>
      <w:r w:rsidRPr="00B924EB">
        <w:rPr>
          <w:lang w:val="es-ES_tradnl"/>
        </w:rPr>
        <w:t>ciento</w:t>
      </w:r>
      <w:r w:rsidR="00A13BEA" w:rsidRPr="00B924EB">
        <w:rPr>
          <w:lang w:val="es-ES_tradnl"/>
        </w:rPr>
        <w:t xml:space="preserve"> </w:t>
      </w:r>
      <w:r w:rsidR="001265ED">
        <w:rPr>
          <w:lang w:val="es-ES_tradnl"/>
        </w:rPr>
        <w:t xml:space="preserve">hacia el año </w:t>
      </w:r>
      <w:r w:rsidR="009374DA" w:rsidRPr="00B924EB">
        <w:rPr>
          <w:lang w:val="es-ES_tradnl"/>
        </w:rPr>
        <w:t>202</w:t>
      </w:r>
      <w:r w:rsidR="00122D46">
        <w:rPr>
          <w:lang w:val="es-ES_tradnl"/>
        </w:rPr>
        <w:t>5</w:t>
      </w:r>
      <w:r w:rsidR="00D62EA9" w:rsidRPr="00B924EB">
        <w:rPr>
          <w:lang w:val="es-ES_tradnl"/>
        </w:rPr>
        <w:t>.</w:t>
      </w:r>
    </w:p>
    <w:p w14:paraId="4A09C51D" w14:textId="5F51E68F" w:rsidR="00DD644F" w:rsidRPr="00B924EB" w:rsidRDefault="005E1320" w:rsidP="002203B6">
      <w:pPr>
        <w:pStyle w:val="Heading1"/>
        <w:rPr>
          <w:lang w:val="es-ES_tradnl"/>
        </w:rPr>
      </w:pPr>
      <w:r w:rsidRPr="00B924EB">
        <w:rPr>
          <w:lang w:val="es-ES_tradnl"/>
        </w:rPr>
        <w:t>El</w:t>
      </w:r>
      <w:r w:rsidR="00A13BEA" w:rsidRPr="00B924EB">
        <w:rPr>
          <w:lang w:val="es-ES_tradnl"/>
        </w:rPr>
        <w:t xml:space="preserve"> </w:t>
      </w:r>
      <w:r w:rsidRPr="00B924EB">
        <w:rPr>
          <w:lang w:val="es-ES_tradnl"/>
        </w:rPr>
        <w:t>primer</w:t>
      </w:r>
      <w:r w:rsidR="00A13BEA" w:rsidRPr="00B924EB">
        <w:rPr>
          <w:lang w:val="es-ES_tradnl"/>
        </w:rPr>
        <w:t xml:space="preserve"> </w:t>
      </w:r>
      <w:r w:rsidR="00755C5D" w:rsidRPr="00B924EB">
        <w:rPr>
          <w:lang w:val="es-ES_tradnl"/>
        </w:rPr>
        <w:t>tramo</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C679D6"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A13BEA" w:rsidRPr="00B924EB">
        <w:rPr>
          <w:lang w:val="es-ES_tradnl"/>
        </w:rPr>
        <w:t xml:space="preserve"> </w:t>
      </w:r>
      <w:r w:rsidRPr="00B924EB">
        <w:rPr>
          <w:lang w:val="es-ES_tradnl"/>
        </w:rPr>
        <w:t>solicitado</w:t>
      </w:r>
      <w:r w:rsidR="00A13BEA" w:rsidRPr="00B924EB">
        <w:rPr>
          <w:lang w:val="es-ES_tradnl"/>
        </w:rPr>
        <w:t xml:space="preserve"> </w:t>
      </w:r>
      <w:r w:rsidRPr="00B924EB">
        <w:rPr>
          <w:lang w:val="es-ES_tradnl"/>
        </w:rPr>
        <w:t>en</w:t>
      </w:r>
      <w:r w:rsidR="00A13BEA" w:rsidRPr="00B924EB">
        <w:rPr>
          <w:lang w:val="es-ES_tradnl"/>
        </w:rPr>
        <w:t xml:space="preserve"> </w:t>
      </w:r>
      <w:r w:rsidRPr="00B924EB">
        <w:rPr>
          <w:lang w:val="es-ES_tradnl"/>
        </w:rPr>
        <w:t>esta</w:t>
      </w:r>
      <w:r w:rsidR="00A13BEA" w:rsidRPr="00B924EB">
        <w:rPr>
          <w:lang w:val="es-ES_tradnl"/>
        </w:rPr>
        <w:t xml:space="preserve"> </w:t>
      </w:r>
      <w:r w:rsidRPr="00B924EB">
        <w:rPr>
          <w:lang w:val="es-ES_tradnl"/>
        </w:rPr>
        <w:t>reunión</w:t>
      </w:r>
      <w:r w:rsidR="00A13BEA" w:rsidRPr="00B924EB">
        <w:rPr>
          <w:lang w:val="es-ES_tradnl"/>
        </w:rPr>
        <w:t xml:space="preserve"> </w:t>
      </w:r>
      <w:r w:rsidR="00DB3D7B" w:rsidRPr="00B924EB">
        <w:rPr>
          <w:lang w:val="es-ES_tradnl"/>
        </w:rPr>
        <w:t>asciende</w:t>
      </w:r>
      <w:r w:rsidR="00A13BEA" w:rsidRPr="00B924EB">
        <w:rPr>
          <w:lang w:val="es-ES_tradnl"/>
        </w:rPr>
        <w:t xml:space="preserve"> </w:t>
      </w:r>
      <w:r w:rsidR="00DB3D7B" w:rsidRPr="00B924EB">
        <w:rPr>
          <w:lang w:val="es-ES_tradnl"/>
        </w:rPr>
        <w:t>a</w:t>
      </w:r>
      <w:r w:rsidR="00A13BEA" w:rsidRPr="00B924EB">
        <w:rPr>
          <w:lang w:val="es-ES_tradnl"/>
        </w:rPr>
        <w:t xml:space="preserve"> </w:t>
      </w:r>
      <w:r w:rsidR="00755C5D" w:rsidRPr="00B924EB">
        <w:rPr>
          <w:lang w:val="es-ES_tradnl"/>
        </w:rPr>
        <w:t>1.</w:t>
      </w:r>
      <w:r w:rsidR="002203B6" w:rsidRPr="00B924EB">
        <w:rPr>
          <w:lang w:val="es-ES_tradnl"/>
        </w:rPr>
        <w:t>13</w:t>
      </w:r>
      <w:r w:rsidR="009374DA" w:rsidRPr="00B924EB">
        <w:rPr>
          <w:lang w:val="es-ES_tradnl"/>
        </w:rPr>
        <w:t>7.</w:t>
      </w:r>
      <w:r w:rsidR="00F87C22" w:rsidRPr="00B924EB">
        <w:rPr>
          <w:lang w:val="es-ES_tradnl"/>
        </w:rPr>
        <w:t>55</w:t>
      </w:r>
      <w:r w:rsidR="00755C5D" w:rsidRPr="00B924EB">
        <w:rPr>
          <w:lang w:val="es-ES_tradnl"/>
        </w:rPr>
        <w:t>0</w:t>
      </w:r>
      <w:r w:rsidR="00A13BEA" w:rsidRPr="00B924EB">
        <w:rPr>
          <w:lang w:val="es-ES_tradnl"/>
        </w:rPr>
        <w:t xml:space="preserve"> </w:t>
      </w:r>
      <w:r w:rsidR="00E26F0F" w:rsidRPr="00B924EB">
        <w:rPr>
          <w:lang w:val="es-ES_tradnl"/>
        </w:rPr>
        <w:t>$EUA,</w:t>
      </w:r>
      <w:r w:rsidR="00A13BEA" w:rsidRPr="00B924EB">
        <w:rPr>
          <w:lang w:val="es-ES_tradnl"/>
        </w:rPr>
        <w:t xml:space="preserve"> </w:t>
      </w:r>
      <w:r w:rsidR="00E26F0F" w:rsidRPr="00B924EB">
        <w:rPr>
          <w:lang w:val="es-ES_tradnl"/>
        </w:rPr>
        <w:t>cifra</w:t>
      </w:r>
      <w:r w:rsidR="00A13BEA" w:rsidRPr="00B924EB">
        <w:rPr>
          <w:lang w:val="es-ES_tradnl"/>
        </w:rPr>
        <w:t xml:space="preserve"> </w:t>
      </w:r>
      <w:r w:rsidR="00E26F0F" w:rsidRPr="00B924EB">
        <w:rPr>
          <w:lang w:val="es-ES_tradnl"/>
        </w:rPr>
        <w:t>consistente</w:t>
      </w:r>
      <w:r w:rsidR="00A13BEA" w:rsidRPr="00B924EB">
        <w:rPr>
          <w:lang w:val="es-ES_tradnl"/>
        </w:rPr>
        <w:t xml:space="preserve"> </w:t>
      </w:r>
      <w:r w:rsidR="00E26F0F" w:rsidRPr="00B924EB">
        <w:rPr>
          <w:lang w:val="es-ES_tradnl"/>
        </w:rPr>
        <w:t>en</w:t>
      </w:r>
      <w:r w:rsidR="00A13BEA" w:rsidRPr="00B924EB">
        <w:rPr>
          <w:lang w:val="es-ES_tradnl"/>
        </w:rPr>
        <w:t xml:space="preserve"> </w:t>
      </w:r>
      <w:r w:rsidR="002203B6" w:rsidRPr="00B924EB">
        <w:rPr>
          <w:lang w:val="es-ES_tradnl"/>
        </w:rPr>
        <w:t>68</w:t>
      </w:r>
      <w:r w:rsidR="00755C5D" w:rsidRPr="00B924EB">
        <w:rPr>
          <w:lang w:val="es-ES_tradnl"/>
        </w:rPr>
        <w:t>0.</w:t>
      </w:r>
      <w:r w:rsidR="002203B6" w:rsidRPr="00B924EB">
        <w:rPr>
          <w:lang w:val="es-ES_tradnl"/>
        </w:rPr>
        <w:t>00</w:t>
      </w:r>
      <w:r w:rsidR="00755C5D" w:rsidRPr="00B924EB">
        <w:rPr>
          <w:lang w:val="es-ES_tradnl"/>
        </w:rPr>
        <w:t>0</w:t>
      </w:r>
      <w:r w:rsidR="00A13BEA" w:rsidRPr="00B924EB">
        <w:rPr>
          <w:lang w:val="es-ES_tradnl"/>
        </w:rPr>
        <w:t xml:space="preserve"> </w:t>
      </w:r>
      <w:r w:rsidR="00DB3D7B" w:rsidRPr="00B924EB">
        <w:rPr>
          <w:lang w:val="es-ES_tradnl"/>
        </w:rPr>
        <w:t>$EUA</w:t>
      </w:r>
      <w:r w:rsidR="00A13BEA" w:rsidRPr="00B924EB">
        <w:rPr>
          <w:lang w:val="es-ES_tradnl"/>
        </w:rPr>
        <w:t xml:space="preserve"> </w:t>
      </w:r>
      <w:r w:rsidR="00DB3D7B" w:rsidRPr="00B924EB">
        <w:rPr>
          <w:lang w:val="es-ES_tradnl"/>
        </w:rPr>
        <w:t>más</w:t>
      </w:r>
      <w:r w:rsidR="00A13BEA" w:rsidRPr="00B924EB">
        <w:rPr>
          <w:lang w:val="es-ES_tradnl"/>
        </w:rPr>
        <w:t xml:space="preserve"> </w:t>
      </w:r>
      <w:r w:rsidR="004135A5" w:rsidRPr="00B924EB">
        <w:rPr>
          <w:lang w:val="es-ES_tradnl"/>
        </w:rPr>
        <w:t>gastos de apoyo de</w:t>
      </w:r>
      <w:r w:rsidR="00A13BEA" w:rsidRPr="00B924EB">
        <w:rPr>
          <w:lang w:val="es-ES_tradnl"/>
        </w:rPr>
        <w:t xml:space="preserve"> </w:t>
      </w:r>
      <w:r w:rsidR="002203B6" w:rsidRPr="00B924EB">
        <w:rPr>
          <w:lang w:val="es-ES_tradnl"/>
        </w:rPr>
        <w:t>8</w:t>
      </w:r>
      <w:r w:rsidR="009374DA" w:rsidRPr="00B924EB">
        <w:rPr>
          <w:lang w:val="es-ES_tradnl"/>
        </w:rPr>
        <w:t>8.</w:t>
      </w:r>
      <w:r w:rsidR="002203B6" w:rsidRPr="00B924EB">
        <w:rPr>
          <w:lang w:val="es-ES_tradnl"/>
        </w:rPr>
        <w:t>400</w:t>
      </w:r>
      <w:r w:rsidR="004C3666" w:rsidRPr="004C3666">
        <w:rPr>
          <w:lang w:val="es-ES_tradnl"/>
        </w:rPr>
        <w:t xml:space="preserve"> $EUA </w:t>
      </w:r>
      <w:r w:rsidR="00E26F0F" w:rsidRPr="00B924EB">
        <w:rPr>
          <w:lang w:val="es-ES_tradnl"/>
        </w:rPr>
        <w:t>para</w:t>
      </w:r>
      <w:r w:rsidR="00A13BEA" w:rsidRPr="00B924EB">
        <w:rPr>
          <w:lang w:val="es-ES_tradnl"/>
        </w:rPr>
        <w:t xml:space="preserve"> </w:t>
      </w:r>
      <w:r w:rsidR="00E26F0F"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755C5D" w:rsidRPr="00B924EB">
        <w:rPr>
          <w:lang w:val="es-ES_tradnl"/>
        </w:rPr>
        <w:t>y</w:t>
      </w:r>
      <w:r w:rsidR="00A13BEA" w:rsidRPr="00B924EB">
        <w:rPr>
          <w:lang w:val="es-ES_tradnl"/>
        </w:rPr>
        <w:t xml:space="preserve"> </w:t>
      </w:r>
      <w:r w:rsidR="000B3530">
        <w:rPr>
          <w:lang w:val="es-ES_tradnl"/>
        </w:rPr>
        <w:t xml:space="preserve">en </w:t>
      </w:r>
      <w:r w:rsidR="002203B6" w:rsidRPr="00B924EB">
        <w:rPr>
          <w:lang w:val="es-ES_tradnl"/>
        </w:rPr>
        <w:t>34</w:t>
      </w:r>
      <w:r w:rsidR="009374DA" w:rsidRPr="00B924EB">
        <w:rPr>
          <w:lang w:val="es-ES_tradnl"/>
        </w:rPr>
        <w:t>5.</w:t>
      </w:r>
      <w:r w:rsidR="002203B6" w:rsidRPr="00B924EB">
        <w:rPr>
          <w:lang w:val="es-ES_tradnl"/>
        </w:rPr>
        <w:t>00</w:t>
      </w:r>
      <w:r w:rsidR="00755C5D" w:rsidRPr="00B924EB">
        <w:rPr>
          <w:lang w:val="es-ES_tradnl"/>
        </w:rPr>
        <w:t>0</w:t>
      </w:r>
      <w:r w:rsidR="00A13BEA" w:rsidRPr="00B924EB">
        <w:rPr>
          <w:lang w:val="es-ES_tradnl"/>
        </w:rPr>
        <w:t xml:space="preserve"> </w:t>
      </w:r>
      <w:r w:rsidR="00DB3D7B" w:rsidRPr="00B924EB">
        <w:rPr>
          <w:lang w:val="es-ES_tradnl"/>
        </w:rPr>
        <w:t>$EUA</w:t>
      </w:r>
      <w:r w:rsidR="00A13BEA" w:rsidRPr="00B924EB">
        <w:rPr>
          <w:lang w:val="es-ES_tradnl"/>
        </w:rPr>
        <w:t xml:space="preserve"> </w:t>
      </w:r>
      <w:r w:rsidR="00DB3D7B" w:rsidRPr="00B924EB">
        <w:rPr>
          <w:lang w:val="es-ES_tradnl"/>
        </w:rPr>
        <w:t>más</w:t>
      </w:r>
      <w:r w:rsidR="00A13BEA" w:rsidRPr="00B924EB">
        <w:rPr>
          <w:lang w:val="es-ES_tradnl"/>
        </w:rPr>
        <w:t xml:space="preserve"> </w:t>
      </w:r>
      <w:r w:rsidR="004135A5" w:rsidRPr="00B924EB">
        <w:rPr>
          <w:lang w:val="es-ES_tradnl"/>
        </w:rPr>
        <w:t>gastos de apoyo de</w:t>
      </w:r>
      <w:r w:rsidR="00A13BEA" w:rsidRPr="00B924EB">
        <w:rPr>
          <w:lang w:val="es-ES_tradnl"/>
        </w:rPr>
        <w:t xml:space="preserve"> </w:t>
      </w:r>
      <w:r w:rsidR="002203B6" w:rsidRPr="00B924EB">
        <w:rPr>
          <w:lang w:val="es-ES_tradnl"/>
        </w:rPr>
        <w:t>2</w:t>
      </w:r>
      <w:r w:rsidR="00755C5D" w:rsidRPr="00B924EB">
        <w:rPr>
          <w:lang w:val="es-ES_tradnl"/>
        </w:rPr>
        <w:t>4.</w:t>
      </w:r>
      <w:r w:rsidR="00F87C22" w:rsidRPr="00B924EB">
        <w:rPr>
          <w:lang w:val="es-ES_tradnl"/>
        </w:rPr>
        <w:t>150</w:t>
      </w:r>
      <w:r w:rsidR="00CB6BB6" w:rsidRPr="00CB6BB6">
        <w:rPr>
          <w:lang w:val="es-ES_tradnl"/>
        </w:rPr>
        <w:t xml:space="preserve"> $EUA</w:t>
      </w:r>
      <w:r w:rsidR="00A13BEA" w:rsidRPr="00B924EB">
        <w:rPr>
          <w:lang w:val="es-ES_tradnl"/>
        </w:rPr>
        <w:t xml:space="preserve"> </w:t>
      </w:r>
      <w:r w:rsidR="000521A3" w:rsidRPr="00B924EB">
        <w:rPr>
          <w:lang w:val="es-ES_tradnl"/>
        </w:rPr>
        <w:t>para</w:t>
      </w:r>
      <w:r w:rsidR="00A13BEA" w:rsidRPr="00B924EB">
        <w:rPr>
          <w:lang w:val="es-ES_tradnl"/>
        </w:rPr>
        <w:t xml:space="preserve"> </w:t>
      </w:r>
      <w:r w:rsidR="000521A3" w:rsidRPr="00B924EB">
        <w:rPr>
          <w:lang w:val="es-ES_tradnl"/>
        </w:rPr>
        <w:t>la</w:t>
      </w:r>
      <w:r w:rsidR="00A13BEA" w:rsidRPr="00B924EB">
        <w:rPr>
          <w:lang w:val="es-ES_tradnl"/>
        </w:rPr>
        <w:t xml:space="preserve"> </w:t>
      </w:r>
      <w:r w:rsidR="00755C5D" w:rsidRPr="00B924EB">
        <w:rPr>
          <w:lang w:val="es-ES_tradnl"/>
        </w:rPr>
        <w:t>ONUDI</w:t>
      </w:r>
      <w:r w:rsidR="00DD644F" w:rsidRPr="00B924EB">
        <w:rPr>
          <w:lang w:val="es-ES_tradnl"/>
        </w:rPr>
        <w:t>,</w:t>
      </w:r>
      <w:r w:rsidR="00A13BEA" w:rsidRPr="00B924EB">
        <w:rPr>
          <w:lang w:val="es-ES_tradnl"/>
        </w:rPr>
        <w:t xml:space="preserve"> </w:t>
      </w:r>
      <w:r w:rsidR="009374DA" w:rsidRPr="00B924EB">
        <w:rPr>
          <w:lang w:val="es-ES_tradnl"/>
        </w:rPr>
        <w:t>según</w:t>
      </w:r>
      <w:r w:rsidR="00A13BEA" w:rsidRPr="00B924EB">
        <w:rPr>
          <w:lang w:val="es-ES_tradnl"/>
        </w:rPr>
        <w:t xml:space="preserve"> </w:t>
      </w:r>
      <w:r w:rsidR="009374DA" w:rsidRPr="00B924EB">
        <w:rPr>
          <w:lang w:val="es-ES_tradnl"/>
        </w:rPr>
        <w:t>lo</w:t>
      </w:r>
      <w:r w:rsidR="00A13BEA" w:rsidRPr="00B924EB">
        <w:rPr>
          <w:lang w:val="es-ES_tradnl"/>
        </w:rPr>
        <w:t xml:space="preserve"> </w:t>
      </w:r>
      <w:r w:rsidR="009374DA" w:rsidRPr="00B924EB">
        <w:rPr>
          <w:lang w:val="es-ES_tradnl"/>
        </w:rPr>
        <w:t>originalmente</w:t>
      </w:r>
      <w:r w:rsidR="00A13BEA" w:rsidRPr="00B924EB">
        <w:rPr>
          <w:lang w:val="es-ES_tradnl"/>
        </w:rPr>
        <w:t xml:space="preserve"> </w:t>
      </w:r>
      <w:r w:rsidR="009374DA" w:rsidRPr="00B924EB">
        <w:rPr>
          <w:lang w:val="es-ES_tradnl"/>
        </w:rPr>
        <w:t>solicitado</w:t>
      </w:r>
      <w:r w:rsidR="00DD644F" w:rsidRPr="00B924EB">
        <w:rPr>
          <w:lang w:val="es-ES_tradnl"/>
        </w:rPr>
        <w:t>.</w:t>
      </w:r>
    </w:p>
    <w:p w14:paraId="73DBCA44" w14:textId="05EF26F2" w:rsidR="00C679D6" w:rsidRPr="00B924EB" w:rsidRDefault="006D526D" w:rsidP="00C679D6">
      <w:pPr>
        <w:pStyle w:val="Heading1"/>
        <w:numPr>
          <w:ilvl w:val="0"/>
          <w:numId w:val="0"/>
        </w:numPr>
        <w:rPr>
          <w:b/>
          <w:lang w:val="es-ES_tradnl"/>
        </w:rPr>
      </w:pPr>
      <w:r w:rsidRPr="006D526D">
        <w:rPr>
          <w:b/>
          <w:lang w:val="es-ES_tradnl"/>
        </w:rPr>
        <w:t>Estado de la ejecución de la etapa I del PGEH</w:t>
      </w:r>
    </w:p>
    <w:p w14:paraId="51EB7FA6" w14:textId="41852C1D" w:rsidR="00FE1FBE" w:rsidRPr="00B924EB" w:rsidRDefault="003208A7" w:rsidP="00156F53">
      <w:pPr>
        <w:pStyle w:val="Heading1"/>
        <w:rPr>
          <w:lang w:val="es-ES_tradnl"/>
        </w:rPr>
      </w:pPr>
      <w:r w:rsidRPr="00B924EB">
        <w:rPr>
          <w:lang w:val="es-ES_tradnl"/>
        </w:rPr>
        <w:t>La</w:t>
      </w:r>
      <w:r w:rsidR="00A13BEA" w:rsidRPr="00B924EB">
        <w:rPr>
          <w:lang w:val="es-ES_tradnl"/>
        </w:rPr>
        <w:t xml:space="preserve"> </w:t>
      </w:r>
      <w:r w:rsidRPr="00B924EB">
        <w:rPr>
          <w:lang w:val="es-ES_tradnl"/>
        </w:rPr>
        <w:t>etapa</w:t>
      </w:r>
      <w:r w:rsidR="00A13BEA" w:rsidRPr="00B924EB">
        <w:rPr>
          <w:lang w:val="es-ES_tradnl"/>
        </w:rPr>
        <w:t xml:space="preserve"> </w:t>
      </w:r>
      <w:r w:rsidRPr="00B924EB">
        <w:rPr>
          <w:lang w:val="es-ES_tradnl"/>
        </w:rPr>
        <w:t>I</w:t>
      </w:r>
      <w:r w:rsidR="00A13BEA" w:rsidRPr="00B924EB">
        <w:rPr>
          <w:lang w:val="es-ES_tradnl"/>
        </w:rPr>
        <w:t xml:space="preserve"> </w:t>
      </w:r>
      <w:r w:rsidR="00755C5D" w:rsidRPr="00B924EB">
        <w:rPr>
          <w:lang w:val="es-ES_tradnl"/>
        </w:rPr>
        <w:t>d</w:t>
      </w:r>
      <w:r w:rsidR="00DB3D7B" w:rsidRPr="00B924EB">
        <w:rPr>
          <w:lang w:val="es-ES_tradnl"/>
        </w:rPr>
        <w:t>el</w:t>
      </w:r>
      <w:r w:rsidR="00A13BEA" w:rsidRPr="00B924EB">
        <w:rPr>
          <w:lang w:val="es-ES_tradnl"/>
        </w:rPr>
        <w:t xml:space="preserve"> </w:t>
      </w:r>
      <w:r w:rsidR="00DB3D7B" w:rsidRPr="00B924EB">
        <w:rPr>
          <w:lang w:val="es-ES_tradnl"/>
        </w:rPr>
        <w:t>PGEH</w:t>
      </w:r>
      <w:r w:rsidR="00A13BEA" w:rsidRPr="00B924EB">
        <w:rPr>
          <w:lang w:val="es-ES_tradnl"/>
        </w:rPr>
        <w:t xml:space="preserve"> </w:t>
      </w:r>
      <w:r w:rsidR="00DB3D7B" w:rsidRPr="00B924EB">
        <w:rPr>
          <w:lang w:val="es-ES_tradnl"/>
        </w:rPr>
        <w:t>para</w:t>
      </w:r>
      <w:r w:rsidR="00A13BEA" w:rsidRPr="00B924EB">
        <w:rPr>
          <w:lang w:val="es-ES_tradnl"/>
        </w:rPr>
        <w:t xml:space="preserve"> </w:t>
      </w:r>
      <w:r w:rsidR="00EF486B">
        <w:rPr>
          <w:lang w:val="es-ES_tradnl"/>
        </w:rPr>
        <w:t>Iraq</w:t>
      </w:r>
      <w:r w:rsidR="00461B51">
        <w:rPr>
          <w:lang w:val="es-ES_tradnl"/>
        </w:rPr>
        <w:t>, aprobada</w:t>
      </w:r>
      <w:r w:rsidR="00A13BEA" w:rsidRPr="00B924EB">
        <w:rPr>
          <w:lang w:val="es-ES_tradnl"/>
        </w:rPr>
        <w:t xml:space="preserve"> </w:t>
      </w:r>
      <w:r w:rsidR="00452F79" w:rsidRPr="00B924EB">
        <w:rPr>
          <w:lang w:val="es-ES_tradnl"/>
        </w:rPr>
        <w:t>durante</w:t>
      </w:r>
      <w:r w:rsidR="00A13BEA" w:rsidRPr="00B924EB">
        <w:rPr>
          <w:lang w:val="es-ES_tradnl"/>
        </w:rPr>
        <w:t xml:space="preserve"> </w:t>
      </w:r>
      <w:r w:rsidR="00452F79" w:rsidRPr="00B924EB">
        <w:rPr>
          <w:lang w:val="es-ES_tradnl"/>
        </w:rPr>
        <w:t>la</w:t>
      </w:r>
      <w:r w:rsidR="00A13BEA" w:rsidRPr="00B924EB">
        <w:rPr>
          <w:lang w:val="es-ES_tradnl"/>
        </w:rPr>
        <w:t xml:space="preserve"> </w:t>
      </w:r>
      <w:r w:rsidR="003E0BF3" w:rsidRPr="00B924EB">
        <w:rPr>
          <w:lang w:val="es-ES_tradnl"/>
        </w:rPr>
        <w:t>6</w:t>
      </w:r>
      <w:r w:rsidR="00E26F0F" w:rsidRPr="00B924EB">
        <w:rPr>
          <w:lang w:val="es-ES_tradnl"/>
        </w:rPr>
        <w:t>5</w:t>
      </w:r>
      <w:r w:rsidR="004135A5" w:rsidRPr="00B924EB">
        <w:rPr>
          <w:lang w:val="es-ES_tradnl"/>
        </w:rPr>
        <w:t>ª reunión</w:t>
      </w:r>
      <w:r w:rsidR="00A13BEA" w:rsidRPr="00B924EB">
        <w:rPr>
          <w:lang w:val="es-ES_tradnl"/>
        </w:rPr>
        <w:t xml:space="preserve"> </w:t>
      </w:r>
      <w:r w:rsidR="00E26F0F" w:rsidRPr="00B924EB">
        <w:rPr>
          <w:lang w:val="es-ES_tradnl"/>
        </w:rPr>
        <w:t>por</w:t>
      </w:r>
      <w:r w:rsidR="00A13BEA" w:rsidRPr="00B924EB">
        <w:rPr>
          <w:lang w:val="es-ES_tradnl"/>
        </w:rPr>
        <w:t xml:space="preserve"> </w:t>
      </w:r>
      <w:r w:rsidR="00E26F0F" w:rsidRPr="00B924EB">
        <w:rPr>
          <w:lang w:val="es-ES_tradnl"/>
        </w:rPr>
        <w:t>un</w:t>
      </w:r>
      <w:r w:rsidR="00A13BEA" w:rsidRPr="00B924EB">
        <w:rPr>
          <w:lang w:val="es-ES_tradnl"/>
        </w:rPr>
        <w:t xml:space="preserve"> </w:t>
      </w:r>
      <w:r w:rsidR="00E26F0F" w:rsidRPr="00B924EB">
        <w:rPr>
          <w:lang w:val="es-ES_tradnl"/>
        </w:rPr>
        <w:t>monto</w:t>
      </w:r>
      <w:r w:rsidR="00A13BEA" w:rsidRPr="00B924EB">
        <w:rPr>
          <w:lang w:val="es-ES_tradnl"/>
        </w:rPr>
        <w:t xml:space="preserve"> </w:t>
      </w:r>
      <w:r w:rsidR="00E26F0F" w:rsidRPr="00B924EB">
        <w:rPr>
          <w:lang w:val="es-ES_tradnl"/>
        </w:rPr>
        <w:t>total</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1.</w:t>
      </w:r>
      <w:r w:rsidR="00062273" w:rsidRPr="00B924EB">
        <w:rPr>
          <w:lang w:val="es-ES_tradnl"/>
        </w:rPr>
        <w:t>18</w:t>
      </w:r>
      <w:r w:rsidR="00755C5D" w:rsidRPr="00B924EB">
        <w:rPr>
          <w:lang w:val="es-ES_tradnl"/>
        </w:rPr>
        <w:t>0.</w:t>
      </w:r>
      <w:r w:rsidR="00062273" w:rsidRPr="00B924EB">
        <w:rPr>
          <w:lang w:val="es-ES_tradnl"/>
        </w:rPr>
        <w:t>00</w:t>
      </w:r>
      <w:r w:rsidR="00755C5D" w:rsidRPr="00B924EB">
        <w:rPr>
          <w:lang w:val="es-ES_tradnl"/>
        </w:rPr>
        <w:t>0</w:t>
      </w:r>
      <w:r w:rsidR="00A13BEA" w:rsidRPr="00B924EB">
        <w:rPr>
          <w:lang w:val="es-ES_tradnl"/>
        </w:rPr>
        <w:t xml:space="preserve"> </w:t>
      </w:r>
      <w:r w:rsidR="00DB3D7B" w:rsidRPr="00B924EB">
        <w:rPr>
          <w:lang w:val="es-ES_tradnl"/>
        </w:rPr>
        <w:t>$EUA</w:t>
      </w:r>
      <w:r w:rsidR="00A13BEA" w:rsidRPr="00B924EB">
        <w:rPr>
          <w:lang w:val="es-ES_tradnl"/>
        </w:rPr>
        <w:t xml:space="preserve"> </w:t>
      </w:r>
      <w:r w:rsidR="00DB3D7B" w:rsidRPr="00B924EB">
        <w:rPr>
          <w:lang w:val="es-ES_tradnl"/>
        </w:rPr>
        <w:t>más</w:t>
      </w:r>
      <w:r w:rsidR="00A13BEA" w:rsidRPr="00B924EB">
        <w:rPr>
          <w:lang w:val="es-ES_tradnl"/>
        </w:rPr>
        <w:t xml:space="preserve"> </w:t>
      </w:r>
      <w:r w:rsidR="00DB3D7B" w:rsidRPr="00B924EB">
        <w:rPr>
          <w:lang w:val="es-ES_tradnl"/>
        </w:rPr>
        <w:t>gastos</w:t>
      </w:r>
      <w:r w:rsidR="00A13BEA" w:rsidRPr="00B924EB">
        <w:rPr>
          <w:lang w:val="es-ES_tradnl"/>
        </w:rPr>
        <w:t xml:space="preserve"> </w:t>
      </w:r>
      <w:r w:rsidR="00DB3D7B" w:rsidRPr="00B924EB">
        <w:rPr>
          <w:lang w:val="es-ES_tradnl"/>
        </w:rPr>
        <w:t>de</w:t>
      </w:r>
      <w:r w:rsidR="00A13BEA" w:rsidRPr="00B924EB">
        <w:rPr>
          <w:lang w:val="es-ES_tradnl"/>
        </w:rPr>
        <w:t xml:space="preserve"> </w:t>
      </w:r>
      <w:r w:rsidR="00DB3D7B" w:rsidRPr="00B924EB">
        <w:rPr>
          <w:lang w:val="es-ES_tradnl"/>
        </w:rPr>
        <w:t>apoyo</w:t>
      </w:r>
      <w:r w:rsidR="00062273" w:rsidRPr="00B924EB">
        <w:rPr>
          <w:lang w:val="es-ES_tradnl"/>
        </w:rPr>
        <w:t>,</w:t>
      </w:r>
      <w:r w:rsidR="00C679D6" w:rsidRPr="00B924EB">
        <w:rPr>
          <w:rStyle w:val="FootnoteReference"/>
          <w:lang w:val="es-ES_tradnl"/>
        </w:rPr>
        <w:footnoteReference w:id="3"/>
      </w:r>
      <w:r w:rsidR="00A13BEA" w:rsidRPr="00B924EB">
        <w:rPr>
          <w:lang w:val="es-ES_tradnl"/>
        </w:rPr>
        <w:t xml:space="preserve"> </w:t>
      </w:r>
      <w:r w:rsidR="005347B7">
        <w:rPr>
          <w:lang w:val="es-ES_tradnl"/>
        </w:rPr>
        <w:t>se proponía lograr al año 2015</w:t>
      </w:r>
      <w:r w:rsidR="00A13BEA" w:rsidRPr="00B924EB">
        <w:rPr>
          <w:lang w:val="es-ES_tradnl"/>
        </w:rPr>
        <w:t xml:space="preserve"> </w:t>
      </w:r>
      <w:r w:rsidR="00560E0C">
        <w:rPr>
          <w:lang w:val="es-ES_tradnl"/>
        </w:rPr>
        <w:t xml:space="preserve">una </w:t>
      </w:r>
      <w:r w:rsidR="00560E0C" w:rsidRPr="00560E0C">
        <w:rPr>
          <w:lang w:val="es-ES_tradnl"/>
        </w:rPr>
        <w:t xml:space="preserve">reducción </w:t>
      </w:r>
      <w:r w:rsidR="00560E0C">
        <w:rPr>
          <w:lang w:val="es-ES_tradnl"/>
        </w:rPr>
        <w:t xml:space="preserve">del </w:t>
      </w:r>
      <w:r w:rsidR="00B809B0" w:rsidRPr="00B924EB">
        <w:rPr>
          <w:lang w:val="es-ES_tradnl"/>
        </w:rPr>
        <w:t>13.82</w:t>
      </w:r>
      <w:r w:rsidR="00A13BEA" w:rsidRPr="00B924EB">
        <w:rPr>
          <w:lang w:val="es-ES_tradnl"/>
        </w:rPr>
        <w:t xml:space="preserve"> </w:t>
      </w:r>
      <w:r w:rsidR="00755C5D" w:rsidRPr="00B924EB">
        <w:rPr>
          <w:lang w:val="es-ES_tradnl"/>
        </w:rPr>
        <w:t>por</w:t>
      </w:r>
      <w:r w:rsidR="00A13BEA" w:rsidRPr="00B924EB">
        <w:rPr>
          <w:lang w:val="es-ES_tradnl"/>
        </w:rPr>
        <w:t xml:space="preserve"> </w:t>
      </w:r>
      <w:r w:rsidR="00755C5D" w:rsidRPr="00B924EB">
        <w:rPr>
          <w:lang w:val="es-ES_tradnl"/>
        </w:rPr>
        <w:t>ciento</w:t>
      </w:r>
      <w:r w:rsidR="00A13BEA" w:rsidRPr="00B924EB">
        <w:rPr>
          <w:lang w:val="es-ES_tradnl"/>
        </w:rPr>
        <w:t xml:space="preserve"> </w:t>
      </w:r>
      <w:r w:rsidR="00560E0C">
        <w:rPr>
          <w:lang w:val="es-ES_tradnl"/>
        </w:rPr>
        <w:t xml:space="preserve">sobre la </w:t>
      </w:r>
      <w:r w:rsidR="000521A3" w:rsidRPr="00B924EB">
        <w:rPr>
          <w:lang w:val="es-ES_tradnl"/>
        </w:rPr>
        <w:t>base</w:t>
      </w:r>
      <w:r w:rsidR="00A13BEA" w:rsidRPr="00B924EB">
        <w:rPr>
          <w:lang w:val="es-ES_tradnl"/>
        </w:rPr>
        <w:t xml:space="preserve"> </w:t>
      </w:r>
      <w:r w:rsidR="000521A3" w:rsidRPr="00B924EB">
        <w:rPr>
          <w:lang w:val="es-ES_tradnl"/>
        </w:rPr>
        <w:t>de</w:t>
      </w:r>
      <w:r w:rsidR="00A13BEA" w:rsidRPr="00B924EB">
        <w:rPr>
          <w:lang w:val="es-ES_tradnl"/>
        </w:rPr>
        <w:t xml:space="preserve"> </w:t>
      </w:r>
      <w:r w:rsidR="000521A3" w:rsidRPr="00B924EB">
        <w:rPr>
          <w:lang w:val="es-ES_tradnl"/>
        </w:rPr>
        <w:t>comparación</w:t>
      </w:r>
      <w:r w:rsidR="00A13BEA" w:rsidRPr="00B924EB">
        <w:rPr>
          <w:lang w:val="es-ES_tradnl"/>
        </w:rPr>
        <w:t xml:space="preserve"> </w:t>
      </w:r>
      <w:r w:rsidR="00D16F4E">
        <w:rPr>
          <w:lang w:val="es-ES_tradnl"/>
        </w:rPr>
        <w:t xml:space="preserve">a través de </w:t>
      </w:r>
      <w:r w:rsidR="001F7500">
        <w:rPr>
          <w:lang w:val="es-ES_tradnl"/>
        </w:rPr>
        <w:t xml:space="preserve">eliminar </w:t>
      </w:r>
      <w:r w:rsidR="00B809B0" w:rsidRPr="00B924EB">
        <w:rPr>
          <w:lang w:val="es-ES_tradnl"/>
        </w:rPr>
        <w:t>14.98</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A13BEA" w:rsidRPr="00B924EB">
        <w:rPr>
          <w:lang w:val="es-ES_tradnl"/>
        </w:rPr>
        <w:t xml:space="preserve"> </w:t>
      </w:r>
      <w:r w:rsidR="005E1320" w:rsidRPr="00B924EB">
        <w:rPr>
          <w:lang w:val="es-ES_tradnl"/>
        </w:rPr>
        <w:t>de</w:t>
      </w:r>
      <w:r w:rsidR="00D74888">
        <w:rPr>
          <w:lang w:val="es-ES_tradnl"/>
        </w:rPr>
        <w:t xml:space="preserve"> </w:t>
      </w:r>
      <w:r w:rsidR="005E1320" w:rsidRPr="00B924EB">
        <w:rPr>
          <w:lang w:val="es-ES_tradnl"/>
        </w:rPr>
        <w:t>HCFC</w:t>
      </w:r>
      <w:r w:rsidR="00A13BEA" w:rsidRPr="00B924EB">
        <w:rPr>
          <w:lang w:val="es-ES_tradnl"/>
        </w:rPr>
        <w:t xml:space="preserve"> </w:t>
      </w:r>
      <w:r w:rsidR="00F03D38">
        <w:rPr>
          <w:lang w:val="es-ES_tradnl"/>
        </w:rPr>
        <w:t xml:space="preserve">utilizadas </w:t>
      </w:r>
      <w:r w:rsidR="009374DA" w:rsidRPr="00B924EB">
        <w:rPr>
          <w:lang w:val="es-ES_tradnl"/>
        </w:rPr>
        <w:t>en</w:t>
      </w:r>
      <w:r w:rsidR="00A13BEA" w:rsidRPr="00B924EB">
        <w:rPr>
          <w:lang w:val="es-ES_tradnl"/>
        </w:rPr>
        <w:t xml:space="preserve"> </w:t>
      </w:r>
      <w:r w:rsidR="000341B2">
        <w:rPr>
          <w:lang w:val="es-ES_tradnl"/>
        </w:rPr>
        <w:t>el sector de servicio técnico de refrigeración y climatización</w:t>
      </w:r>
      <w:r w:rsidR="00B809B0" w:rsidRPr="00B924EB">
        <w:rPr>
          <w:lang w:val="es-ES_tradnl"/>
        </w:rPr>
        <w:t>.</w:t>
      </w:r>
      <w:r w:rsidR="00A13BEA" w:rsidRPr="00B924EB">
        <w:rPr>
          <w:lang w:val="es-ES_tradnl"/>
        </w:rPr>
        <w:t xml:space="preserve"> </w:t>
      </w:r>
      <w:r w:rsidR="00B25138">
        <w:rPr>
          <w:lang w:val="es-ES_tradnl"/>
        </w:rPr>
        <w:t xml:space="preserve">Tras las </w:t>
      </w:r>
      <w:r w:rsidR="00B924EB">
        <w:rPr>
          <w:lang w:val="es-ES_tradnl"/>
        </w:rPr>
        <w:t>prórroga</w:t>
      </w:r>
      <w:r w:rsidR="00062273" w:rsidRPr="00B924EB">
        <w:rPr>
          <w:lang w:val="es-ES_tradnl"/>
        </w:rPr>
        <w:t>s</w:t>
      </w:r>
      <w:r w:rsidR="00A13BEA" w:rsidRPr="00B924EB">
        <w:rPr>
          <w:lang w:val="es-ES_tradnl"/>
        </w:rPr>
        <w:t xml:space="preserve"> </w:t>
      </w:r>
      <w:r w:rsidR="00B25138">
        <w:rPr>
          <w:lang w:val="es-ES_tradnl"/>
        </w:rPr>
        <w:t xml:space="preserve">otorgadas durante las </w:t>
      </w:r>
      <w:r w:rsidR="009374DA" w:rsidRPr="00B924EB">
        <w:rPr>
          <w:lang w:val="es-ES_tradnl"/>
        </w:rPr>
        <w:t>reuniones</w:t>
      </w:r>
      <w:r w:rsidR="00B25138">
        <w:rPr>
          <w:lang w:val="es-ES_tradnl"/>
        </w:rPr>
        <w:t xml:space="preserve"> </w:t>
      </w:r>
      <w:r w:rsidR="00B25138" w:rsidRPr="00B924EB">
        <w:rPr>
          <w:lang w:val="es-ES_tradnl"/>
        </w:rPr>
        <w:t>74ª, 84ª y 86ª</w:t>
      </w:r>
      <w:r w:rsidR="00B25138">
        <w:rPr>
          <w:lang w:val="es-ES_tradnl"/>
        </w:rPr>
        <w:t>,</w:t>
      </w:r>
      <w:r w:rsidR="00344939" w:rsidRPr="00B924EB">
        <w:rPr>
          <w:rStyle w:val="FootnoteReference"/>
          <w:lang w:val="es-ES_tradnl"/>
        </w:rPr>
        <w:footnoteReference w:id="4"/>
      </w:r>
      <w:r w:rsidR="00A13BEA" w:rsidRPr="00B924EB">
        <w:rPr>
          <w:lang w:val="es-ES_tradnl"/>
        </w:rPr>
        <w:t xml:space="preserve"> </w:t>
      </w:r>
      <w:r w:rsidRPr="00B924EB">
        <w:rPr>
          <w:lang w:val="es-ES_tradnl"/>
        </w:rPr>
        <w:t>la</w:t>
      </w:r>
      <w:r w:rsidR="00A13BEA" w:rsidRPr="00B924EB">
        <w:rPr>
          <w:lang w:val="es-ES_tradnl"/>
        </w:rPr>
        <w:t xml:space="preserve"> </w:t>
      </w:r>
      <w:r w:rsidR="00EC0554">
        <w:rPr>
          <w:lang w:val="es-ES_tradnl"/>
        </w:rPr>
        <w:t xml:space="preserve">actual </w:t>
      </w:r>
      <w:r w:rsidR="00AA7988">
        <w:rPr>
          <w:lang w:val="es-ES_tradnl"/>
        </w:rPr>
        <w:t xml:space="preserve">fecha de término de </w:t>
      </w:r>
      <w:r w:rsidR="0093540A">
        <w:rPr>
          <w:lang w:val="es-ES_tradnl"/>
        </w:rPr>
        <w:t xml:space="preserve">la </w:t>
      </w:r>
      <w:r w:rsidRPr="00B924EB">
        <w:rPr>
          <w:lang w:val="es-ES_tradnl"/>
        </w:rPr>
        <w:t>etapa</w:t>
      </w:r>
      <w:r w:rsidR="00A13BEA" w:rsidRPr="00B924EB">
        <w:rPr>
          <w:lang w:val="es-ES_tradnl"/>
        </w:rPr>
        <w:t xml:space="preserve"> </w:t>
      </w:r>
      <w:r w:rsidRPr="00B924EB">
        <w:rPr>
          <w:lang w:val="es-ES_tradnl"/>
        </w:rPr>
        <w:t>I</w:t>
      </w:r>
      <w:r w:rsidR="00A13BEA" w:rsidRPr="00B924EB">
        <w:rPr>
          <w:lang w:val="es-ES_tradnl"/>
        </w:rPr>
        <w:t xml:space="preserve"> </w:t>
      </w:r>
      <w:r w:rsidR="00AA7988">
        <w:rPr>
          <w:lang w:val="es-ES_tradnl"/>
        </w:rPr>
        <w:t xml:space="preserve">es el </w:t>
      </w:r>
      <w:r w:rsidR="00A61304" w:rsidRPr="00B924EB">
        <w:rPr>
          <w:lang w:val="es-ES_tradnl"/>
        </w:rPr>
        <w:t>31</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diciembre</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2F4B11" w:rsidRPr="00B924EB">
        <w:rPr>
          <w:lang w:val="es-ES_tradnl"/>
        </w:rPr>
        <w:t>2021</w:t>
      </w:r>
      <w:r w:rsidR="00AB1260" w:rsidRPr="00B924EB">
        <w:rPr>
          <w:lang w:val="es-ES_tradnl"/>
        </w:rPr>
        <w:t>.</w:t>
      </w:r>
    </w:p>
    <w:p w14:paraId="00D32D90" w14:textId="14623EB4" w:rsidR="000521A3" w:rsidRPr="00B924EB" w:rsidRDefault="006D526D" w:rsidP="00FE1FBE">
      <w:pPr>
        <w:rPr>
          <w:u w:val="single"/>
          <w:lang w:val="es-ES_tradnl"/>
        </w:rPr>
      </w:pPr>
      <w:r w:rsidRPr="00B924EB">
        <w:rPr>
          <w:u w:val="single"/>
          <w:lang w:val="es-ES_tradnl"/>
        </w:rPr>
        <w:t>C</w:t>
      </w:r>
      <w:r w:rsidR="00755C5D" w:rsidRPr="00B924EB">
        <w:rPr>
          <w:u w:val="single"/>
          <w:lang w:val="es-ES_tradnl"/>
        </w:rPr>
        <w:t>onsumo</w:t>
      </w:r>
      <w:r w:rsidR="00A13BEA" w:rsidRPr="00B924EB">
        <w:rPr>
          <w:u w:val="single"/>
          <w:lang w:val="es-ES_tradnl"/>
        </w:rPr>
        <w:t xml:space="preserve"> </w:t>
      </w:r>
      <w:r w:rsidR="00755C5D" w:rsidRPr="00B924EB">
        <w:rPr>
          <w:u w:val="single"/>
          <w:lang w:val="es-ES_tradnl"/>
        </w:rPr>
        <w:t>de</w:t>
      </w:r>
      <w:r w:rsidR="00A13BEA" w:rsidRPr="00B924EB">
        <w:rPr>
          <w:u w:val="single"/>
          <w:lang w:val="es-ES_tradnl"/>
        </w:rPr>
        <w:t xml:space="preserve"> </w:t>
      </w:r>
      <w:r w:rsidR="00755C5D" w:rsidRPr="00B924EB">
        <w:rPr>
          <w:u w:val="single"/>
          <w:lang w:val="es-ES_tradnl"/>
        </w:rPr>
        <w:t>HCFC</w:t>
      </w:r>
    </w:p>
    <w:p w14:paraId="01AD9EE0" w14:textId="2B6C9D16" w:rsidR="00FE1FBE" w:rsidRPr="00B924EB" w:rsidRDefault="00FE1FBE" w:rsidP="00FE1FBE">
      <w:pPr>
        <w:rPr>
          <w:lang w:val="es-ES_tradnl"/>
        </w:rPr>
      </w:pPr>
    </w:p>
    <w:p w14:paraId="7CB4A9CC" w14:textId="4ABAB69A" w:rsidR="00FE1FBE" w:rsidRPr="00B924EB" w:rsidRDefault="00A908F8" w:rsidP="00FE1FBE">
      <w:pPr>
        <w:pStyle w:val="Heading1"/>
        <w:rPr>
          <w:lang w:val="es-ES_tradnl"/>
        </w:rPr>
      </w:pPr>
      <w:r>
        <w:rPr>
          <w:lang w:val="es-ES_tradnl"/>
        </w:rPr>
        <w:t xml:space="preserve">Para el año </w:t>
      </w:r>
      <w:r w:rsidRPr="00A908F8">
        <w:rPr>
          <w:lang w:val="es-ES_tradnl"/>
        </w:rPr>
        <w:t>2020</w:t>
      </w:r>
      <w:r w:rsidR="00FD26E5">
        <w:rPr>
          <w:lang w:val="es-ES_tradnl"/>
        </w:rPr>
        <w:t xml:space="preserve">, </w:t>
      </w:r>
      <w:r w:rsidR="005E4DEF">
        <w:rPr>
          <w:lang w:val="es-ES_tradnl"/>
        </w:rPr>
        <w:t>e</w:t>
      </w:r>
      <w:r w:rsidR="00755C5D" w:rsidRPr="00B924EB">
        <w:rPr>
          <w:lang w:val="es-ES_tradnl"/>
        </w:rPr>
        <w:t>l</w:t>
      </w:r>
      <w:r w:rsidR="00A13BEA" w:rsidRPr="00B924EB">
        <w:rPr>
          <w:lang w:val="es-ES_tradnl"/>
        </w:rPr>
        <w:t xml:space="preserve"> </w:t>
      </w:r>
      <w:r w:rsidR="00755C5D" w:rsidRPr="00B924EB">
        <w:rPr>
          <w:lang w:val="es-ES_tradnl"/>
        </w:rPr>
        <w:t>Gobierno</w:t>
      </w:r>
      <w:r w:rsidR="00A13BEA" w:rsidRPr="00B924EB">
        <w:rPr>
          <w:lang w:val="es-ES_tradnl"/>
        </w:rPr>
        <w:t xml:space="preserve"> </w:t>
      </w:r>
      <w:r w:rsidR="00055F50" w:rsidRPr="00B924EB">
        <w:rPr>
          <w:lang w:val="es-ES_tradnl"/>
        </w:rPr>
        <w:t>informó un</w:t>
      </w:r>
      <w:r w:rsidR="00A13BEA" w:rsidRPr="00B924EB">
        <w:rPr>
          <w:lang w:val="es-ES_tradnl"/>
        </w:rPr>
        <w:t xml:space="preserve"> </w:t>
      </w:r>
      <w:r w:rsidR="00DB3D7B" w:rsidRPr="00B924EB">
        <w:rPr>
          <w:lang w:val="es-ES_tradnl"/>
        </w:rPr>
        <w:t>consumo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2F4B11" w:rsidRPr="00B924EB">
        <w:rPr>
          <w:lang w:val="es-ES_tradnl"/>
        </w:rPr>
        <w:t>66.39</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833F38" w:rsidRPr="00B924EB">
        <w:rPr>
          <w:lang w:val="es-ES_tradnl"/>
        </w:rPr>
        <w:t>HCFC</w:t>
      </w:r>
      <w:r w:rsidR="00667E19">
        <w:rPr>
          <w:lang w:val="es-ES_tradnl"/>
        </w:rPr>
        <w:t>,</w:t>
      </w:r>
      <w:r w:rsidR="00A13BEA" w:rsidRPr="00B924EB">
        <w:rPr>
          <w:lang w:val="es-ES_tradnl"/>
        </w:rPr>
        <w:t xml:space="preserve"> </w:t>
      </w:r>
      <w:r w:rsidR="0093534D">
        <w:rPr>
          <w:lang w:val="es-ES_tradnl"/>
        </w:rPr>
        <w:t xml:space="preserve">cifra </w:t>
      </w:r>
      <w:r w:rsidR="009D20BB" w:rsidRPr="00B924EB">
        <w:rPr>
          <w:lang w:val="es-ES_tradnl"/>
        </w:rPr>
        <w:t>39</w:t>
      </w:r>
      <w:r w:rsidR="00A13BEA" w:rsidRPr="00B924EB">
        <w:rPr>
          <w:lang w:val="es-ES_tradnl"/>
        </w:rPr>
        <w:t xml:space="preserve"> </w:t>
      </w:r>
      <w:r w:rsidR="00755C5D" w:rsidRPr="00B924EB">
        <w:rPr>
          <w:lang w:val="es-ES_tradnl"/>
        </w:rPr>
        <w:t>por</w:t>
      </w:r>
      <w:r w:rsidR="00A13BEA" w:rsidRPr="00B924EB">
        <w:rPr>
          <w:lang w:val="es-ES_tradnl"/>
        </w:rPr>
        <w:t xml:space="preserve"> </w:t>
      </w:r>
      <w:r w:rsidR="00755C5D" w:rsidRPr="00B924EB">
        <w:rPr>
          <w:lang w:val="es-ES_tradnl"/>
        </w:rPr>
        <w:t>ciento</w:t>
      </w:r>
      <w:r w:rsidR="00A13BEA" w:rsidRPr="00B924EB">
        <w:rPr>
          <w:lang w:val="es-ES_tradnl"/>
        </w:rPr>
        <w:t xml:space="preserve"> </w:t>
      </w:r>
      <w:r w:rsidR="004E3CC7">
        <w:rPr>
          <w:lang w:val="es-ES_tradnl"/>
        </w:rPr>
        <w:t xml:space="preserve">inferior a la </w:t>
      </w:r>
      <w:r w:rsidR="000521A3" w:rsidRPr="00B924EB">
        <w:rPr>
          <w:lang w:val="es-ES_tradnl"/>
        </w:rPr>
        <w:t>base</w:t>
      </w:r>
      <w:r w:rsidR="00A13BEA" w:rsidRPr="00B924EB">
        <w:rPr>
          <w:lang w:val="es-ES_tradnl"/>
        </w:rPr>
        <w:t xml:space="preserve"> </w:t>
      </w:r>
      <w:r w:rsidR="000521A3" w:rsidRPr="00B924EB">
        <w:rPr>
          <w:lang w:val="es-ES_tradnl"/>
        </w:rPr>
        <w:t>de</w:t>
      </w:r>
      <w:r w:rsidR="00A13BEA" w:rsidRPr="00B924EB">
        <w:rPr>
          <w:lang w:val="es-ES_tradnl"/>
        </w:rPr>
        <w:t xml:space="preserve"> </w:t>
      </w:r>
      <w:r w:rsidR="004E3CC7">
        <w:rPr>
          <w:lang w:val="es-ES_tradnl"/>
        </w:rPr>
        <w:t>comparación para fines de cumplimiento</w:t>
      </w:r>
      <w:r w:rsidR="00FE1FBE" w:rsidRPr="00B924EB">
        <w:rPr>
          <w:lang w:val="es-ES_tradnl"/>
        </w:rPr>
        <w:t>.</w:t>
      </w:r>
      <w:r w:rsidR="00A13BEA" w:rsidRPr="00B924EB">
        <w:rPr>
          <w:lang w:val="es-ES_tradnl"/>
        </w:rPr>
        <w:t xml:space="preserve"> </w:t>
      </w:r>
      <w:r w:rsidR="00AC3386" w:rsidRPr="00663E84">
        <w:rPr>
          <w:lang w:val="es-ES_tradnl"/>
        </w:rPr>
        <w:t>E</w:t>
      </w:r>
      <w:r w:rsidR="00663E84" w:rsidRPr="00663E84">
        <w:rPr>
          <w:lang w:val="es-ES_tradnl"/>
        </w:rPr>
        <w:t xml:space="preserve">l Cuadro 1 muestra </w:t>
      </w:r>
      <w:r w:rsidR="00AC3386">
        <w:rPr>
          <w:lang w:val="es-ES_tradnl"/>
        </w:rPr>
        <w:t xml:space="preserve">el </w:t>
      </w:r>
      <w:r w:rsidR="00755C5D" w:rsidRPr="00B924EB">
        <w:rPr>
          <w:lang w:val="es-ES_tradnl"/>
        </w:rPr>
        <w:t>consumo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AC3386">
        <w:rPr>
          <w:lang w:val="es-ES_tradnl"/>
        </w:rPr>
        <w:t xml:space="preserve">HCFC en el período </w:t>
      </w:r>
      <w:r w:rsidR="00AC3386" w:rsidRPr="00AC3386">
        <w:rPr>
          <w:lang w:val="es-ES_tradnl"/>
        </w:rPr>
        <w:t>2016-2020</w:t>
      </w:r>
      <w:r w:rsidR="00FE1FBE" w:rsidRPr="00B924EB">
        <w:rPr>
          <w:lang w:val="es-ES_tradnl"/>
        </w:rPr>
        <w:t>.</w:t>
      </w:r>
    </w:p>
    <w:p w14:paraId="39E300AE" w14:textId="0C74BE64" w:rsidR="00FE1FBE" w:rsidRPr="00B924EB" w:rsidRDefault="00755C5D" w:rsidP="00FE1FBE">
      <w:pPr>
        <w:rPr>
          <w:b/>
          <w:lang w:val="es-ES_tradnl"/>
        </w:rPr>
      </w:pPr>
      <w:r w:rsidRPr="00B924EB">
        <w:rPr>
          <w:b/>
          <w:lang w:val="es-ES_tradnl"/>
        </w:rPr>
        <w:t>Cuadro</w:t>
      </w:r>
      <w:r w:rsidR="00A13BEA" w:rsidRPr="00B924EB">
        <w:rPr>
          <w:b/>
          <w:lang w:val="es-ES_tradnl"/>
        </w:rPr>
        <w:t xml:space="preserve"> </w:t>
      </w:r>
      <w:r w:rsidR="009D20BB" w:rsidRPr="00B924EB">
        <w:rPr>
          <w:b/>
          <w:lang w:val="es-ES_tradnl"/>
        </w:rPr>
        <w:t>1.</w:t>
      </w:r>
      <w:r w:rsidR="00A13BEA" w:rsidRPr="00B924EB">
        <w:rPr>
          <w:b/>
          <w:lang w:val="es-ES_tradnl"/>
        </w:rPr>
        <w:t xml:space="preserve"> </w:t>
      </w:r>
      <w:r w:rsidR="0081357B" w:rsidRPr="00B924EB">
        <w:rPr>
          <w:b/>
          <w:lang w:val="es-ES_tradnl"/>
        </w:rPr>
        <w:t>C</w:t>
      </w:r>
      <w:r w:rsidRPr="00B924EB">
        <w:rPr>
          <w:b/>
          <w:lang w:val="es-ES_tradnl"/>
        </w:rPr>
        <w:t>onsumo</w:t>
      </w:r>
      <w:r w:rsidR="00A13BEA" w:rsidRPr="00B924EB">
        <w:rPr>
          <w:b/>
          <w:lang w:val="es-ES_tradnl"/>
        </w:rPr>
        <w:t xml:space="preserve"> </w:t>
      </w:r>
      <w:r w:rsidRPr="00B924EB">
        <w:rPr>
          <w:b/>
          <w:lang w:val="es-ES_tradnl"/>
        </w:rPr>
        <w:t>de</w:t>
      </w:r>
      <w:r w:rsidR="00A13BEA" w:rsidRPr="00B924EB">
        <w:rPr>
          <w:b/>
          <w:lang w:val="es-ES_tradnl"/>
        </w:rPr>
        <w:t xml:space="preserve"> </w:t>
      </w:r>
      <w:r w:rsidRPr="00B924EB">
        <w:rPr>
          <w:b/>
          <w:lang w:val="es-ES_tradnl"/>
        </w:rPr>
        <w:t>HCFC</w:t>
      </w:r>
      <w:r w:rsidR="00A13BEA" w:rsidRPr="00B924EB">
        <w:rPr>
          <w:b/>
          <w:lang w:val="es-ES_tradnl"/>
        </w:rPr>
        <w:t xml:space="preserve"> </w:t>
      </w:r>
      <w:r w:rsidRPr="00B924EB">
        <w:rPr>
          <w:b/>
          <w:lang w:val="es-ES_tradnl"/>
        </w:rPr>
        <w:t>en</w:t>
      </w:r>
      <w:r w:rsidR="00A13BEA" w:rsidRPr="00B924EB">
        <w:rPr>
          <w:b/>
          <w:lang w:val="es-ES_tradnl"/>
        </w:rPr>
        <w:t xml:space="preserve"> </w:t>
      </w:r>
      <w:r w:rsidR="009D20BB" w:rsidRPr="00B924EB">
        <w:rPr>
          <w:b/>
          <w:lang w:val="es-ES_tradnl"/>
        </w:rPr>
        <w:t>Iraq</w:t>
      </w:r>
      <w:r w:rsidR="00A13BEA" w:rsidRPr="00B924EB">
        <w:rPr>
          <w:b/>
          <w:lang w:val="es-ES_tradnl"/>
        </w:rPr>
        <w:t xml:space="preserve"> </w:t>
      </w:r>
      <w:r w:rsidR="00833F38" w:rsidRPr="00B924EB">
        <w:rPr>
          <w:b/>
          <w:lang w:val="es-ES_tradnl"/>
        </w:rPr>
        <w:t>(</w:t>
      </w:r>
      <w:r w:rsidR="0081357B">
        <w:rPr>
          <w:b/>
          <w:lang w:val="es-ES_tradnl"/>
        </w:rPr>
        <w:t>2016-2020, con datos del artículo 7</w:t>
      </w:r>
      <w:r w:rsidR="00FE1FBE" w:rsidRPr="00B924EB">
        <w:rPr>
          <w:b/>
          <w:lang w:val="es-ES_tradnl"/>
        </w:rPr>
        <w:t>)</w:t>
      </w:r>
    </w:p>
    <w:tbl>
      <w:tblPr>
        <w:tblW w:w="5000" w:type="pct"/>
        <w:tblLook w:val="04A0" w:firstRow="1" w:lastRow="0" w:firstColumn="1" w:lastColumn="0" w:noHBand="0" w:noVBand="1"/>
      </w:tblPr>
      <w:tblGrid>
        <w:gridCol w:w="2021"/>
        <w:gridCol w:w="1042"/>
        <w:gridCol w:w="1042"/>
        <w:gridCol w:w="1042"/>
        <w:gridCol w:w="1042"/>
        <w:gridCol w:w="1042"/>
        <w:gridCol w:w="2119"/>
      </w:tblGrid>
      <w:tr w:rsidR="00FE1FBE" w:rsidRPr="00B924EB" w14:paraId="23C278AD" w14:textId="77777777" w:rsidTr="00FE1FBE">
        <w:trPr>
          <w:trHeight w:val="248"/>
          <w:tblHeader/>
        </w:trPr>
        <w:tc>
          <w:tcPr>
            <w:tcW w:w="124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49DF0A5" w14:textId="77FCE68E" w:rsidR="00FE1FBE" w:rsidRPr="00B924EB" w:rsidRDefault="00FE1FBE" w:rsidP="00FE1FBE">
            <w:pPr>
              <w:widowControl w:val="0"/>
              <w:jc w:val="left"/>
              <w:rPr>
                <w:b/>
                <w:bCs/>
                <w:color w:val="000000"/>
                <w:sz w:val="20"/>
                <w:szCs w:val="20"/>
                <w:lang w:val="es-ES_tradnl"/>
              </w:rPr>
            </w:pPr>
            <w:r w:rsidRPr="00B924EB">
              <w:rPr>
                <w:b/>
                <w:bCs/>
                <w:color w:val="000000"/>
                <w:sz w:val="20"/>
                <w:szCs w:val="20"/>
                <w:lang w:val="es-ES_tradnl"/>
              </w:rPr>
              <w:t>HCFC</w:t>
            </w:r>
            <w:r w:rsidR="00755C5D" w:rsidRPr="00B924EB">
              <w:rPr>
                <w:b/>
                <w:bCs/>
                <w:color w:val="000000"/>
                <w:sz w:val="20"/>
                <w:szCs w:val="20"/>
                <w:lang w:val="es-ES_tradnl"/>
              </w:rPr>
              <w:t>-</w:t>
            </w:r>
            <w:r w:rsidRPr="00B924EB">
              <w:rPr>
                <w:b/>
                <w:bCs/>
                <w:color w:val="000000"/>
                <w:sz w:val="20"/>
                <w:szCs w:val="20"/>
                <w:lang w:val="es-ES_tradnl"/>
              </w:rPr>
              <w:t>22</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4A25D730" w14:textId="77777777" w:rsidR="00FE1FBE" w:rsidRPr="00B924EB" w:rsidRDefault="00FE1FBE" w:rsidP="00FE1FBE">
            <w:pPr>
              <w:widowControl w:val="0"/>
              <w:jc w:val="center"/>
              <w:rPr>
                <w:b/>
                <w:bCs/>
                <w:color w:val="000000"/>
                <w:sz w:val="20"/>
                <w:szCs w:val="20"/>
                <w:lang w:val="es-ES_tradnl"/>
              </w:rPr>
            </w:pPr>
            <w:r w:rsidRPr="00B924EB">
              <w:rPr>
                <w:b/>
                <w:bCs/>
                <w:color w:val="000000"/>
                <w:sz w:val="20"/>
                <w:szCs w:val="20"/>
                <w:lang w:val="es-ES_tradnl"/>
              </w:rPr>
              <w:t>201</w:t>
            </w:r>
            <w:r w:rsidR="00833F38" w:rsidRPr="00B924EB">
              <w:rPr>
                <w:b/>
                <w:bCs/>
                <w:color w:val="000000"/>
                <w:sz w:val="20"/>
                <w:szCs w:val="20"/>
                <w:lang w:val="es-ES_tradnl"/>
              </w:rPr>
              <w:t>6</w:t>
            </w:r>
          </w:p>
        </w:tc>
        <w:tc>
          <w:tcPr>
            <w:tcW w:w="626" w:type="pct"/>
            <w:tcBorders>
              <w:top w:val="single" w:sz="4" w:space="0" w:color="auto"/>
              <w:left w:val="nil"/>
              <w:bottom w:val="single" w:sz="4" w:space="0" w:color="auto"/>
              <w:right w:val="single" w:sz="4" w:space="0" w:color="auto"/>
            </w:tcBorders>
          </w:tcPr>
          <w:p w14:paraId="28BD1FD6" w14:textId="77777777" w:rsidR="00FE1FBE" w:rsidRPr="00B924EB" w:rsidRDefault="00FE1FBE" w:rsidP="00FE1FBE">
            <w:pPr>
              <w:widowControl w:val="0"/>
              <w:jc w:val="center"/>
              <w:rPr>
                <w:b/>
                <w:bCs/>
                <w:color w:val="000000"/>
                <w:sz w:val="20"/>
                <w:szCs w:val="20"/>
                <w:lang w:val="es-ES_tradnl"/>
              </w:rPr>
            </w:pPr>
            <w:r w:rsidRPr="00B924EB">
              <w:rPr>
                <w:b/>
                <w:bCs/>
                <w:color w:val="000000"/>
                <w:sz w:val="20"/>
                <w:szCs w:val="20"/>
                <w:lang w:val="es-ES_tradnl"/>
              </w:rPr>
              <w:t>201</w:t>
            </w:r>
            <w:r w:rsidR="00833F38" w:rsidRPr="00B924EB">
              <w:rPr>
                <w:b/>
                <w:bCs/>
                <w:color w:val="000000"/>
                <w:sz w:val="20"/>
                <w:szCs w:val="20"/>
                <w:lang w:val="es-ES_tradnl"/>
              </w:rPr>
              <w:t>7</w:t>
            </w:r>
          </w:p>
        </w:tc>
        <w:tc>
          <w:tcPr>
            <w:tcW w:w="625" w:type="pct"/>
            <w:tcBorders>
              <w:top w:val="single" w:sz="4" w:space="0" w:color="auto"/>
              <w:left w:val="single" w:sz="4" w:space="0" w:color="auto"/>
              <w:bottom w:val="single" w:sz="4" w:space="0" w:color="auto"/>
              <w:right w:val="single" w:sz="4" w:space="0" w:color="auto"/>
            </w:tcBorders>
          </w:tcPr>
          <w:p w14:paraId="7A7B0E95" w14:textId="77777777" w:rsidR="00FE1FBE" w:rsidRPr="00B924EB" w:rsidRDefault="00FE1FBE" w:rsidP="00833F38">
            <w:pPr>
              <w:widowControl w:val="0"/>
              <w:jc w:val="center"/>
              <w:rPr>
                <w:b/>
                <w:bCs/>
                <w:color w:val="000000"/>
                <w:sz w:val="20"/>
                <w:szCs w:val="20"/>
                <w:lang w:val="es-ES_tradnl"/>
              </w:rPr>
            </w:pPr>
            <w:r w:rsidRPr="00B924EB">
              <w:rPr>
                <w:b/>
                <w:bCs/>
                <w:color w:val="000000"/>
                <w:sz w:val="20"/>
                <w:szCs w:val="20"/>
                <w:lang w:val="es-ES_tradnl"/>
              </w:rPr>
              <w:t>201</w:t>
            </w:r>
            <w:r w:rsidR="00833F38" w:rsidRPr="00B924EB">
              <w:rPr>
                <w:b/>
                <w:bCs/>
                <w:color w:val="000000"/>
                <w:sz w:val="20"/>
                <w:szCs w:val="20"/>
                <w:lang w:val="es-ES_tradnl"/>
              </w:rPr>
              <w:t>8</w:t>
            </w:r>
          </w:p>
        </w:tc>
        <w:tc>
          <w:tcPr>
            <w:tcW w:w="626" w:type="pct"/>
            <w:tcBorders>
              <w:top w:val="single" w:sz="4" w:space="0" w:color="auto"/>
              <w:left w:val="single" w:sz="4" w:space="0" w:color="auto"/>
              <w:bottom w:val="single" w:sz="4" w:space="0" w:color="auto"/>
              <w:right w:val="single" w:sz="4" w:space="0" w:color="auto"/>
            </w:tcBorders>
          </w:tcPr>
          <w:p w14:paraId="5DEB7305" w14:textId="77777777" w:rsidR="00FE1FBE" w:rsidRPr="00B924EB" w:rsidRDefault="00FE1FBE" w:rsidP="00833F38">
            <w:pPr>
              <w:widowControl w:val="0"/>
              <w:jc w:val="center"/>
              <w:rPr>
                <w:b/>
                <w:bCs/>
                <w:color w:val="000000"/>
                <w:sz w:val="20"/>
                <w:szCs w:val="20"/>
                <w:lang w:val="es-ES_tradnl"/>
              </w:rPr>
            </w:pPr>
            <w:r w:rsidRPr="00B924EB">
              <w:rPr>
                <w:b/>
                <w:bCs/>
                <w:color w:val="000000"/>
                <w:sz w:val="20"/>
                <w:szCs w:val="20"/>
                <w:lang w:val="es-ES_tradnl"/>
              </w:rPr>
              <w:t>201</w:t>
            </w:r>
            <w:r w:rsidR="00833F38" w:rsidRPr="00B924EB">
              <w:rPr>
                <w:b/>
                <w:bCs/>
                <w:color w:val="000000"/>
                <w:sz w:val="20"/>
                <w:szCs w:val="20"/>
                <w:lang w:val="es-ES_tradnl"/>
              </w:rPr>
              <w:t>9</w:t>
            </w:r>
          </w:p>
        </w:tc>
        <w:tc>
          <w:tcPr>
            <w:tcW w:w="625" w:type="pct"/>
            <w:tcBorders>
              <w:top w:val="single" w:sz="4" w:space="0" w:color="auto"/>
              <w:left w:val="single" w:sz="4" w:space="0" w:color="auto"/>
              <w:bottom w:val="single" w:sz="4" w:space="0" w:color="auto"/>
              <w:right w:val="single" w:sz="4" w:space="0" w:color="auto"/>
            </w:tcBorders>
            <w:vAlign w:val="center"/>
          </w:tcPr>
          <w:p w14:paraId="2CA881A0" w14:textId="77777777" w:rsidR="00FE1FBE" w:rsidRPr="00B924EB" w:rsidRDefault="00FE1FBE" w:rsidP="009D20BB">
            <w:pPr>
              <w:widowControl w:val="0"/>
              <w:jc w:val="center"/>
              <w:rPr>
                <w:b/>
                <w:bCs/>
                <w:color w:val="000000"/>
                <w:sz w:val="20"/>
                <w:szCs w:val="20"/>
                <w:lang w:val="es-ES_tradnl"/>
              </w:rPr>
            </w:pPr>
            <w:r w:rsidRPr="00B924EB">
              <w:rPr>
                <w:b/>
                <w:bCs/>
                <w:color w:val="000000"/>
                <w:sz w:val="20"/>
                <w:szCs w:val="20"/>
                <w:lang w:val="es-ES_tradnl"/>
              </w:rPr>
              <w:t>2</w:t>
            </w:r>
            <w:r w:rsidR="00833F38" w:rsidRPr="00B924EB">
              <w:rPr>
                <w:b/>
                <w:bCs/>
                <w:color w:val="000000"/>
                <w:sz w:val="20"/>
                <w:szCs w:val="20"/>
                <w:lang w:val="es-ES_tradnl"/>
              </w:rPr>
              <w:t>020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1A5CC" w14:textId="065F1F85" w:rsidR="00FE1FBE" w:rsidRPr="00B924EB" w:rsidRDefault="000521A3" w:rsidP="00FE1FBE">
            <w:pPr>
              <w:widowControl w:val="0"/>
              <w:jc w:val="center"/>
              <w:rPr>
                <w:b/>
                <w:bCs/>
                <w:color w:val="000000"/>
                <w:sz w:val="20"/>
                <w:szCs w:val="20"/>
                <w:lang w:val="es-ES_tradnl"/>
              </w:rPr>
            </w:pPr>
            <w:r w:rsidRPr="00B924EB">
              <w:rPr>
                <w:b/>
                <w:bCs/>
                <w:color w:val="000000"/>
                <w:sz w:val="20"/>
                <w:szCs w:val="20"/>
                <w:lang w:val="es-ES_tradnl"/>
              </w:rPr>
              <w:t>Base</w:t>
            </w:r>
            <w:r w:rsidR="00A13BEA" w:rsidRPr="00B924EB">
              <w:rPr>
                <w:b/>
                <w:bCs/>
                <w:color w:val="000000"/>
                <w:sz w:val="20"/>
                <w:szCs w:val="20"/>
                <w:lang w:val="es-ES_tradnl"/>
              </w:rPr>
              <w:t xml:space="preserve"> </w:t>
            </w:r>
            <w:r w:rsidRPr="00B924EB">
              <w:rPr>
                <w:b/>
                <w:bCs/>
                <w:color w:val="000000"/>
                <w:sz w:val="20"/>
                <w:szCs w:val="20"/>
                <w:lang w:val="es-ES_tradnl"/>
              </w:rPr>
              <w:t>de</w:t>
            </w:r>
            <w:r w:rsidR="00A13BEA" w:rsidRPr="00B924EB">
              <w:rPr>
                <w:b/>
                <w:bCs/>
                <w:color w:val="000000"/>
                <w:sz w:val="20"/>
                <w:szCs w:val="20"/>
                <w:lang w:val="es-ES_tradnl"/>
              </w:rPr>
              <w:t xml:space="preserve"> </w:t>
            </w:r>
            <w:r w:rsidRPr="00B924EB">
              <w:rPr>
                <w:b/>
                <w:bCs/>
                <w:color w:val="000000"/>
                <w:sz w:val="20"/>
                <w:szCs w:val="20"/>
                <w:lang w:val="es-ES_tradnl"/>
              </w:rPr>
              <w:t>comparación</w:t>
            </w:r>
            <w:r w:rsidR="009D20BB" w:rsidRPr="00B924EB">
              <w:rPr>
                <w:b/>
                <w:bCs/>
                <w:color w:val="000000"/>
                <w:sz w:val="20"/>
                <w:szCs w:val="20"/>
                <w:lang w:val="es-ES_tradnl"/>
              </w:rPr>
              <w:t>*</w:t>
            </w:r>
          </w:p>
        </w:tc>
      </w:tr>
      <w:tr w:rsidR="009D20BB" w:rsidRPr="00B924EB" w14:paraId="14200F3F" w14:textId="77777777" w:rsidTr="00530722">
        <w:trPr>
          <w:trHeight w:val="240"/>
        </w:trPr>
        <w:tc>
          <w:tcPr>
            <w:tcW w:w="124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69C3818" w14:textId="53BEE7E5" w:rsidR="009D20BB" w:rsidRPr="00B924EB" w:rsidRDefault="00755C5D" w:rsidP="009D20BB">
            <w:pPr>
              <w:widowControl w:val="0"/>
              <w:jc w:val="left"/>
              <w:rPr>
                <w:bCs/>
                <w:color w:val="000000"/>
                <w:sz w:val="20"/>
                <w:szCs w:val="20"/>
                <w:lang w:val="es-ES_tradnl"/>
              </w:rPr>
            </w:pPr>
            <w:r w:rsidRPr="00B924EB">
              <w:rPr>
                <w:bCs/>
                <w:color w:val="000000"/>
                <w:sz w:val="20"/>
                <w:szCs w:val="20"/>
                <w:lang w:val="es-ES_tradnl"/>
              </w:rPr>
              <w:t>Toneladas</w:t>
            </w:r>
            <w:r w:rsidR="00A13BEA" w:rsidRPr="00B924EB">
              <w:rPr>
                <w:bCs/>
                <w:color w:val="000000"/>
                <w:sz w:val="20"/>
                <w:szCs w:val="20"/>
                <w:lang w:val="es-ES_tradnl"/>
              </w:rPr>
              <w:t xml:space="preserve"> </w:t>
            </w:r>
            <w:r w:rsidRPr="00B924EB">
              <w:rPr>
                <w:bCs/>
                <w:color w:val="000000"/>
                <w:sz w:val="20"/>
                <w:szCs w:val="20"/>
                <w:lang w:val="es-ES_tradnl"/>
              </w:rPr>
              <w:t>métricas</w:t>
            </w:r>
            <w:r w:rsidR="00A13BEA" w:rsidRPr="00B924EB">
              <w:rPr>
                <w:bCs/>
                <w:color w:val="000000"/>
                <w:sz w:val="20"/>
                <w:szCs w:val="20"/>
                <w:lang w:val="es-ES_tradnl"/>
              </w:rPr>
              <w:t xml:space="preserve"> </w:t>
            </w:r>
            <w:r w:rsidR="009D20BB" w:rsidRPr="00B924EB">
              <w:rPr>
                <w:bCs/>
                <w:color w:val="000000"/>
                <w:sz w:val="20"/>
                <w:szCs w:val="20"/>
                <w:lang w:val="es-ES_tradnl"/>
              </w:rPr>
              <w:t>(</w:t>
            </w:r>
            <w:proofErr w:type="spellStart"/>
            <w:r w:rsidRPr="00B924EB">
              <w:rPr>
                <w:bCs/>
                <w:color w:val="000000"/>
                <w:sz w:val="20"/>
                <w:szCs w:val="20"/>
                <w:lang w:val="es-ES_tradnl"/>
              </w:rPr>
              <w:t>tm</w:t>
            </w:r>
            <w:proofErr w:type="spellEnd"/>
            <w:r w:rsidR="009D20BB" w:rsidRPr="00B924EB">
              <w:rPr>
                <w:bCs/>
                <w:color w:val="000000"/>
                <w:sz w:val="20"/>
                <w:szCs w:val="20"/>
                <w:lang w:val="es-ES_tradnl"/>
              </w:rPr>
              <w:t>)</w:t>
            </w:r>
          </w:p>
        </w:tc>
        <w:tc>
          <w:tcPr>
            <w:tcW w:w="625" w:type="pct"/>
            <w:tcBorders>
              <w:top w:val="single" w:sz="4" w:space="0" w:color="auto"/>
              <w:left w:val="nil"/>
              <w:bottom w:val="single" w:sz="4" w:space="0" w:color="auto"/>
              <w:right w:val="single" w:sz="4" w:space="0" w:color="auto"/>
            </w:tcBorders>
            <w:shd w:val="clear" w:color="auto" w:fill="auto"/>
            <w:noWrap/>
            <w:tcMar>
              <w:left w:w="115" w:type="dxa"/>
              <w:right w:w="230" w:type="dxa"/>
            </w:tcMar>
            <w:vAlign w:val="bottom"/>
          </w:tcPr>
          <w:p w14:paraId="6220FA36" w14:textId="08A006F7" w:rsidR="009D20BB" w:rsidRPr="00B924EB" w:rsidRDefault="00755C5D" w:rsidP="009D20BB">
            <w:pPr>
              <w:jc w:val="right"/>
              <w:rPr>
                <w:sz w:val="20"/>
                <w:szCs w:val="20"/>
                <w:lang w:val="es-ES_tradnl"/>
              </w:rPr>
            </w:pPr>
            <w:r w:rsidRPr="00B924EB">
              <w:rPr>
                <w:color w:val="000000"/>
                <w:sz w:val="20"/>
                <w:szCs w:val="20"/>
                <w:lang w:val="es-ES_tradnl"/>
              </w:rPr>
              <w:t>1.</w:t>
            </w:r>
            <w:r w:rsidR="009D20BB" w:rsidRPr="00B924EB">
              <w:rPr>
                <w:color w:val="000000"/>
                <w:sz w:val="20"/>
                <w:szCs w:val="20"/>
                <w:lang w:val="es-ES_tradnl"/>
              </w:rPr>
              <w:t>695.00</w:t>
            </w:r>
          </w:p>
        </w:tc>
        <w:tc>
          <w:tcPr>
            <w:tcW w:w="626" w:type="pct"/>
            <w:tcBorders>
              <w:top w:val="single" w:sz="4" w:space="0" w:color="auto"/>
              <w:left w:val="nil"/>
              <w:bottom w:val="single" w:sz="4" w:space="0" w:color="auto"/>
              <w:right w:val="single" w:sz="4" w:space="0" w:color="auto"/>
            </w:tcBorders>
            <w:shd w:val="clear" w:color="auto" w:fill="auto"/>
            <w:tcMar>
              <w:left w:w="115" w:type="dxa"/>
              <w:right w:w="230" w:type="dxa"/>
            </w:tcMar>
            <w:vAlign w:val="bottom"/>
          </w:tcPr>
          <w:p w14:paraId="262BCF72" w14:textId="43779BDF" w:rsidR="009D20BB" w:rsidRPr="00B924EB" w:rsidRDefault="00755C5D" w:rsidP="009D20BB">
            <w:pPr>
              <w:jc w:val="right"/>
              <w:rPr>
                <w:sz w:val="20"/>
                <w:szCs w:val="20"/>
                <w:lang w:val="es-ES_tradnl"/>
              </w:rPr>
            </w:pPr>
            <w:r w:rsidRPr="00B924EB">
              <w:rPr>
                <w:color w:val="000000"/>
                <w:sz w:val="20"/>
                <w:szCs w:val="20"/>
                <w:lang w:val="es-ES_tradnl"/>
              </w:rPr>
              <w:t>1.</w:t>
            </w:r>
            <w:r w:rsidR="009D20BB" w:rsidRPr="00B924EB">
              <w:rPr>
                <w:color w:val="000000"/>
                <w:sz w:val="20"/>
                <w:szCs w:val="20"/>
                <w:lang w:val="es-ES_tradnl"/>
              </w:rPr>
              <w:t>664.00</w:t>
            </w:r>
          </w:p>
        </w:tc>
        <w:tc>
          <w:tcPr>
            <w:tcW w:w="625" w:type="pct"/>
            <w:tcBorders>
              <w:top w:val="nil"/>
              <w:left w:val="single" w:sz="4" w:space="0" w:color="auto"/>
              <w:bottom w:val="single" w:sz="4" w:space="0" w:color="auto"/>
              <w:right w:val="single" w:sz="4" w:space="0" w:color="auto"/>
            </w:tcBorders>
            <w:tcMar>
              <w:left w:w="115" w:type="dxa"/>
              <w:right w:w="230" w:type="dxa"/>
            </w:tcMar>
          </w:tcPr>
          <w:p w14:paraId="79C21C7B" w14:textId="4477635A" w:rsidR="009D20BB" w:rsidRPr="00B924EB" w:rsidRDefault="00755C5D" w:rsidP="009D20BB">
            <w:pPr>
              <w:jc w:val="right"/>
              <w:rPr>
                <w:sz w:val="20"/>
                <w:szCs w:val="20"/>
                <w:lang w:val="es-ES_tradnl"/>
              </w:rPr>
            </w:pPr>
            <w:r w:rsidRPr="00B924EB">
              <w:rPr>
                <w:rFonts w:eastAsiaTheme="minorHAnsi"/>
                <w:color w:val="000000"/>
                <w:sz w:val="20"/>
                <w:szCs w:val="20"/>
                <w:lang w:val="es-ES_tradnl"/>
              </w:rPr>
              <w:t>1.</w:t>
            </w:r>
            <w:r w:rsidR="009D20BB" w:rsidRPr="00B924EB">
              <w:rPr>
                <w:rFonts w:eastAsiaTheme="minorHAnsi"/>
                <w:color w:val="000000"/>
                <w:sz w:val="20"/>
                <w:szCs w:val="20"/>
                <w:lang w:val="es-ES_tradnl"/>
              </w:rPr>
              <w:t>685.09</w:t>
            </w:r>
          </w:p>
        </w:tc>
        <w:tc>
          <w:tcPr>
            <w:tcW w:w="626" w:type="pct"/>
            <w:tcBorders>
              <w:top w:val="nil"/>
              <w:left w:val="single" w:sz="4" w:space="0" w:color="auto"/>
              <w:bottom w:val="single" w:sz="4" w:space="0" w:color="auto"/>
              <w:right w:val="single" w:sz="4" w:space="0" w:color="auto"/>
            </w:tcBorders>
            <w:tcMar>
              <w:left w:w="115" w:type="dxa"/>
              <w:right w:w="230" w:type="dxa"/>
            </w:tcMar>
          </w:tcPr>
          <w:p w14:paraId="26CB933F" w14:textId="1CC0AFAC" w:rsidR="009D20BB" w:rsidRPr="00B924EB" w:rsidRDefault="00755C5D" w:rsidP="009D20BB">
            <w:pPr>
              <w:widowControl w:val="0"/>
              <w:jc w:val="right"/>
              <w:rPr>
                <w:rFonts w:eastAsiaTheme="minorHAnsi"/>
                <w:color w:val="000000"/>
                <w:sz w:val="20"/>
                <w:szCs w:val="20"/>
                <w:lang w:val="es-ES_tradnl"/>
              </w:rPr>
            </w:pPr>
            <w:r w:rsidRPr="00B924EB">
              <w:rPr>
                <w:sz w:val="20"/>
                <w:szCs w:val="20"/>
                <w:lang w:val="es-ES_tradnl"/>
              </w:rPr>
              <w:t>1.</w:t>
            </w:r>
            <w:r w:rsidR="009D20BB" w:rsidRPr="00B924EB">
              <w:rPr>
                <w:sz w:val="20"/>
                <w:szCs w:val="20"/>
                <w:lang w:val="es-ES_tradnl"/>
              </w:rPr>
              <w:t>698.00</w:t>
            </w:r>
          </w:p>
        </w:tc>
        <w:tc>
          <w:tcPr>
            <w:tcW w:w="625" w:type="pct"/>
            <w:tcBorders>
              <w:top w:val="nil"/>
              <w:left w:val="single" w:sz="4" w:space="0" w:color="auto"/>
              <w:bottom w:val="single" w:sz="4" w:space="0" w:color="auto"/>
              <w:right w:val="single" w:sz="4" w:space="0" w:color="auto"/>
            </w:tcBorders>
            <w:tcMar>
              <w:left w:w="115" w:type="dxa"/>
              <w:right w:w="230" w:type="dxa"/>
            </w:tcMar>
            <w:vAlign w:val="bottom"/>
          </w:tcPr>
          <w:p w14:paraId="6ADC9567" w14:textId="1524F974" w:rsidR="009D20BB" w:rsidRPr="00B924EB" w:rsidRDefault="00755C5D" w:rsidP="009D20BB">
            <w:pPr>
              <w:jc w:val="right"/>
              <w:rPr>
                <w:color w:val="000000"/>
                <w:sz w:val="20"/>
                <w:szCs w:val="20"/>
                <w:lang w:val="es-ES_tradnl"/>
              </w:rPr>
            </w:pPr>
            <w:r w:rsidRPr="00B924EB">
              <w:rPr>
                <w:sz w:val="20"/>
                <w:szCs w:val="20"/>
                <w:lang w:val="es-ES_tradnl"/>
              </w:rPr>
              <w:t>1.</w:t>
            </w:r>
            <w:r w:rsidR="009D20BB" w:rsidRPr="00B924EB">
              <w:rPr>
                <w:sz w:val="20"/>
                <w:szCs w:val="20"/>
                <w:lang w:val="es-ES_tradnl"/>
              </w:rPr>
              <w:t>207.09</w:t>
            </w:r>
          </w:p>
        </w:tc>
        <w:tc>
          <w:tcPr>
            <w:tcW w:w="625" w:type="pct"/>
            <w:tcBorders>
              <w:top w:val="nil"/>
              <w:left w:val="single" w:sz="4" w:space="0" w:color="auto"/>
              <w:bottom w:val="single" w:sz="4" w:space="0" w:color="auto"/>
              <w:right w:val="single" w:sz="4" w:space="0" w:color="auto"/>
            </w:tcBorders>
            <w:shd w:val="clear" w:color="auto" w:fill="auto"/>
            <w:noWrap/>
            <w:tcMar>
              <w:left w:w="115" w:type="dxa"/>
              <w:right w:w="230" w:type="dxa"/>
            </w:tcMar>
            <w:vAlign w:val="center"/>
          </w:tcPr>
          <w:p w14:paraId="2B5C6F21" w14:textId="1B3A47FC" w:rsidR="009D20BB" w:rsidRPr="00B924EB" w:rsidRDefault="00755C5D" w:rsidP="009D20BB">
            <w:pPr>
              <w:widowControl w:val="0"/>
              <w:jc w:val="right"/>
              <w:rPr>
                <w:bCs/>
                <w:color w:val="000000"/>
                <w:sz w:val="20"/>
                <w:szCs w:val="20"/>
                <w:lang w:val="es-ES_tradnl"/>
              </w:rPr>
            </w:pPr>
            <w:r w:rsidRPr="00B924EB">
              <w:rPr>
                <w:bCs/>
                <w:color w:val="000000"/>
                <w:sz w:val="20"/>
                <w:szCs w:val="20"/>
                <w:lang w:val="es-ES_tradnl"/>
              </w:rPr>
              <w:t>1.</w:t>
            </w:r>
            <w:r w:rsidR="009D20BB" w:rsidRPr="00B924EB">
              <w:rPr>
                <w:bCs/>
                <w:color w:val="000000"/>
                <w:sz w:val="20"/>
                <w:szCs w:val="20"/>
                <w:lang w:val="es-ES_tradnl"/>
              </w:rPr>
              <w:t>970.9</w:t>
            </w:r>
          </w:p>
        </w:tc>
      </w:tr>
      <w:tr w:rsidR="009D20BB" w:rsidRPr="00B924EB" w14:paraId="4BC6A202" w14:textId="77777777" w:rsidTr="00530722">
        <w:trPr>
          <w:trHeight w:val="40"/>
        </w:trPr>
        <w:tc>
          <w:tcPr>
            <w:tcW w:w="124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CF59797" w14:textId="57E11B98" w:rsidR="009D20BB" w:rsidRPr="00B924EB" w:rsidRDefault="008C36E0" w:rsidP="009D20BB">
            <w:pPr>
              <w:widowControl w:val="0"/>
              <w:jc w:val="left"/>
              <w:rPr>
                <w:color w:val="000000"/>
                <w:sz w:val="20"/>
                <w:szCs w:val="20"/>
                <w:lang w:val="es-ES_tradnl"/>
              </w:rPr>
            </w:pPr>
            <w:r w:rsidRPr="00B924EB">
              <w:rPr>
                <w:bCs/>
                <w:color w:val="000000"/>
                <w:sz w:val="20"/>
                <w:szCs w:val="20"/>
                <w:lang w:val="es-ES_tradnl"/>
              </w:rPr>
              <w:t>T</w:t>
            </w:r>
            <w:r w:rsidR="00755C5D" w:rsidRPr="00B924EB">
              <w:rPr>
                <w:bCs/>
                <w:color w:val="000000"/>
                <w:sz w:val="20"/>
                <w:szCs w:val="20"/>
                <w:lang w:val="es-ES_tradnl"/>
              </w:rPr>
              <w:t>oneladas</w:t>
            </w:r>
            <w:r w:rsidR="00A13BEA" w:rsidRPr="00B924EB">
              <w:rPr>
                <w:bCs/>
                <w:color w:val="000000"/>
                <w:sz w:val="20"/>
                <w:szCs w:val="20"/>
                <w:lang w:val="es-ES_tradnl"/>
              </w:rPr>
              <w:t xml:space="preserve"> </w:t>
            </w:r>
            <w:r w:rsidR="00755C5D" w:rsidRPr="00B924EB">
              <w:rPr>
                <w:bCs/>
                <w:color w:val="000000"/>
                <w:sz w:val="20"/>
                <w:szCs w:val="20"/>
                <w:lang w:val="es-ES_tradnl"/>
              </w:rPr>
              <w:t>PAO</w:t>
            </w:r>
          </w:p>
        </w:tc>
        <w:tc>
          <w:tcPr>
            <w:tcW w:w="625" w:type="pct"/>
            <w:tcBorders>
              <w:top w:val="single" w:sz="4" w:space="0" w:color="auto"/>
              <w:left w:val="nil"/>
              <w:bottom w:val="single" w:sz="4" w:space="0" w:color="auto"/>
              <w:right w:val="single" w:sz="4" w:space="0" w:color="auto"/>
            </w:tcBorders>
            <w:noWrap/>
            <w:tcMar>
              <w:left w:w="115" w:type="dxa"/>
              <w:right w:w="230" w:type="dxa"/>
            </w:tcMar>
          </w:tcPr>
          <w:p w14:paraId="64C53C11" w14:textId="77777777" w:rsidR="009D20BB" w:rsidRPr="00B924EB" w:rsidRDefault="009D20BB" w:rsidP="009D20BB">
            <w:pPr>
              <w:jc w:val="right"/>
              <w:rPr>
                <w:sz w:val="20"/>
                <w:szCs w:val="20"/>
                <w:lang w:val="es-ES_tradnl"/>
              </w:rPr>
            </w:pPr>
            <w:r w:rsidRPr="00B924EB">
              <w:rPr>
                <w:color w:val="000000"/>
                <w:sz w:val="20"/>
                <w:szCs w:val="20"/>
                <w:lang w:val="es-ES_tradnl"/>
              </w:rPr>
              <w:t>93.22</w:t>
            </w:r>
          </w:p>
        </w:tc>
        <w:tc>
          <w:tcPr>
            <w:tcW w:w="626" w:type="pct"/>
            <w:tcBorders>
              <w:top w:val="nil"/>
              <w:left w:val="single" w:sz="4" w:space="0" w:color="auto"/>
              <w:bottom w:val="single" w:sz="4" w:space="0" w:color="auto"/>
              <w:right w:val="single" w:sz="4" w:space="0" w:color="auto"/>
            </w:tcBorders>
            <w:tcMar>
              <w:left w:w="115" w:type="dxa"/>
              <w:right w:w="230" w:type="dxa"/>
            </w:tcMar>
          </w:tcPr>
          <w:p w14:paraId="7D9E4B90" w14:textId="77777777" w:rsidR="009D20BB" w:rsidRPr="00B924EB" w:rsidRDefault="009D20BB" w:rsidP="009D20BB">
            <w:pPr>
              <w:jc w:val="right"/>
              <w:rPr>
                <w:sz w:val="20"/>
                <w:szCs w:val="20"/>
                <w:lang w:val="es-ES_tradnl"/>
              </w:rPr>
            </w:pPr>
            <w:r w:rsidRPr="00B924EB">
              <w:rPr>
                <w:sz w:val="20"/>
                <w:szCs w:val="20"/>
                <w:lang w:val="es-ES_tradnl"/>
              </w:rPr>
              <w:t>91.52</w:t>
            </w:r>
          </w:p>
        </w:tc>
        <w:tc>
          <w:tcPr>
            <w:tcW w:w="625" w:type="pct"/>
            <w:tcBorders>
              <w:top w:val="nil"/>
              <w:left w:val="single" w:sz="4" w:space="0" w:color="auto"/>
              <w:bottom w:val="single" w:sz="4" w:space="0" w:color="auto"/>
              <w:right w:val="single" w:sz="4" w:space="0" w:color="auto"/>
            </w:tcBorders>
            <w:tcMar>
              <w:left w:w="115" w:type="dxa"/>
              <w:right w:w="230" w:type="dxa"/>
            </w:tcMar>
          </w:tcPr>
          <w:p w14:paraId="3CC5C906" w14:textId="77777777" w:rsidR="009D20BB" w:rsidRPr="00B924EB" w:rsidRDefault="009D20BB" w:rsidP="009D20BB">
            <w:pPr>
              <w:jc w:val="right"/>
              <w:rPr>
                <w:sz w:val="20"/>
                <w:szCs w:val="20"/>
                <w:lang w:val="es-ES_tradnl"/>
              </w:rPr>
            </w:pPr>
            <w:r w:rsidRPr="00B924EB">
              <w:rPr>
                <w:rFonts w:eastAsiaTheme="minorHAnsi"/>
                <w:color w:val="000000"/>
                <w:sz w:val="20"/>
                <w:szCs w:val="20"/>
                <w:lang w:val="es-ES_tradnl"/>
              </w:rPr>
              <w:t>92.68</w:t>
            </w:r>
          </w:p>
        </w:tc>
        <w:tc>
          <w:tcPr>
            <w:tcW w:w="626" w:type="pct"/>
            <w:tcBorders>
              <w:top w:val="single" w:sz="4" w:space="0" w:color="auto"/>
              <w:left w:val="single" w:sz="4" w:space="0" w:color="auto"/>
              <w:bottom w:val="single" w:sz="4" w:space="0" w:color="auto"/>
              <w:right w:val="single" w:sz="4" w:space="0" w:color="auto"/>
            </w:tcBorders>
            <w:tcMar>
              <w:left w:w="115" w:type="dxa"/>
              <w:right w:w="230" w:type="dxa"/>
            </w:tcMar>
          </w:tcPr>
          <w:p w14:paraId="0ABDD2CF" w14:textId="77777777" w:rsidR="009D20BB" w:rsidRPr="00B924EB" w:rsidRDefault="009D20BB" w:rsidP="009D20BB">
            <w:pPr>
              <w:jc w:val="right"/>
              <w:rPr>
                <w:rFonts w:eastAsiaTheme="minorHAnsi"/>
                <w:color w:val="000000"/>
                <w:sz w:val="20"/>
                <w:szCs w:val="20"/>
                <w:lang w:val="es-ES_tradnl"/>
              </w:rPr>
            </w:pPr>
            <w:r w:rsidRPr="00B924EB">
              <w:rPr>
                <w:sz w:val="20"/>
                <w:szCs w:val="20"/>
                <w:lang w:val="es-ES_tradnl"/>
              </w:rPr>
              <w:t>93.39</w:t>
            </w:r>
          </w:p>
        </w:tc>
        <w:tc>
          <w:tcPr>
            <w:tcW w:w="625" w:type="pct"/>
            <w:tcBorders>
              <w:top w:val="single" w:sz="4" w:space="0" w:color="auto"/>
              <w:left w:val="single" w:sz="4" w:space="0" w:color="auto"/>
              <w:bottom w:val="single" w:sz="4" w:space="0" w:color="auto"/>
              <w:right w:val="single" w:sz="4" w:space="0" w:color="auto"/>
            </w:tcBorders>
            <w:tcMar>
              <w:left w:w="115" w:type="dxa"/>
              <w:right w:w="230" w:type="dxa"/>
            </w:tcMar>
          </w:tcPr>
          <w:p w14:paraId="2F4D0AB2" w14:textId="77777777" w:rsidR="009D20BB" w:rsidRPr="00B924EB" w:rsidRDefault="009D20BB" w:rsidP="009D20BB">
            <w:pPr>
              <w:jc w:val="right"/>
              <w:rPr>
                <w:rFonts w:eastAsiaTheme="minorHAnsi"/>
                <w:color w:val="000000"/>
                <w:sz w:val="20"/>
                <w:szCs w:val="20"/>
                <w:lang w:val="es-ES_tradnl"/>
              </w:rPr>
            </w:pPr>
            <w:r w:rsidRPr="00B924EB">
              <w:rPr>
                <w:sz w:val="20"/>
                <w:szCs w:val="20"/>
                <w:lang w:val="es-ES_tradnl"/>
              </w:rPr>
              <w:t>66.39</w:t>
            </w:r>
          </w:p>
        </w:tc>
        <w:tc>
          <w:tcPr>
            <w:tcW w:w="625" w:type="pct"/>
            <w:tcBorders>
              <w:top w:val="nil"/>
              <w:left w:val="single" w:sz="4" w:space="0" w:color="auto"/>
              <w:bottom w:val="single" w:sz="4" w:space="0" w:color="auto"/>
              <w:right w:val="single" w:sz="4" w:space="0" w:color="auto"/>
            </w:tcBorders>
            <w:shd w:val="clear" w:color="auto" w:fill="auto"/>
            <w:noWrap/>
            <w:tcMar>
              <w:left w:w="115" w:type="dxa"/>
              <w:right w:w="230" w:type="dxa"/>
            </w:tcMar>
          </w:tcPr>
          <w:p w14:paraId="39A00AAF" w14:textId="77777777" w:rsidR="009D20BB" w:rsidRPr="00B924EB" w:rsidRDefault="009D20BB" w:rsidP="009D20BB">
            <w:pPr>
              <w:jc w:val="right"/>
              <w:rPr>
                <w:rFonts w:eastAsiaTheme="minorHAnsi"/>
                <w:color w:val="000000"/>
                <w:sz w:val="20"/>
                <w:szCs w:val="20"/>
                <w:lang w:val="es-ES_tradnl"/>
              </w:rPr>
            </w:pPr>
            <w:r w:rsidRPr="00B924EB">
              <w:rPr>
                <w:rFonts w:eastAsiaTheme="minorHAnsi"/>
                <w:color w:val="000000"/>
                <w:sz w:val="20"/>
                <w:szCs w:val="20"/>
                <w:lang w:val="es-ES_tradnl"/>
              </w:rPr>
              <w:t>108.4</w:t>
            </w:r>
          </w:p>
        </w:tc>
      </w:tr>
    </w:tbl>
    <w:p w14:paraId="1E41F6AD" w14:textId="4F7E4295" w:rsidR="00FE1FBE" w:rsidRPr="00B924EB" w:rsidRDefault="009D20BB" w:rsidP="00FE1FBE">
      <w:pPr>
        <w:rPr>
          <w:sz w:val="18"/>
          <w:szCs w:val="18"/>
          <w:lang w:val="es-ES_tradnl"/>
        </w:rPr>
      </w:pPr>
      <w:r w:rsidRPr="00B924EB">
        <w:rPr>
          <w:sz w:val="18"/>
          <w:szCs w:val="18"/>
          <w:lang w:val="es-ES_tradnl"/>
        </w:rPr>
        <w:t>*</w:t>
      </w:r>
      <w:r w:rsidR="00A13BEA" w:rsidRPr="00B924EB">
        <w:rPr>
          <w:sz w:val="18"/>
          <w:szCs w:val="18"/>
          <w:lang w:val="es-ES_tradnl"/>
        </w:rPr>
        <w:t xml:space="preserve"> </w:t>
      </w:r>
      <w:r w:rsidR="00F2371E">
        <w:rPr>
          <w:sz w:val="18"/>
          <w:szCs w:val="18"/>
          <w:lang w:val="es-ES_tradnl"/>
        </w:rPr>
        <w:t>L</w:t>
      </w:r>
      <w:r w:rsidR="00FB6295">
        <w:rPr>
          <w:sz w:val="18"/>
          <w:szCs w:val="18"/>
          <w:lang w:val="es-ES_tradnl"/>
        </w:rPr>
        <w:t>a base</w:t>
      </w:r>
      <w:r w:rsidR="00A13BEA" w:rsidRPr="00B924EB">
        <w:rPr>
          <w:sz w:val="18"/>
          <w:szCs w:val="18"/>
          <w:lang w:val="es-ES_tradnl"/>
        </w:rPr>
        <w:t xml:space="preserve"> </w:t>
      </w:r>
      <w:r w:rsidR="000521A3" w:rsidRPr="00B924EB">
        <w:rPr>
          <w:sz w:val="18"/>
          <w:szCs w:val="18"/>
          <w:lang w:val="es-ES_tradnl"/>
        </w:rPr>
        <w:t>de</w:t>
      </w:r>
      <w:r w:rsidR="00A13BEA" w:rsidRPr="00B924EB">
        <w:rPr>
          <w:sz w:val="18"/>
          <w:szCs w:val="18"/>
          <w:lang w:val="es-ES_tradnl"/>
        </w:rPr>
        <w:t xml:space="preserve"> </w:t>
      </w:r>
      <w:r w:rsidR="000521A3" w:rsidRPr="00B924EB">
        <w:rPr>
          <w:sz w:val="18"/>
          <w:szCs w:val="18"/>
          <w:lang w:val="es-ES_tradnl"/>
        </w:rPr>
        <w:t>comparación</w:t>
      </w:r>
      <w:r w:rsidR="00A13BEA" w:rsidRPr="00B924EB">
        <w:rPr>
          <w:sz w:val="18"/>
          <w:szCs w:val="18"/>
          <w:lang w:val="es-ES_tradnl"/>
        </w:rPr>
        <w:t xml:space="preserve"> </w:t>
      </w:r>
      <w:r w:rsidR="00D01DC2" w:rsidRPr="00B924EB">
        <w:rPr>
          <w:sz w:val="18"/>
          <w:szCs w:val="18"/>
          <w:lang w:val="es-ES_tradnl"/>
        </w:rPr>
        <w:t>incluye</w:t>
      </w:r>
      <w:r w:rsidR="00A13BEA" w:rsidRPr="00B924EB">
        <w:rPr>
          <w:sz w:val="18"/>
          <w:szCs w:val="18"/>
          <w:lang w:val="es-ES_tradnl"/>
        </w:rPr>
        <w:t xml:space="preserve"> </w:t>
      </w:r>
      <w:r w:rsidRPr="00B924EB">
        <w:rPr>
          <w:sz w:val="18"/>
          <w:szCs w:val="18"/>
          <w:lang w:val="es-ES_tradnl"/>
        </w:rPr>
        <w:t>0.05</w:t>
      </w:r>
      <w:r w:rsidR="00A13BEA" w:rsidRPr="00B924EB">
        <w:rPr>
          <w:sz w:val="18"/>
          <w:szCs w:val="18"/>
          <w:lang w:val="es-ES_tradnl"/>
        </w:rPr>
        <w:t xml:space="preserve"> </w:t>
      </w:r>
      <w:r w:rsidR="00755C5D" w:rsidRPr="00B924EB">
        <w:rPr>
          <w:sz w:val="18"/>
          <w:szCs w:val="18"/>
          <w:lang w:val="es-ES_tradnl"/>
        </w:rPr>
        <w:t>toneladas</w:t>
      </w:r>
      <w:r w:rsidR="00A13BEA" w:rsidRPr="00B924EB">
        <w:rPr>
          <w:sz w:val="18"/>
          <w:szCs w:val="18"/>
          <w:lang w:val="es-ES_tradnl"/>
        </w:rPr>
        <w:t xml:space="preserve"> </w:t>
      </w:r>
      <w:r w:rsidR="00755C5D" w:rsidRPr="00B924EB">
        <w:rPr>
          <w:sz w:val="18"/>
          <w:szCs w:val="18"/>
          <w:lang w:val="es-ES_tradnl"/>
        </w:rPr>
        <w:t>PAO</w:t>
      </w:r>
      <w:r w:rsidR="00A13BEA" w:rsidRPr="00B924EB">
        <w:rPr>
          <w:sz w:val="18"/>
          <w:szCs w:val="18"/>
          <w:lang w:val="es-ES_tradnl"/>
        </w:rPr>
        <w:t xml:space="preserve"> </w:t>
      </w:r>
      <w:r w:rsidR="00755C5D" w:rsidRPr="00B924EB">
        <w:rPr>
          <w:sz w:val="18"/>
          <w:szCs w:val="18"/>
          <w:lang w:val="es-ES_tradnl"/>
        </w:rPr>
        <w:t>de</w:t>
      </w:r>
      <w:r w:rsidR="00A13BEA" w:rsidRPr="00B924EB">
        <w:rPr>
          <w:sz w:val="18"/>
          <w:szCs w:val="18"/>
          <w:lang w:val="es-ES_tradnl"/>
        </w:rPr>
        <w:t xml:space="preserve"> </w:t>
      </w:r>
      <w:r w:rsidRPr="00B924EB">
        <w:rPr>
          <w:sz w:val="18"/>
          <w:szCs w:val="18"/>
          <w:lang w:val="es-ES_tradnl"/>
        </w:rPr>
        <w:t>HCFC</w:t>
      </w:r>
      <w:r w:rsidR="00755C5D" w:rsidRPr="00B924EB">
        <w:rPr>
          <w:sz w:val="18"/>
          <w:szCs w:val="18"/>
          <w:lang w:val="es-ES_tradnl"/>
        </w:rPr>
        <w:t>-</w:t>
      </w:r>
      <w:r w:rsidRPr="00B924EB">
        <w:rPr>
          <w:sz w:val="18"/>
          <w:szCs w:val="18"/>
          <w:lang w:val="es-ES_tradnl"/>
        </w:rPr>
        <w:t>124</w:t>
      </w:r>
      <w:r w:rsidR="00A13BEA" w:rsidRPr="00B924EB">
        <w:rPr>
          <w:sz w:val="18"/>
          <w:szCs w:val="18"/>
          <w:lang w:val="es-ES_tradnl"/>
        </w:rPr>
        <w:t xml:space="preserve"> </w:t>
      </w:r>
      <w:r w:rsidR="00755C5D" w:rsidRPr="00B924EB">
        <w:rPr>
          <w:sz w:val="18"/>
          <w:szCs w:val="18"/>
          <w:lang w:val="es-ES_tradnl"/>
        </w:rPr>
        <w:t>y</w:t>
      </w:r>
      <w:r w:rsidR="00A13BEA" w:rsidRPr="00B924EB">
        <w:rPr>
          <w:sz w:val="18"/>
          <w:szCs w:val="18"/>
          <w:lang w:val="es-ES_tradnl"/>
        </w:rPr>
        <w:t xml:space="preserve"> </w:t>
      </w:r>
      <w:r w:rsidRPr="00B924EB">
        <w:rPr>
          <w:sz w:val="18"/>
          <w:szCs w:val="18"/>
          <w:lang w:val="es-ES_tradnl"/>
        </w:rPr>
        <w:t>0.09</w:t>
      </w:r>
      <w:r w:rsidR="00A13BEA" w:rsidRPr="00B924EB">
        <w:rPr>
          <w:sz w:val="18"/>
          <w:szCs w:val="18"/>
          <w:lang w:val="es-ES_tradnl"/>
        </w:rPr>
        <w:t xml:space="preserve"> </w:t>
      </w:r>
      <w:r w:rsidR="00755C5D" w:rsidRPr="00B924EB">
        <w:rPr>
          <w:sz w:val="18"/>
          <w:szCs w:val="18"/>
          <w:lang w:val="es-ES_tradnl"/>
        </w:rPr>
        <w:t>toneladas</w:t>
      </w:r>
      <w:r w:rsidR="00A13BEA" w:rsidRPr="00B924EB">
        <w:rPr>
          <w:sz w:val="18"/>
          <w:szCs w:val="18"/>
          <w:lang w:val="es-ES_tradnl"/>
        </w:rPr>
        <w:t xml:space="preserve"> </w:t>
      </w:r>
      <w:r w:rsidR="00755C5D" w:rsidRPr="00B924EB">
        <w:rPr>
          <w:sz w:val="18"/>
          <w:szCs w:val="18"/>
          <w:lang w:val="es-ES_tradnl"/>
        </w:rPr>
        <w:t>PAO</w:t>
      </w:r>
      <w:r w:rsidR="00A13BEA" w:rsidRPr="00B924EB">
        <w:rPr>
          <w:sz w:val="18"/>
          <w:szCs w:val="18"/>
          <w:lang w:val="es-ES_tradnl"/>
        </w:rPr>
        <w:t xml:space="preserve"> </w:t>
      </w:r>
      <w:r w:rsidR="00755C5D" w:rsidRPr="00B924EB">
        <w:rPr>
          <w:sz w:val="18"/>
          <w:szCs w:val="18"/>
          <w:lang w:val="es-ES_tradnl"/>
        </w:rPr>
        <w:t>de</w:t>
      </w:r>
      <w:r w:rsidR="00A13BEA" w:rsidRPr="00B924EB">
        <w:rPr>
          <w:sz w:val="18"/>
          <w:szCs w:val="18"/>
          <w:lang w:val="es-ES_tradnl"/>
        </w:rPr>
        <w:t xml:space="preserve"> </w:t>
      </w:r>
      <w:r w:rsidRPr="00B924EB">
        <w:rPr>
          <w:sz w:val="18"/>
          <w:szCs w:val="18"/>
          <w:lang w:val="es-ES_tradnl"/>
        </w:rPr>
        <w:t>HCFC</w:t>
      </w:r>
      <w:r w:rsidR="00755C5D" w:rsidRPr="00B924EB">
        <w:rPr>
          <w:sz w:val="18"/>
          <w:szCs w:val="18"/>
          <w:lang w:val="es-ES_tradnl"/>
        </w:rPr>
        <w:t>-</w:t>
      </w:r>
      <w:r w:rsidR="00B36683">
        <w:rPr>
          <w:sz w:val="18"/>
          <w:szCs w:val="18"/>
          <w:lang w:val="es-ES_tradnl"/>
        </w:rPr>
        <w:t>142b</w:t>
      </w:r>
      <w:r w:rsidRPr="00B924EB">
        <w:rPr>
          <w:sz w:val="18"/>
          <w:szCs w:val="18"/>
          <w:lang w:val="es-ES_tradnl"/>
        </w:rPr>
        <w:t>,</w:t>
      </w:r>
      <w:r w:rsidR="00A13BEA" w:rsidRPr="00B924EB">
        <w:rPr>
          <w:sz w:val="18"/>
          <w:szCs w:val="18"/>
          <w:lang w:val="es-ES_tradnl"/>
        </w:rPr>
        <w:t xml:space="preserve"> </w:t>
      </w:r>
      <w:r w:rsidR="00F2371E">
        <w:rPr>
          <w:sz w:val="18"/>
          <w:szCs w:val="18"/>
          <w:lang w:val="es-ES_tradnl"/>
        </w:rPr>
        <w:t xml:space="preserve">pero </w:t>
      </w:r>
      <w:r w:rsidR="001967E5">
        <w:rPr>
          <w:sz w:val="18"/>
          <w:szCs w:val="18"/>
          <w:lang w:val="es-ES_tradnl"/>
        </w:rPr>
        <w:t xml:space="preserve">no se registra </w:t>
      </w:r>
      <w:r w:rsidR="003D2A94">
        <w:rPr>
          <w:sz w:val="18"/>
          <w:szCs w:val="18"/>
          <w:lang w:val="es-ES_tradnl"/>
        </w:rPr>
        <w:t xml:space="preserve">consumo de </w:t>
      </w:r>
      <w:r w:rsidR="00F07E90">
        <w:rPr>
          <w:sz w:val="18"/>
          <w:szCs w:val="18"/>
          <w:lang w:val="es-ES_tradnl"/>
        </w:rPr>
        <w:t>estas</w:t>
      </w:r>
      <w:r w:rsidR="00A13BEA" w:rsidRPr="00B924EB">
        <w:rPr>
          <w:sz w:val="18"/>
          <w:szCs w:val="18"/>
          <w:lang w:val="es-ES_tradnl"/>
        </w:rPr>
        <w:t xml:space="preserve"> </w:t>
      </w:r>
      <w:r w:rsidR="00DB3D7B" w:rsidRPr="00B924EB">
        <w:rPr>
          <w:sz w:val="18"/>
          <w:szCs w:val="18"/>
          <w:lang w:val="es-ES_tradnl"/>
        </w:rPr>
        <w:t>sustancia</w:t>
      </w:r>
      <w:r w:rsidRPr="00B924EB">
        <w:rPr>
          <w:sz w:val="18"/>
          <w:szCs w:val="18"/>
          <w:lang w:val="es-ES_tradnl"/>
        </w:rPr>
        <w:t>s</w:t>
      </w:r>
      <w:r w:rsidR="00A13BEA" w:rsidRPr="00B924EB">
        <w:rPr>
          <w:sz w:val="18"/>
          <w:szCs w:val="18"/>
          <w:lang w:val="es-ES_tradnl"/>
        </w:rPr>
        <w:t xml:space="preserve"> </w:t>
      </w:r>
      <w:r w:rsidR="00B924EB">
        <w:rPr>
          <w:sz w:val="18"/>
          <w:szCs w:val="18"/>
          <w:lang w:val="es-ES_tradnl"/>
        </w:rPr>
        <w:t>desde</w:t>
      </w:r>
      <w:r w:rsidR="00A13BEA" w:rsidRPr="00B924EB">
        <w:rPr>
          <w:sz w:val="18"/>
          <w:szCs w:val="18"/>
          <w:lang w:val="es-ES_tradnl"/>
        </w:rPr>
        <w:t xml:space="preserve"> </w:t>
      </w:r>
      <w:r w:rsidR="00BE21A4">
        <w:rPr>
          <w:sz w:val="18"/>
          <w:szCs w:val="18"/>
          <w:lang w:val="es-ES_tradnl"/>
        </w:rPr>
        <w:t xml:space="preserve">el año </w:t>
      </w:r>
      <w:r w:rsidRPr="00B924EB">
        <w:rPr>
          <w:sz w:val="18"/>
          <w:szCs w:val="18"/>
          <w:lang w:val="es-ES_tradnl"/>
        </w:rPr>
        <w:t>2010.</w:t>
      </w:r>
    </w:p>
    <w:p w14:paraId="63A11D6B" w14:textId="77777777" w:rsidR="009D20BB" w:rsidRPr="00B924EB" w:rsidRDefault="009D20BB" w:rsidP="00FE1FBE">
      <w:pPr>
        <w:rPr>
          <w:lang w:val="es-ES_tradnl"/>
        </w:rPr>
      </w:pPr>
    </w:p>
    <w:p w14:paraId="2E2EC71F" w14:textId="2EB264A8" w:rsidR="000521A3" w:rsidRPr="00B924EB" w:rsidRDefault="00DE3A78" w:rsidP="009049A7">
      <w:pPr>
        <w:pStyle w:val="Heading1"/>
        <w:rPr>
          <w:lang w:val="es-ES_tradnl"/>
        </w:rPr>
      </w:pPr>
      <w:r>
        <w:rPr>
          <w:lang w:val="es-ES_tradnl"/>
        </w:rPr>
        <w:t xml:space="preserve">El </w:t>
      </w:r>
      <w:r w:rsidR="00755C5D" w:rsidRPr="00B924EB">
        <w:rPr>
          <w:lang w:val="es-ES_tradnl"/>
        </w:rPr>
        <w:t>consumo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HCFC</w:t>
      </w:r>
      <w:r w:rsidR="00A13BEA" w:rsidRPr="00B924EB">
        <w:rPr>
          <w:lang w:val="es-ES_tradnl"/>
        </w:rPr>
        <w:t xml:space="preserve"> </w:t>
      </w:r>
      <w:r w:rsidR="004F0DA8">
        <w:rPr>
          <w:lang w:val="es-ES_tradnl"/>
        </w:rPr>
        <w:t xml:space="preserve">entre </w:t>
      </w:r>
      <w:r w:rsidR="004F0DA8" w:rsidRPr="004F0DA8">
        <w:rPr>
          <w:lang w:val="es-ES_tradnl"/>
        </w:rPr>
        <w:t>2015 y 2019</w:t>
      </w:r>
      <w:r w:rsidR="004F0DA8">
        <w:rPr>
          <w:lang w:val="es-ES_tradnl"/>
        </w:rPr>
        <w:t xml:space="preserve"> </w:t>
      </w:r>
      <w:r w:rsidR="007575FD">
        <w:rPr>
          <w:lang w:val="es-ES_tradnl"/>
        </w:rPr>
        <w:t xml:space="preserve">se mantuvo estable </w:t>
      </w:r>
      <w:r w:rsidR="00FD6A46">
        <w:rPr>
          <w:lang w:val="es-ES_tradnl"/>
        </w:rPr>
        <w:t>al</w:t>
      </w:r>
      <w:r w:rsidR="00340C7E">
        <w:rPr>
          <w:lang w:val="es-ES_tradnl"/>
        </w:rPr>
        <w:t xml:space="preserve">rededor </w:t>
      </w:r>
      <w:r w:rsidR="00F509D3">
        <w:rPr>
          <w:lang w:val="es-ES_tradnl"/>
        </w:rPr>
        <w:t>de</w:t>
      </w:r>
      <w:r w:rsidR="007575FD">
        <w:rPr>
          <w:lang w:val="es-ES_tradnl"/>
        </w:rPr>
        <w:t xml:space="preserve">l </w:t>
      </w:r>
      <w:r w:rsidR="00755C5D" w:rsidRPr="00B924EB">
        <w:rPr>
          <w:lang w:val="es-ES_tradnl"/>
        </w:rPr>
        <w:t>máximo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824D2A" w:rsidRPr="00B924EB">
        <w:rPr>
          <w:lang w:val="es-ES_tradnl"/>
        </w:rPr>
        <w:t>93.40</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A13BEA" w:rsidRPr="00B924EB">
        <w:rPr>
          <w:lang w:val="es-ES_tradnl"/>
        </w:rPr>
        <w:t xml:space="preserve"> </w:t>
      </w:r>
      <w:r w:rsidR="001E59EB">
        <w:rPr>
          <w:lang w:val="es-ES_tradnl"/>
        </w:rPr>
        <w:t>que permite el Acuerdo</w:t>
      </w:r>
      <w:r w:rsidR="00A13BEA" w:rsidRPr="00B924EB">
        <w:rPr>
          <w:lang w:val="es-ES_tradnl"/>
        </w:rPr>
        <w:t xml:space="preserve"> </w:t>
      </w:r>
      <w:r w:rsidR="009374DA" w:rsidRPr="00B924EB">
        <w:rPr>
          <w:lang w:val="es-ES_tradnl"/>
        </w:rPr>
        <w:t>entre</w:t>
      </w:r>
      <w:r w:rsidR="00A13BEA" w:rsidRPr="00B924EB">
        <w:rPr>
          <w:lang w:val="es-ES_tradnl"/>
        </w:rPr>
        <w:t xml:space="preserve"> </w:t>
      </w:r>
      <w:r w:rsidR="00755C5D" w:rsidRPr="00B924EB">
        <w:rPr>
          <w:lang w:val="es-ES_tradnl"/>
        </w:rPr>
        <w:t>el</w:t>
      </w:r>
      <w:r w:rsidR="00A13BEA" w:rsidRPr="00B924EB">
        <w:rPr>
          <w:lang w:val="es-ES_tradnl"/>
        </w:rPr>
        <w:t xml:space="preserve"> </w:t>
      </w:r>
      <w:r w:rsidR="00755C5D" w:rsidRPr="00B924EB">
        <w:rPr>
          <w:lang w:val="es-ES_tradnl"/>
        </w:rPr>
        <w:t>Gobierno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5D03D7" w:rsidRPr="00B924EB">
        <w:rPr>
          <w:lang w:val="es-ES_tradnl"/>
        </w:rPr>
        <w:t>Iraq</w:t>
      </w:r>
      <w:r w:rsidR="00A13BEA" w:rsidRPr="00B924EB">
        <w:rPr>
          <w:lang w:val="es-ES_tradnl"/>
        </w:rPr>
        <w:t xml:space="preserve"> </w:t>
      </w:r>
      <w:r w:rsidR="00755C5D" w:rsidRPr="00B924EB">
        <w:rPr>
          <w:lang w:val="es-ES_tradnl"/>
        </w:rPr>
        <w:t>y</w:t>
      </w:r>
      <w:r w:rsidR="00A13BEA" w:rsidRPr="00B924EB">
        <w:rPr>
          <w:lang w:val="es-ES_tradnl"/>
        </w:rPr>
        <w:t xml:space="preserve"> </w:t>
      </w:r>
      <w:r w:rsidR="009374DA" w:rsidRPr="00B924EB">
        <w:rPr>
          <w:lang w:val="es-ES_tradnl"/>
        </w:rPr>
        <w:t>el</w:t>
      </w:r>
      <w:r w:rsidR="00A13BEA" w:rsidRPr="00B924EB">
        <w:rPr>
          <w:lang w:val="es-ES_tradnl"/>
        </w:rPr>
        <w:t xml:space="preserve"> </w:t>
      </w:r>
      <w:r w:rsidR="009374DA" w:rsidRPr="00B924EB">
        <w:rPr>
          <w:lang w:val="es-ES_tradnl"/>
        </w:rPr>
        <w:t>Comité</w:t>
      </w:r>
      <w:r w:rsidR="00A13BEA" w:rsidRPr="00B924EB">
        <w:rPr>
          <w:lang w:val="es-ES_tradnl"/>
        </w:rPr>
        <w:t xml:space="preserve"> </w:t>
      </w:r>
      <w:r w:rsidR="00755C5D" w:rsidRPr="00B924EB">
        <w:rPr>
          <w:lang w:val="es-ES_tradnl"/>
        </w:rPr>
        <w:t>Ejecutivo</w:t>
      </w:r>
      <w:r w:rsidR="00A13BEA" w:rsidRPr="00B924EB">
        <w:rPr>
          <w:lang w:val="es-ES_tradnl"/>
        </w:rPr>
        <w:t xml:space="preserve"> </w:t>
      </w:r>
      <w:r w:rsidR="009374DA" w:rsidRPr="00B924EB">
        <w:rPr>
          <w:lang w:val="es-ES_tradnl"/>
        </w:rPr>
        <w:t>para</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824D2A" w:rsidRPr="00B924EB">
        <w:rPr>
          <w:lang w:val="es-ES_tradnl"/>
        </w:rPr>
        <w:t>.</w:t>
      </w:r>
      <w:r w:rsidR="00A13BEA" w:rsidRPr="00B924EB">
        <w:rPr>
          <w:lang w:val="es-ES_tradnl"/>
        </w:rPr>
        <w:t xml:space="preserve"> </w:t>
      </w:r>
      <w:r w:rsidR="00E02941" w:rsidRPr="00B924EB">
        <w:rPr>
          <w:lang w:val="es-ES_tradnl"/>
        </w:rPr>
        <w:t>E</w:t>
      </w:r>
      <w:r w:rsidR="009374DA" w:rsidRPr="00B924EB">
        <w:rPr>
          <w:lang w:val="es-ES_tradnl"/>
        </w:rPr>
        <w:t>n</w:t>
      </w:r>
      <w:r w:rsidR="00E02941">
        <w:rPr>
          <w:lang w:val="es-ES_tradnl"/>
        </w:rPr>
        <w:t xml:space="preserve"> </w:t>
      </w:r>
      <w:r w:rsidR="000521A3" w:rsidRPr="00B924EB">
        <w:rPr>
          <w:lang w:val="es-ES_tradnl"/>
        </w:rPr>
        <w:t>cumplimiento</w:t>
      </w:r>
      <w:r w:rsidR="00A13BEA" w:rsidRPr="00B924EB">
        <w:rPr>
          <w:lang w:val="es-ES_tradnl"/>
        </w:rPr>
        <w:t xml:space="preserve"> </w:t>
      </w:r>
      <w:r w:rsidR="009374DA" w:rsidRPr="00B924EB">
        <w:rPr>
          <w:lang w:val="es-ES_tradnl"/>
        </w:rPr>
        <w:t>con</w:t>
      </w:r>
      <w:r w:rsidR="00A13BEA" w:rsidRPr="00B924EB">
        <w:rPr>
          <w:lang w:val="es-ES_tradnl"/>
        </w:rPr>
        <w:t xml:space="preserve"> </w:t>
      </w:r>
      <w:r w:rsidR="00DE4B0E">
        <w:rPr>
          <w:lang w:val="es-ES_tradnl"/>
        </w:rPr>
        <w:t xml:space="preserve">las medidas de control previstas en el </w:t>
      </w:r>
      <w:r w:rsidR="00DE4B0E" w:rsidRPr="00DE4B0E">
        <w:rPr>
          <w:lang w:val="es-ES_tradnl"/>
        </w:rPr>
        <w:t xml:space="preserve">Protocolo de </w:t>
      </w:r>
      <w:r w:rsidR="00E02941">
        <w:rPr>
          <w:lang w:val="es-ES_tradnl"/>
        </w:rPr>
        <w:t xml:space="preserve">Montreal, </w:t>
      </w:r>
      <w:r w:rsidR="00E02941" w:rsidRPr="00E02941">
        <w:rPr>
          <w:lang w:val="es-ES_tradnl"/>
        </w:rPr>
        <w:t xml:space="preserve">en 2020 </w:t>
      </w:r>
      <w:r w:rsidR="00293CC5" w:rsidRPr="00293CC5">
        <w:rPr>
          <w:lang w:val="es-ES_tradnl"/>
        </w:rPr>
        <w:t xml:space="preserve">el consumo </w:t>
      </w:r>
      <w:r w:rsidR="00E02941" w:rsidRPr="00E02941">
        <w:rPr>
          <w:lang w:val="es-ES_tradnl"/>
        </w:rPr>
        <w:t xml:space="preserve">se redujo a 66.39 toneladas </w:t>
      </w:r>
      <w:r w:rsidR="0001622C">
        <w:rPr>
          <w:lang w:val="es-ES_tradnl"/>
        </w:rPr>
        <w:t xml:space="preserve">PAO </w:t>
      </w:r>
      <w:r w:rsidR="00087059">
        <w:rPr>
          <w:lang w:val="es-ES_tradnl"/>
        </w:rPr>
        <w:t xml:space="preserve">producto </w:t>
      </w:r>
      <w:r w:rsidR="00545A8E">
        <w:rPr>
          <w:lang w:val="es-ES_tradnl"/>
        </w:rPr>
        <w:t xml:space="preserve">de la </w:t>
      </w:r>
      <w:r w:rsidR="00F41AD4">
        <w:rPr>
          <w:lang w:val="es-ES_tradnl"/>
        </w:rPr>
        <w:t>ejecución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6122A3">
        <w:rPr>
          <w:lang w:val="es-ES_tradnl"/>
        </w:rPr>
        <w:t xml:space="preserve">las </w:t>
      </w:r>
      <w:r w:rsidR="009374DA" w:rsidRPr="00B924EB">
        <w:rPr>
          <w:lang w:val="es-ES_tradnl"/>
        </w:rPr>
        <w:t>actividades</w:t>
      </w:r>
      <w:r w:rsidR="00A13BEA" w:rsidRPr="00B924EB">
        <w:rPr>
          <w:lang w:val="es-ES_tradnl"/>
        </w:rPr>
        <w:t xml:space="preserve"> </w:t>
      </w:r>
      <w:r w:rsidR="007742BE">
        <w:rPr>
          <w:lang w:val="es-ES_tradnl"/>
        </w:rPr>
        <w:t xml:space="preserve">previstas para </w:t>
      </w:r>
      <w:r w:rsidR="00363607" w:rsidRPr="00B924EB">
        <w:rPr>
          <w:lang w:val="es-ES_tradnl"/>
        </w:rPr>
        <w:t>el</w:t>
      </w:r>
      <w:r w:rsidR="00A13BEA" w:rsidRPr="00B924EB">
        <w:rPr>
          <w:lang w:val="es-ES_tradnl"/>
        </w:rPr>
        <w:t xml:space="preserve"> </w:t>
      </w:r>
      <w:r w:rsidR="00363607" w:rsidRPr="00B924EB">
        <w:rPr>
          <w:lang w:val="es-ES_tradnl"/>
        </w:rPr>
        <w:t>sector</w:t>
      </w:r>
      <w:r w:rsidR="00A13BEA" w:rsidRPr="00B924EB">
        <w:rPr>
          <w:lang w:val="es-ES_tradnl"/>
        </w:rPr>
        <w:t xml:space="preserve"> </w:t>
      </w:r>
      <w:r w:rsidR="00755C5D" w:rsidRPr="00B924EB">
        <w:rPr>
          <w:lang w:val="es-ES_tradnl"/>
        </w:rPr>
        <w:t>servicio</w:t>
      </w:r>
      <w:r w:rsidR="00A13BEA" w:rsidRPr="00B924EB">
        <w:rPr>
          <w:lang w:val="es-ES_tradnl"/>
        </w:rPr>
        <w:t xml:space="preserve"> </w:t>
      </w:r>
      <w:r w:rsidR="00755C5D" w:rsidRPr="00B924EB">
        <w:rPr>
          <w:lang w:val="es-ES_tradnl"/>
        </w:rPr>
        <w:t>técnico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equipos</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refrigeración</w:t>
      </w:r>
      <w:r w:rsidR="003B01A1">
        <w:rPr>
          <w:lang w:val="es-ES_tradnl"/>
        </w:rPr>
        <w:t xml:space="preserve">, lográndose </w:t>
      </w:r>
      <w:r w:rsidR="005A3DC5" w:rsidRPr="005A3DC5">
        <w:rPr>
          <w:lang w:val="es-ES_tradnl"/>
        </w:rPr>
        <w:t xml:space="preserve">en la etapa I </w:t>
      </w:r>
      <w:r w:rsidR="003B01A1">
        <w:rPr>
          <w:lang w:val="es-ES_tradnl"/>
        </w:rPr>
        <w:t xml:space="preserve">la </w:t>
      </w:r>
      <w:r w:rsidR="00755C5D" w:rsidRPr="00B924EB">
        <w:rPr>
          <w:lang w:val="es-ES_tradnl"/>
        </w:rPr>
        <w:t>eliminación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9049A7" w:rsidRPr="00B924EB">
        <w:rPr>
          <w:lang w:val="es-ES_tradnl"/>
        </w:rPr>
        <w:t>14.98</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A13BEA" w:rsidRPr="00B924EB">
        <w:rPr>
          <w:lang w:val="es-ES_tradnl"/>
        </w:rPr>
        <w:t xml:space="preserve"> </w:t>
      </w:r>
      <w:r w:rsidR="00755C5D" w:rsidRPr="00B924EB">
        <w:rPr>
          <w:lang w:val="es-ES_tradnl"/>
        </w:rPr>
        <w:t>y</w:t>
      </w:r>
      <w:r w:rsidR="00E31B0F">
        <w:rPr>
          <w:lang w:val="es-ES_tradnl"/>
        </w:rPr>
        <w:t>,</w:t>
      </w:r>
      <w:r w:rsidR="00E31B0F" w:rsidRPr="0083084B">
        <w:rPr>
          <w:lang w:val="es-419"/>
        </w:rPr>
        <w:t xml:space="preserve"> </w:t>
      </w:r>
      <w:r w:rsidR="00E31B0F" w:rsidRPr="00E31B0F">
        <w:rPr>
          <w:lang w:val="es-ES_tradnl"/>
        </w:rPr>
        <w:t xml:space="preserve">sin financiamiento del </w:t>
      </w:r>
      <w:r w:rsidR="00E31B0F">
        <w:rPr>
          <w:lang w:val="es-ES_tradnl"/>
        </w:rPr>
        <w:t>Fondo Multilateral,</w:t>
      </w:r>
      <w:r w:rsidR="00A13BEA" w:rsidRPr="00B924EB">
        <w:rPr>
          <w:lang w:val="es-ES_tradnl"/>
        </w:rPr>
        <w:t xml:space="preserve"> </w:t>
      </w:r>
      <w:r w:rsidR="008F723C">
        <w:rPr>
          <w:lang w:val="es-ES_tradnl"/>
        </w:rPr>
        <w:t xml:space="preserve">de otras </w:t>
      </w:r>
      <w:r w:rsidR="009049A7" w:rsidRPr="00B924EB">
        <w:rPr>
          <w:lang w:val="es-ES_tradnl"/>
        </w:rPr>
        <w:t>27.01</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9049A7" w:rsidRPr="00B924EB">
        <w:rPr>
          <w:lang w:val="es-ES_tradnl"/>
        </w:rPr>
        <w:t>.</w:t>
      </w:r>
    </w:p>
    <w:p w14:paraId="4DF0A392" w14:textId="58ADEF6F" w:rsidR="005D03D7" w:rsidRPr="00B924EB" w:rsidRDefault="00FB625B" w:rsidP="00DF3C16">
      <w:pPr>
        <w:pStyle w:val="Heading1"/>
        <w:rPr>
          <w:lang w:val="es-ES_tradnl"/>
        </w:rPr>
      </w:pPr>
      <w:r>
        <w:rPr>
          <w:lang w:val="es-ES_tradnl"/>
        </w:rPr>
        <w:lastRenderedPageBreak/>
        <w:t xml:space="preserve">En los años previos al </w:t>
      </w:r>
      <w:r w:rsidR="00A412CF">
        <w:rPr>
          <w:lang w:val="es-ES_tradnl"/>
        </w:rPr>
        <w:t xml:space="preserve">2020 </w:t>
      </w:r>
      <w:r w:rsidR="00CF6E8F">
        <w:rPr>
          <w:lang w:val="es-ES_tradnl"/>
        </w:rPr>
        <w:t xml:space="preserve">el </w:t>
      </w:r>
      <w:r w:rsidR="00C86987">
        <w:rPr>
          <w:lang w:val="es-ES_tradnl"/>
        </w:rPr>
        <w:t>Gobierno</w:t>
      </w:r>
      <w:r w:rsidR="00CF6E8F" w:rsidRPr="00CF6E8F">
        <w:rPr>
          <w:lang w:val="es-ES_tradnl"/>
        </w:rPr>
        <w:t xml:space="preserve"> </w:t>
      </w:r>
      <w:r w:rsidR="00CF6E8F">
        <w:rPr>
          <w:lang w:val="es-ES_tradnl"/>
        </w:rPr>
        <w:t xml:space="preserve">fijó </w:t>
      </w:r>
      <w:r w:rsidR="00B924EB">
        <w:rPr>
          <w:lang w:val="es-ES_tradnl"/>
        </w:rPr>
        <w:t>cuota</w:t>
      </w:r>
      <w:r w:rsidR="00CF6E8F">
        <w:rPr>
          <w:lang w:val="es-ES_tradnl"/>
        </w:rPr>
        <w:t>s</w:t>
      </w:r>
      <w:r w:rsidR="00A13BEA" w:rsidRPr="00B924EB">
        <w:rPr>
          <w:lang w:val="es-ES_tradnl"/>
        </w:rPr>
        <w:t xml:space="preserve"> </w:t>
      </w:r>
      <w:r w:rsidR="00452F79" w:rsidRPr="00B924EB">
        <w:rPr>
          <w:lang w:val="es-ES_tradnl"/>
        </w:rPr>
        <w:t>de</w:t>
      </w:r>
      <w:r w:rsidR="00A13BEA" w:rsidRPr="00B924EB">
        <w:rPr>
          <w:lang w:val="es-ES_tradnl"/>
        </w:rPr>
        <w:t xml:space="preserve"> </w:t>
      </w:r>
      <w:r w:rsidR="00452F79" w:rsidRPr="00B924EB">
        <w:rPr>
          <w:lang w:val="es-ES_tradnl"/>
        </w:rPr>
        <w:t>importación</w:t>
      </w:r>
      <w:r w:rsidR="00A13BEA" w:rsidRPr="00B924EB">
        <w:rPr>
          <w:lang w:val="es-ES_tradnl"/>
        </w:rPr>
        <w:t xml:space="preserve"> </w:t>
      </w:r>
      <w:r w:rsidR="00452F79" w:rsidRPr="00B924EB">
        <w:rPr>
          <w:lang w:val="es-ES_tradnl"/>
        </w:rPr>
        <w:t>de</w:t>
      </w:r>
      <w:r w:rsidR="00A13BEA" w:rsidRPr="00B924EB">
        <w:rPr>
          <w:lang w:val="es-ES_tradnl"/>
        </w:rPr>
        <w:t xml:space="preserve"> </w:t>
      </w:r>
      <w:r w:rsidR="00452F79" w:rsidRPr="00B924EB">
        <w:rPr>
          <w:lang w:val="es-ES_tradnl"/>
        </w:rPr>
        <w:t>HCFC</w:t>
      </w:r>
      <w:r w:rsidR="00A13BEA" w:rsidRPr="00B924EB">
        <w:rPr>
          <w:lang w:val="es-ES_tradnl"/>
        </w:rPr>
        <w:t xml:space="preserve"> </w:t>
      </w:r>
      <w:r w:rsidR="00CF6E8F">
        <w:rPr>
          <w:lang w:val="es-ES_tradnl"/>
        </w:rPr>
        <w:t xml:space="preserve">cercanas al </w:t>
      </w:r>
      <w:r w:rsidR="00755C5D" w:rsidRPr="00B924EB">
        <w:rPr>
          <w:lang w:val="es-ES_tradnl"/>
        </w:rPr>
        <w:t>máximo</w:t>
      </w:r>
      <w:r w:rsidR="00A13BEA" w:rsidRPr="00B924EB">
        <w:rPr>
          <w:lang w:val="es-ES_tradnl"/>
        </w:rPr>
        <w:t xml:space="preserve"> </w:t>
      </w:r>
      <w:r w:rsidR="00755C5D" w:rsidRPr="00B924EB">
        <w:rPr>
          <w:lang w:val="es-ES_tradnl"/>
        </w:rPr>
        <w:t>permitido</w:t>
      </w:r>
      <w:r w:rsidR="00A13BEA" w:rsidRPr="00B924EB">
        <w:rPr>
          <w:lang w:val="es-ES_tradnl"/>
        </w:rPr>
        <w:t xml:space="preserve"> </w:t>
      </w:r>
      <w:r w:rsidR="00CF6E8F">
        <w:rPr>
          <w:lang w:val="es-ES_tradnl"/>
        </w:rPr>
        <w:t xml:space="preserve">en </w:t>
      </w:r>
      <w:r w:rsidR="001E59EB">
        <w:rPr>
          <w:lang w:val="es-ES_tradnl"/>
        </w:rPr>
        <w:t>el Acuerdo</w:t>
      </w:r>
      <w:r w:rsidR="001370ED">
        <w:rPr>
          <w:lang w:val="es-ES_tradnl"/>
        </w:rPr>
        <w:t xml:space="preserve"> con el propósito </w:t>
      </w:r>
      <w:r w:rsidR="00DD0733">
        <w:rPr>
          <w:lang w:val="es-ES_tradnl"/>
        </w:rPr>
        <w:t xml:space="preserve">de </w:t>
      </w:r>
      <w:r w:rsidR="009570BB">
        <w:rPr>
          <w:lang w:val="es-ES_tradnl"/>
        </w:rPr>
        <w:t xml:space="preserve">dar a los </w:t>
      </w:r>
      <w:r w:rsidR="000521A3" w:rsidRPr="00B924EB">
        <w:rPr>
          <w:lang w:val="es-ES_tradnl"/>
        </w:rPr>
        <w:t>importadores</w:t>
      </w:r>
      <w:r w:rsidR="00A13BEA" w:rsidRPr="00B924EB">
        <w:rPr>
          <w:lang w:val="es-ES_tradnl"/>
        </w:rPr>
        <w:t xml:space="preserve"> </w:t>
      </w:r>
      <w:r w:rsidR="00C90AA4">
        <w:rPr>
          <w:lang w:val="es-ES_tradnl"/>
        </w:rPr>
        <w:t xml:space="preserve">una pequeña reserva </w:t>
      </w:r>
      <w:r w:rsidR="00AB704F">
        <w:rPr>
          <w:lang w:val="es-ES_tradnl"/>
        </w:rPr>
        <w:t xml:space="preserve">antes </w:t>
      </w:r>
      <w:r w:rsidR="00E30851">
        <w:rPr>
          <w:lang w:val="es-ES_tradnl"/>
        </w:rPr>
        <w:t>de dar</w:t>
      </w:r>
      <w:r w:rsidR="00AB704F">
        <w:rPr>
          <w:lang w:val="es-ES_tradnl"/>
        </w:rPr>
        <w:t xml:space="preserve"> </w:t>
      </w:r>
      <w:r w:rsidR="00DB03EF">
        <w:rPr>
          <w:lang w:val="es-ES_tradnl"/>
        </w:rPr>
        <w:t xml:space="preserve">cumplimiento </w:t>
      </w:r>
      <w:r w:rsidR="00E30851">
        <w:rPr>
          <w:lang w:val="es-ES_tradnl"/>
        </w:rPr>
        <w:t>a</w:t>
      </w:r>
      <w:r w:rsidR="008F0BF0">
        <w:rPr>
          <w:lang w:val="es-ES_tradnl"/>
        </w:rPr>
        <w:t xml:space="preserve"> la </w:t>
      </w:r>
      <w:r w:rsidR="00945790">
        <w:rPr>
          <w:lang w:val="es-ES_tradnl"/>
        </w:rPr>
        <w:t>meta de reducción</w:t>
      </w:r>
      <w:r w:rsidR="00A13BEA" w:rsidRPr="00B924EB">
        <w:rPr>
          <w:lang w:val="es-ES_tradnl"/>
        </w:rPr>
        <w:t xml:space="preserve"> </w:t>
      </w:r>
      <w:r w:rsidR="008F0BF0">
        <w:rPr>
          <w:lang w:val="es-ES_tradnl"/>
        </w:rPr>
        <w:t xml:space="preserve">del </w:t>
      </w:r>
      <w:r w:rsidR="008F0BF0" w:rsidRPr="008F0BF0">
        <w:rPr>
          <w:lang w:val="es-ES_tradnl"/>
        </w:rPr>
        <w:t xml:space="preserve">35 por ciento </w:t>
      </w:r>
      <w:r w:rsidR="00135B3F">
        <w:rPr>
          <w:lang w:val="es-ES_tradnl"/>
        </w:rPr>
        <w:t xml:space="preserve">prevista </w:t>
      </w:r>
      <w:r w:rsidR="00267D43">
        <w:rPr>
          <w:lang w:val="es-ES_tradnl"/>
        </w:rPr>
        <w:t>para ese año</w:t>
      </w:r>
      <w:r w:rsidR="005D03D7" w:rsidRPr="00B924EB">
        <w:rPr>
          <w:lang w:val="es-ES_tradnl"/>
        </w:rPr>
        <w:t>.</w:t>
      </w:r>
      <w:r w:rsidR="005D03D7" w:rsidRPr="00B924EB">
        <w:rPr>
          <w:rStyle w:val="FootnoteReference"/>
          <w:lang w:val="es-ES_tradnl"/>
        </w:rPr>
        <w:footnoteReference w:id="5"/>
      </w:r>
    </w:p>
    <w:p w14:paraId="6A220F5E" w14:textId="7166E780" w:rsidR="00FE1FBE" w:rsidRPr="00B924EB" w:rsidRDefault="002F6E10" w:rsidP="00DF3C16">
      <w:pPr>
        <w:pStyle w:val="Heading1"/>
        <w:keepNext/>
        <w:keepLines/>
        <w:numPr>
          <w:ilvl w:val="0"/>
          <w:numId w:val="0"/>
        </w:numPr>
        <w:rPr>
          <w:i/>
          <w:lang w:val="es-ES_tradnl"/>
        </w:rPr>
      </w:pPr>
      <w:r w:rsidRPr="002F6E10">
        <w:rPr>
          <w:i/>
          <w:lang w:val="es-ES_tradnl"/>
        </w:rPr>
        <w:t>Informe de ejecución del programa país</w:t>
      </w:r>
    </w:p>
    <w:p w14:paraId="37B47798" w14:textId="67C88562" w:rsidR="00FE1FBE" w:rsidRPr="00B924EB" w:rsidRDefault="007A76BF" w:rsidP="00C57CFF">
      <w:pPr>
        <w:pStyle w:val="Heading1"/>
        <w:rPr>
          <w:lang w:val="es-ES_tradnl"/>
        </w:rPr>
      </w:pPr>
      <w:r w:rsidRPr="00EF73E8">
        <w:rPr>
          <w:lang w:val="es-ES_tradnl"/>
        </w:rPr>
        <w:t xml:space="preserve">El consumo sectorial de HCFC informado por el Gobierno en el programa país </w:t>
      </w:r>
      <w:r w:rsidR="005C55DA">
        <w:rPr>
          <w:lang w:val="es-ES_tradnl"/>
        </w:rPr>
        <w:t>2020</w:t>
      </w:r>
      <w:r w:rsidRPr="00EF73E8">
        <w:rPr>
          <w:lang w:val="es-ES_tradnl"/>
        </w:rPr>
        <w:t xml:space="preserve"> concuerda </w:t>
      </w:r>
      <w:r w:rsidR="005C55DA">
        <w:rPr>
          <w:lang w:val="es-ES_tradnl"/>
        </w:rPr>
        <w:t xml:space="preserve">en general </w:t>
      </w:r>
      <w:r w:rsidRPr="00EF73E8">
        <w:rPr>
          <w:lang w:val="es-ES_tradnl"/>
        </w:rPr>
        <w:t>con lo informado en virtud del artículo 7 del Protocolo de Montreal</w:t>
      </w:r>
      <w:r w:rsidR="001A555A" w:rsidRPr="00B924EB">
        <w:rPr>
          <w:lang w:val="es-ES_tradnl"/>
        </w:rPr>
        <w:t>.</w:t>
      </w:r>
      <w:r w:rsidR="00A13BEA" w:rsidRPr="00B924EB">
        <w:rPr>
          <w:lang w:val="es-ES_tradnl"/>
        </w:rPr>
        <w:t xml:space="preserve"> </w:t>
      </w:r>
      <w:r w:rsidR="00551D50">
        <w:rPr>
          <w:lang w:val="es-ES_tradnl"/>
        </w:rPr>
        <w:t xml:space="preserve">La estimación de consumo </w:t>
      </w:r>
      <w:r w:rsidR="00767E1E">
        <w:rPr>
          <w:lang w:val="es-ES_tradnl"/>
        </w:rPr>
        <w:t xml:space="preserve">sectorial que realiza </w:t>
      </w:r>
      <w:r w:rsidR="00D03BAB">
        <w:rPr>
          <w:lang w:val="es-ES_tradnl"/>
        </w:rPr>
        <w:t xml:space="preserve">el </w:t>
      </w:r>
      <w:r w:rsidR="009768D0" w:rsidRPr="009768D0">
        <w:rPr>
          <w:lang w:val="es-ES_tradnl"/>
        </w:rPr>
        <w:t xml:space="preserve">informe </w:t>
      </w:r>
      <w:r w:rsidR="009768D0">
        <w:rPr>
          <w:lang w:val="es-ES_tradnl"/>
        </w:rPr>
        <w:t xml:space="preserve">del </w:t>
      </w:r>
      <w:r w:rsidR="00A73593">
        <w:rPr>
          <w:lang w:val="es-ES_tradnl"/>
        </w:rPr>
        <w:t>programa país</w:t>
      </w:r>
      <w:r w:rsidR="00A13BEA" w:rsidRPr="00B924EB">
        <w:rPr>
          <w:lang w:val="es-ES_tradnl"/>
        </w:rPr>
        <w:t xml:space="preserve"> </w:t>
      </w:r>
      <w:r w:rsidR="002524AF">
        <w:rPr>
          <w:lang w:val="es-ES_tradnl"/>
        </w:rPr>
        <w:t xml:space="preserve">es ligeramente </w:t>
      </w:r>
      <w:r w:rsidR="005D2F86">
        <w:rPr>
          <w:lang w:val="es-ES_tradnl"/>
        </w:rPr>
        <w:t xml:space="preserve">inferior </w:t>
      </w:r>
      <w:r w:rsidR="000D06DF" w:rsidRPr="00B924EB">
        <w:rPr>
          <w:lang w:val="es-ES_tradnl"/>
        </w:rPr>
        <w:t>(0.17</w:t>
      </w:r>
      <w:r w:rsidR="00A13BEA" w:rsidRPr="00B924EB">
        <w:rPr>
          <w:lang w:val="es-ES_tradnl"/>
        </w:rPr>
        <w:t xml:space="preserve"> </w:t>
      </w:r>
      <w:proofErr w:type="spellStart"/>
      <w:r w:rsidR="000521A3" w:rsidRPr="00B924EB">
        <w:rPr>
          <w:lang w:val="es-ES_tradnl"/>
        </w:rPr>
        <w:t>tons</w:t>
      </w:r>
      <w:proofErr w:type="spellEnd"/>
      <w:r w:rsidR="000521A3" w:rsidRPr="00B924EB">
        <w:rPr>
          <w:lang w:val="es-ES_tradnl"/>
        </w:rPr>
        <w:t>.</w:t>
      </w:r>
      <w:r w:rsidR="00A13BEA" w:rsidRPr="00B924EB">
        <w:rPr>
          <w:lang w:val="es-ES_tradnl"/>
        </w:rPr>
        <w:t xml:space="preserve"> </w:t>
      </w:r>
      <w:r w:rsidR="000521A3" w:rsidRPr="00B924EB">
        <w:rPr>
          <w:lang w:val="es-ES_tradnl"/>
        </w:rPr>
        <w:t>PAO)</w:t>
      </w:r>
      <w:r w:rsidR="00A13BEA" w:rsidRPr="00B924EB">
        <w:rPr>
          <w:lang w:val="es-ES_tradnl"/>
        </w:rPr>
        <w:t xml:space="preserve"> </w:t>
      </w:r>
      <w:r w:rsidR="002F0DD4">
        <w:rPr>
          <w:lang w:val="es-ES_tradnl"/>
        </w:rPr>
        <w:t xml:space="preserve">a lo </w:t>
      </w:r>
      <w:r w:rsidR="00202E36">
        <w:rPr>
          <w:lang w:val="es-ES_tradnl"/>
        </w:rPr>
        <w:t xml:space="preserve">informado </w:t>
      </w:r>
      <w:r w:rsidR="00452F79" w:rsidRPr="00B924EB">
        <w:rPr>
          <w:lang w:val="es-ES_tradnl"/>
        </w:rPr>
        <w:t>en</w:t>
      </w:r>
      <w:r w:rsidR="00A13BEA" w:rsidRPr="00B924EB">
        <w:rPr>
          <w:lang w:val="es-ES_tradnl"/>
        </w:rPr>
        <w:t xml:space="preserve"> </w:t>
      </w:r>
      <w:r w:rsidR="00452F79" w:rsidRPr="00B924EB">
        <w:rPr>
          <w:lang w:val="es-ES_tradnl"/>
        </w:rPr>
        <w:t>virtud</w:t>
      </w:r>
      <w:r w:rsidR="00A13BEA" w:rsidRPr="00B924EB">
        <w:rPr>
          <w:lang w:val="es-ES_tradnl"/>
        </w:rPr>
        <w:t xml:space="preserve"> </w:t>
      </w:r>
      <w:r w:rsidR="00452F79" w:rsidRPr="00B924EB">
        <w:rPr>
          <w:lang w:val="es-ES_tradnl"/>
        </w:rPr>
        <w:t>del</w:t>
      </w:r>
      <w:r w:rsidR="00A13BEA" w:rsidRPr="00B924EB">
        <w:rPr>
          <w:lang w:val="es-ES_tradnl"/>
        </w:rPr>
        <w:t xml:space="preserve"> </w:t>
      </w:r>
      <w:r w:rsidR="00452F79" w:rsidRPr="00B924EB">
        <w:rPr>
          <w:lang w:val="es-ES_tradnl"/>
        </w:rPr>
        <w:t>artículo</w:t>
      </w:r>
      <w:r w:rsidR="00A13BEA" w:rsidRPr="00B924EB">
        <w:rPr>
          <w:lang w:val="es-ES_tradnl"/>
        </w:rPr>
        <w:t xml:space="preserve"> </w:t>
      </w:r>
      <w:r w:rsidR="00452F79" w:rsidRPr="00B924EB">
        <w:rPr>
          <w:lang w:val="es-ES_tradnl"/>
        </w:rPr>
        <w:t>7</w:t>
      </w:r>
      <w:r w:rsidR="00A13BEA" w:rsidRPr="00B924EB">
        <w:rPr>
          <w:lang w:val="es-ES_tradnl"/>
        </w:rPr>
        <w:t xml:space="preserve"> </w:t>
      </w:r>
      <w:r w:rsidR="002F0DD4">
        <w:rPr>
          <w:lang w:val="es-ES_tradnl"/>
        </w:rPr>
        <w:t xml:space="preserve">debido a </w:t>
      </w:r>
      <w:r w:rsidR="00F456C5">
        <w:rPr>
          <w:lang w:val="es-ES_tradnl"/>
        </w:rPr>
        <w:t>que hay</w:t>
      </w:r>
      <w:r w:rsidR="002F0DD4">
        <w:rPr>
          <w:lang w:val="es-ES_tradnl"/>
        </w:rPr>
        <w:t xml:space="preserve"> </w:t>
      </w:r>
      <w:r w:rsidR="00A05665">
        <w:rPr>
          <w:lang w:val="es-ES_tradnl"/>
        </w:rPr>
        <w:t xml:space="preserve">pequeñas </w:t>
      </w:r>
      <w:r w:rsidR="003208A7" w:rsidRPr="00B924EB">
        <w:rPr>
          <w:lang w:val="es-ES_tradnl"/>
        </w:rPr>
        <w:t>cantidades</w:t>
      </w:r>
      <w:r w:rsidR="00A13BEA" w:rsidRPr="00B924EB">
        <w:rPr>
          <w:lang w:val="es-ES_tradnl"/>
        </w:rPr>
        <w:t xml:space="preserve"> </w:t>
      </w:r>
      <w:r w:rsidR="00A05665">
        <w:rPr>
          <w:lang w:val="es-ES_tradnl"/>
        </w:rPr>
        <w:t>importadas</w:t>
      </w:r>
      <w:r w:rsidR="00A13BEA" w:rsidRPr="00B924EB">
        <w:rPr>
          <w:lang w:val="es-ES_tradnl"/>
        </w:rPr>
        <w:t xml:space="preserve"> </w:t>
      </w:r>
      <w:r w:rsidR="00DA4123">
        <w:rPr>
          <w:lang w:val="es-ES_tradnl"/>
        </w:rPr>
        <w:t xml:space="preserve">que </w:t>
      </w:r>
      <w:r w:rsidR="00F9290C">
        <w:rPr>
          <w:lang w:val="es-ES_tradnl"/>
        </w:rPr>
        <w:t>se mantienen</w:t>
      </w:r>
      <w:r w:rsidR="00EC18D0">
        <w:rPr>
          <w:lang w:val="es-ES_tradnl"/>
        </w:rPr>
        <w:t xml:space="preserve"> </w:t>
      </w:r>
      <w:r w:rsidR="007E6EC9">
        <w:rPr>
          <w:lang w:val="es-ES_tradnl"/>
        </w:rPr>
        <w:t xml:space="preserve">sin </w:t>
      </w:r>
      <w:r w:rsidR="009A2EA5" w:rsidRPr="009A2EA5">
        <w:rPr>
          <w:lang w:val="es-ES_tradnl"/>
        </w:rPr>
        <w:t>utilizar</w:t>
      </w:r>
      <w:r w:rsidR="005C63C5" w:rsidRPr="00B924EB">
        <w:rPr>
          <w:lang w:val="es-ES_tradnl"/>
        </w:rPr>
        <w:t>.</w:t>
      </w:r>
    </w:p>
    <w:p w14:paraId="215CD205" w14:textId="2B929728" w:rsidR="007D2856" w:rsidRPr="00B924EB" w:rsidRDefault="009374DA" w:rsidP="007D2856">
      <w:pPr>
        <w:rPr>
          <w:i/>
          <w:lang w:val="es-ES_tradnl"/>
        </w:rPr>
      </w:pPr>
      <w:r w:rsidRPr="00B924EB">
        <w:rPr>
          <w:i/>
          <w:lang w:val="es-ES_tradnl"/>
        </w:rPr>
        <w:t>Informe</w:t>
      </w:r>
      <w:r w:rsidR="00A13BEA" w:rsidRPr="00B924EB">
        <w:rPr>
          <w:i/>
          <w:lang w:val="es-ES_tradnl"/>
        </w:rPr>
        <w:t xml:space="preserve"> </w:t>
      </w:r>
      <w:r w:rsidRPr="00B924EB">
        <w:rPr>
          <w:i/>
          <w:lang w:val="es-ES_tradnl"/>
        </w:rPr>
        <w:t>de</w:t>
      </w:r>
      <w:r w:rsidR="00A13BEA" w:rsidRPr="00B924EB">
        <w:rPr>
          <w:i/>
          <w:lang w:val="es-ES_tradnl"/>
        </w:rPr>
        <w:t xml:space="preserve"> </w:t>
      </w:r>
      <w:r w:rsidRPr="00B924EB">
        <w:rPr>
          <w:i/>
          <w:lang w:val="es-ES_tradnl"/>
        </w:rPr>
        <w:t>verificación</w:t>
      </w:r>
    </w:p>
    <w:p w14:paraId="00F1CE74" w14:textId="77777777" w:rsidR="007D2856" w:rsidRPr="00B924EB" w:rsidRDefault="007D2856" w:rsidP="007D2856">
      <w:pPr>
        <w:rPr>
          <w:lang w:val="es-ES_tradnl"/>
        </w:rPr>
      </w:pPr>
    </w:p>
    <w:p w14:paraId="5789FA4D" w14:textId="49281324" w:rsidR="007D2856" w:rsidRPr="00B924EB" w:rsidRDefault="00945790" w:rsidP="001B3CE0">
      <w:pPr>
        <w:pStyle w:val="Heading1"/>
        <w:rPr>
          <w:lang w:val="es-ES_tradnl"/>
        </w:rPr>
      </w:pPr>
      <w:r>
        <w:rPr>
          <w:lang w:val="es-ES_tradnl"/>
        </w:rPr>
        <w:t xml:space="preserve">En la </w:t>
      </w:r>
      <w:r w:rsidR="007D2856" w:rsidRPr="00B924EB">
        <w:rPr>
          <w:lang w:val="es-ES_tradnl"/>
        </w:rPr>
        <w:t>8</w:t>
      </w:r>
      <w:r w:rsidR="00E26F0F" w:rsidRPr="00B924EB">
        <w:rPr>
          <w:lang w:val="es-ES_tradnl"/>
        </w:rPr>
        <w:t>4</w:t>
      </w:r>
      <w:r w:rsidR="004135A5" w:rsidRPr="00B924EB">
        <w:rPr>
          <w:lang w:val="es-ES_tradnl"/>
        </w:rPr>
        <w:t>ª reunión</w:t>
      </w:r>
      <w:r w:rsidR="007D2856" w:rsidRPr="00B924EB">
        <w:rPr>
          <w:lang w:val="es-ES_tradnl"/>
        </w:rPr>
        <w:t>,</w:t>
      </w:r>
      <w:r w:rsidR="00A13BEA" w:rsidRPr="00B924EB">
        <w:rPr>
          <w:lang w:val="es-ES_tradnl"/>
        </w:rPr>
        <w:t xml:space="preserve"> </w:t>
      </w:r>
      <w:r w:rsidR="001C1340">
        <w:rPr>
          <w:lang w:val="es-ES_tradnl"/>
        </w:rPr>
        <w:t xml:space="preserve">y </w:t>
      </w:r>
      <w:r w:rsidR="001F1F6C">
        <w:rPr>
          <w:lang w:val="es-ES_tradnl"/>
        </w:rPr>
        <w:t xml:space="preserve">tras </w:t>
      </w:r>
      <w:r w:rsidR="005A6EFE">
        <w:rPr>
          <w:lang w:val="es-ES_tradnl"/>
        </w:rPr>
        <w:t xml:space="preserve">evaluar </w:t>
      </w:r>
      <w:r w:rsidR="00BB49CC">
        <w:rPr>
          <w:lang w:val="es-ES_tradnl"/>
        </w:rPr>
        <w:t>e</w:t>
      </w:r>
      <w:r w:rsidR="00CC6943">
        <w:rPr>
          <w:lang w:val="es-ES_tradnl"/>
        </w:rPr>
        <w:t>l último tramo</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090561" w:rsidRPr="00B924EB">
        <w:rPr>
          <w:lang w:val="es-ES_tradnl"/>
        </w:rPr>
        <w:t>,</w:t>
      </w:r>
      <w:r w:rsidR="00A13BEA" w:rsidRPr="00B924EB">
        <w:rPr>
          <w:lang w:val="es-ES_tradnl"/>
        </w:rPr>
        <w:t xml:space="preserve"> </w:t>
      </w:r>
      <w:r w:rsidR="009374DA" w:rsidRPr="00B924EB">
        <w:rPr>
          <w:lang w:val="es-ES_tradnl"/>
        </w:rPr>
        <w:t>el</w:t>
      </w:r>
      <w:r w:rsidR="00A13BEA" w:rsidRPr="00B924EB">
        <w:rPr>
          <w:lang w:val="es-ES_tradnl"/>
        </w:rPr>
        <w:t xml:space="preserve"> </w:t>
      </w:r>
      <w:r w:rsidR="009374DA" w:rsidRPr="00B924EB">
        <w:rPr>
          <w:lang w:val="es-ES_tradnl"/>
        </w:rPr>
        <w:t>Comité</w:t>
      </w:r>
      <w:r w:rsidR="00A13BEA" w:rsidRPr="00B924EB">
        <w:rPr>
          <w:lang w:val="es-ES_tradnl"/>
        </w:rPr>
        <w:t xml:space="preserve"> </w:t>
      </w:r>
      <w:r w:rsidR="00755C5D" w:rsidRPr="00B924EB">
        <w:rPr>
          <w:lang w:val="es-ES_tradnl"/>
        </w:rPr>
        <w:t>Ejecutivo</w:t>
      </w:r>
      <w:r w:rsidR="00A13BEA" w:rsidRPr="00B924EB">
        <w:rPr>
          <w:lang w:val="es-ES_tradnl"/>
        </w:rPr>
        <w:t xml:space="preserve"> </w:t>
      </w:r>
      <w:r w:rsidR="00087B8D">
        <w:rPr>
          <w:lang w:val="es-ES_tradnl"/>
        </w:rPr>
        <w:t xml:space="preserve">pidió al </w:t>
      </w:r>
      <w:r w:rsidR="00755C5D" w:rsidRPr="00B924EB">
        <w:rPr>
          <w:lang w:val="es-ES_tradnl"/>
        </w:rPr>
        <w:t>PNUMA</w:t>
      </w:r>
      <w:r w:rsidR="00A13BEA" w:rsidRPr="00B924EB">
        <w:rPr>
          <w:lang w:val="es-ES_tradnl"/>
        </w:rPr>
        <w:t xml:space="preserve"> </w:t>
      </w:r>
      <w:r w:rsidR="00515771">
        <w:rPr>
          <w:lang w:val="es-ES_tradnl"/>
        </w:rPr>
        <w:t>entregar</w:t>
      </w:r>
      <w:r w:rsidR="00EB46C5">
        <w:rPr>
          <w:lang w:val="es-ES_tradnl"/>
        </w:rPr>
        <w:t xml:space="preserve"> </w:t>
      </w:r>
      <w:r w:rsidR="00637955" w:rsidRPr="00637955">
        <w:rPr>
          <w:lang w:val="es-ES_tradnl"/>
        </w:rPr>
        <w:t xml:space="preserve">para el año 2019 </w:t>
      </w:r>
      <w:r w:rsidR="00EB46C5" w:rsidRPr="00EB46C5">
        <w:rPr>
          <w:lang w:val="es-ES_tradnl"/>
        </w:rPr>
        <w:t xml:space="preserve">un informe de verificación independiente </w:t>
      </w:r>
      <w:r w:rsidR="00EB46C5">
        <w:rPr>
          <w:lang w:val="es-ES_tradnl"/>
        </w:rPr>
        <w:t xml:space="preserve">junto </w:t>
      </w:r>
      <w:r w:rsidR="007E0E54">
        <w:rPr>
          <w:lang w:val="es-ES_tradnl"/>
        </w:rPr>
        <w:t xml:space="preserve">con </w:t>
      </w:r>
      <w:r w:rsidR="00B56100" w:rsidRPr="00B56100">
        <w:rPr>
          <w:lang w:val="es-ES_tradnl"/>
        </w:rPr>
        <w:t xml:space="preserve">la presentación de la etapa II del PGEH </w:t>
      </w:r>
      <w:r w:rsidR="007D2856" w:rsidRPr="00B924EB">
        <w:rPr>
          <w:lang w:val="es-ES_tradnl"/>
        </w:rPr>
        <w:t>(</w:t>
      </w:r>
      <w:r w:rsidR="009374DA" w:rsidRPr="00B924EB">
        <w:rPr>
          <w:lang w:val="es-ES_tradnl"/>
        </w:rPr>
        <w:t>decisión</w:t>
      </w:r>
      <w:r w:rsidR="00A13BEA" w:rsidRPr="00B924EB">
        <w:rPr>
          <w:lang w:val="es-ES_tradnl"/>
        </w:rPr>
        <w:t xml:space="preserve"> </w:t>
      </w:r>
      <w:r w:rsidR="007D2856" w:rsidRPr="00B924EB">
        <w:rPr>
          <w:lang w:val="es-ES_tradnl"/>
        </w:rPr>
        <w:t>84/</w:t>
      </w:r>
      <w:r w:rsidR="00AE5E56" w:rsidRPr="00B924EB">
        <w:rPr>
          <w:lang w:val="es-ES_tradnl"/>
        </w:rPr>
        <w:t>75</w:t>
      </w:r>
      <w:r w:rsidR="00365156">
        <w:rPr>
          <w:lang w:val="es-ES_tradnl"/>
        </w:rPr>
        <w:t xml:space="preserve"> d) ii)</w:t>
      </w:r>
      <w:r w:rsidR="007D2856" w:rsidRPr="00B924EB">
        <w:rPr>
          <w:lang w:val="es-ES_tradnl"/>
        </w:rPr>
        <w:t>)</w:t>
      </w:r>
      <w:r w:rsidR="00DB3D7B" w:rsidRPr="00B924EB">
        <w:rPr>
          <w:lang w:val="es-ES_tradnl"/>
        </w:rPr>
        <w:t>.</w:t>
      </w:r>
      <w:r w:rsidR="00A13BEA" w:rsidRPr="00B924EB">
        <w:rPr>
          <w:lang w:val="es-ES_tradnl"/>
        </w:rPr>
        <w:t xml:space="preserve"> </w:t>
      </w:r>
      <w:r w:rsidR="00DB3D7B" w:rsidRPr="00B924EB">
        <w:rPr>
          <w:lang w:val="es-ES_tradnl"/>
        </w:rPr>
        <w:t>El</w:t>
      </w:r>
      <w:r w:rsidR="00A13BEA" w:rsidRPr="00B924EB">
        <w:rPr>
          <w:lang w:val="es-ES_tradnl"/>
        </w:rPr>
        <w:t xml:space="preserve"> </w:t>
      </w:r>
      <w:r w:rsidR="00DB3D7B" w:rsidRPr="00B924EB">
        <w:rPr>
          <w:lang w:val="es-ES_tradnl"/>
        </w:rPr>
        <w:t>PNU</w:t>
      </w:r>
      <w:r w:rsidR="00755C5D" w:rsidRPr="00B924EB">
        <w:rPr>
          <w:lang w:val="es-ES_tradnl"/>
        </w:rPr>
        <w:t>MA</w:t>
      </w:r>
      <w:r w:rsidR="00A13BEA" w:rsidRPr="00B924EB">
        <w:rPr>
          <w:lang w:val="es-ES_tradnl"/>
        </w:rPr>
        <w:t xml:space="preserve"> </w:t>
      </w:r>
      <w:r w:rsidR="001D7CD0">
        <w:rPr>
          <w:lang w:val="es-ES_tradnl"/>
        </w:rPr>
        <w:t xml:space="preserve">presentó un </w:t>
      </w:r>
      <w:r w:rsidR="009374DA" w:rsidRPr="00B924EB">
        <w:rPr>
          <w:lang w:val="es-ES_tradnl"/>
        </w:rPr>
        <w:t>informe</w:t>
      </w:r>
      <w:r w:rsidR="00A13BEA" w:rsidRPr="00B924EB">
        <w:rPr>
          <w:lang w:val="es-ES_tradnl"/>
        </w:rPr>
        <w:t xml:space="preserve"> </w:t>
      </w:r>
      <w:r w:rsidR="00AA5338">
        <w:rPr>
          <w:lang w:val="es-ES_tradnl"/>
        </w:rPr>
        <w:t xml:space="preserve">elaborado </w:t>
      </w:r>
      <w:r w:rsidR="003301D5">
        <w:rPr>
          <w:lang w:val="es-ES_tradnl"/>
        </w:rPr>
        <w:t>durante</w:t>
      </w:r>
      <w:r w:rsidR="00A13BEA" w:rsidRPr="00B924EB">
        <w:rPr>
          <w:lang w:val="es-ES_tradnl"/>
        </w:rPr>
        <w:t xml:space="preserve"> </w:t>
      </w:r>
      <w:r w:rsidR="00EE6DDB">
        <w:rPr>
          <w:lang w:val="es-ES_tradnl"/>
        </w:rPr>
        <w:t xml:space="preserve">el </w:t>
      </w:r>
      <w:r w:rsidR="009433D2" w:rsidRPr="00B924EB">
        <w:rPr>
          <w:lang w:val="es-ES_tradnl"/>
        </w:rPr>
        <w:t>2020</w:t>
      </w:r>
      <w:r w:rsidR="00A13BEA" w:rsidRPr="00B924EB">
        <w:rPr>
          <w:lang w:val="es-ES_tradnl"/>
        </w:rPr>
        <w:t xml:space="preserve"> </w:t>
      </w:r>
      <w:r w:rsidR="00A30424">
        <w:rPr>
          <w:lang w:val="es-ES_tradnl"/>
        </w:rPr>
        <w:t xml:space="preserve">por </w:t>
      </w:r>
      <w:r w:rsidR="004135A5" w:rsidRPr="00B924EB">
        <w:rPr>
          <w:lang w:val="es-ES_tradnl"/>
        </w:rPr>
        <w:t>un</w:t>
      </w:r>
      <w:r w:rsidR="00A13BEA" w:rsidRPr="00B924EB">
        <w:rPr>
          <w:lang w:val="es-ES_tradnl"/>
        </w:rPr>
        <w:t xml:space="preserve"> </w:t>
      </w:r>
      <w:r w:rsidR="000901DF">
        <w:rPr>
          <w:lang w:val="es-ES_tradnl"/>
        </w:rPr>
        <w:t xml:space="preserve">experto </w:t>
      </w:r>
      <w:r w:rsidR="00655294">
        <w:rPr>
          <w:lang w:val="es-ES_tradnl"/>
        </w:rPr>
        <w:t xml:space="preserve">local </w:t>
      </w:r>
      <w:r w:rsidR="00AA6716" w:rsidRPr="00B924EB">
        <w:rPr>
          <w:lang w:val="es-ES_tradnl"/>
        </w:rPr>
        <w:t>independiente</w:t>
      </w:r>
      <w:r w:rsidR="00A13BEA" w:rsidRPr="00B924EB">
        <w:rPr>
          <w:lang w:val="es-ES_tradnl"/>
        </w:rPr>
        <w:t xml:space="preserve"> </w:t>
      </w:r>
      <w:r w:rsidR="00603FD1">
        <w:rPr>
          <w:lang w:val="es-ES_tradnl"/>
        </w:rPr>
        <w:t xml:space="preserve">que confirmó que </w:t>
      </w:r>
      <w:r w:rsidR="00DB3D7B" w:rsidRPr="00B924EB">
        <w:rPr>
          <w:lang w:val="es-ES_tradnl"/>
        </w:rPr>
        <w:t>el</w:t>
      </w:r>
      <w:r w:rsidR="00A13BEA" w:rsidRPr="00B924EB">
        <w:rPr>
          <w:lang w:val="es-ES_tradnl"/>
        </w:rPr>
        <w:t xml:space="preserve"> </w:t>
      </w:r>
      <w:r w:rsidR="00C86987">
        <w:rPr>
          <w:lang w:val="es-ES_tradnl"/>
        </w:rPr>
        <w:t>Gobierno</w:t>
      </w:r>
      <w:r w:rsidR="00A13BEA" w:rsidRPr="00B924EB">
        <w:rPr>
          <w:lang w:val="es-ES_tradnl"/>
        </w:rPr>
        <w:t xml:space="preserve"> </w:t>
      </w:r>
      <w:r w:rsidR="00F17597">
        <w:rPr>
          <w:lang w:val="es-ES_tradnl"/>
        </w:rPr>
        <w:t xml:space="preserve">mantiene en vigor un </w:t>
      </w:r>
      <w:r w:rsidR="00CB72CE" w:rsidRPr="00B924EB">
        <w:rPr>
          <w:lang w:val="es-ES_tradnl"/>
        </w:rPr>
        <w:t>sistema</w:t>
      </w:r>
      <w:r w:rsidR="00A13BEA" w:rsidRPr="00B924EB">
        <w:rPr>
          <w:lang w:val="es-ES_tradnl"/>
        </w:rPr>
        <w:t xml:space="preserve"> </w:t>
      </w:r>
      <w:r w:rsidR="00CB72CE" w:rsidRPr="00B924EB">
        <w:rPr>
          <w:lang w:val="es-ES_tradnl"/>
        </w:rPr>
        <w:t>de</w:t>
      </w:r>
      <w:r w:rsidR="00A13BEA" w:rsidRPr="00B924EB">
        <w:rPr>
          <w:lang w:val="es-ES_tradnl"/>
        </w:rPr>
        <w:t xml:space="preserve"> </w:t>
      </w:r>
      <w:r w:rsidR="00CB72CE" w:rsidRPr="00B924EB">
        <w:rPr>
          <w:lang w:val="es-ES_tradnl"/>
        </w:rPr>
        <w:t>licencias</w:t>
      </w:r>
      <w:r w:rsidR="00A13BEA" w:rsidRPr="00B924EB">
        <w:rPr>
          <w:lang w:val="es-ES_tradnl"/>
        </w:rPr>
        <w:t xml:space="preserve"> </w:t>
      </w:r>
      <w:r w:rsidR="00CB72CE" w:rsidRPr="00B924EB">
        <w:rPr>
          <w:lang w:val="es-ES_tradnl"/>
        </w:rPr>
        <w:t>y</w:t>
      </w:r>
      <w:r w:rsidR="00A13BEA" w:rsidRPr="00B924EB">
        <w:rPr>
          <w:lang w:val="es-ES_tradnl"/>
        </w:rPr>
        <w:t xml:space="preserve"> </w:t>
      </w:r>
      <w:r w:rsidR="00CB72CE" w:rsidRPr="00B924EB">
        <w:rPr>
          <w:lang w:val="es-ES_tradnl"/>
        </w:rPr>
        <w:t>cuotas</w:t>
      </w:r>
      <w:r w:rsidR="00A13BEA" w:rsidRPr="00B924EB">
        <w:rPr>
          <w:lang w:val="es-ES_tradnl"/>
        </w:rPr>
        <w:t xml:space="preserve"> </w:t>
      </w:r>
      <w:r w:rsidR="007C6685">
        <w:rPr>
          <w:lang w:val="es-ES_tradnl"/>
        </w:rPr>
        <w:t xml:space="preserve">de </w:t>
      </w:r>
      <w:r w:rsidR="00F17597">
        <w:rPr>
          <w:lang w:val="es-ES_tradnl"/>
        </w:rPr>
        <w:t>importación y exportación</w:t>
      </w:r>
      <w:r w:rsidR="00A13BEA" w:rsidRPr="00B924EB">
        <w:rPr>
          <w:lang w:val="es-ES_tradnl"/>
        </w:rPr>
        <w:t xml:space="preserve"> </w:t>
      </w:r>
      <w:r w:rsidR="003208A7" w:rsidRPr="00B924EB">
        <w:rPr>
          <w:lang w:val="es-ES_tradnl"/>
        </w:rPr>
        <w:t>de</w:t>
      </w:r>
      <w:r w:rsidR="00A13BEA" w:rsidRPr="00B924EB">
        <w:rPr>
          <w:lang w:val="es-ES_tradnl"/>
        </w:rPr>
        <w:t xml:space="preserve"> </w:t>
      </w:r>
      <w:r w:rsidR="003208A7" w:rsidRPr="00B924EB">
        <w:rPr>
          <w:lang w:val="es-ES_tradnl"/>
        </w:rPr>
        <w:t>HCFC</w:t>
      </w:r>
      <w:r w:rsidR="00A13BEA" w:rsidRPr="00B924EB">
        <w:rPr>
          <w:lang w:val="es-ES_tradnl"/>
        </w:rPr>
        <w:t xml:space="preserve"> </w:t>
      </w:r>
      <w:r w:rsidR="00E74272" w:rsidRPr="00B924EB">
        <w:rPr>
          <w:lang w:val="es-ES_tradnl"/>
        </w:rPr>
        <w:t>y</w:t>
      </w:r>
      <w:r w:rsidR="00A13BEA" w:rsidRPr="00B924EB">
        <w:rPr>
          <w:lang w:val="es-ES_tradnl"/>
        </w:rPr>
        <w:t xml:space="preserve"> </w:t>
      </w:r>
      <w:r w:rsidR="00E74272" w:rsidRPr="00B924EB">
        <w:rPr>
          <w:lang w:val="es-ES_tradnl"/>
        </w:rPr>
        <w:t>que</w:t>
      </w:r>
      <w:r w:rsidR="00A13BEA" w:rsidRPr="00B924EB">
        <w:rPr>
          <w:lang w:val="es-ES_tradnl"/>
        </w:rPr>
        <w:t xml:space="preserve"> </w:t>
      </w:r>
      <w:r w:rsidR="004B0CA3" w:rsidRPr="00B924EB">
        <w:rPr>
          <w:lang w:val="es-ES_tradnl"/>
        </w:rPr>
        <w:t>el</w:t>
      </w:r>
      <w:r w:rsidR="00A13BEA" w:rsidRPr="00B924EB">
        <w:rPr>
          <w:lang w:val="es-ES_tradnl"/>
        </w:rPr>
        <w:t xml:space="preserve"> </w:t>
      </w:r>
      <w:r w:rsidR="004B0CA3" w:rsidRPr="00B924EB">
        <w:rPr>
          <w:lang w:val="es-ES_tradnl"/>
        </w:rPr>
        <w:t>consumo</w:t>
      </w:r>
      <w:r w:rsidR="00A13BEA" w:rsidRPr="00B924EB">
        <w:rPr>
          <w:lang w:val="es-ES_tradnl"/>
        </w:rPr>
        <w:t xml:space="preserve"> </w:t>
      </w:r>
      <w:r w:rsidR="00DB3D7B" w:rsidRPr="00B924EB">
        <w:rPr>
          <w:lang w:val="es-ES_tradnl"/>
        </w:rPr>
        <w:t>total</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E26F0F" w:rsidRPr="00B924EB">
        <w:rPr>
          <w:lang w:val="es-ES_tradnl"/>
        </w:rPr>
        <w:t>HCFC</w:t>
      </w:r>
      <w:r w:rsidR="00A13BEA" w:rsidRPr="00B924EB">
        <w:rPr>
          <w:lang w:val="es-ES_tradnl"/>
        </w:rPr>
        <w:t xml:space="preserve"> </w:t>
      </w:r>
      <w:r w:rsidR="00832B28">
        <w:rPr>
          <w:lang w:val="es-ES_tradnl"/>
        </w:rPr>
        <w:t xml:space="preserve">en el período </w:t>
      </w:r>
      <w:r w:rsidR="001A1006" w:rsidRPr="00B924EB">
        <w:rPr>
          <w:lang w:val="es-ES_tradnl"/>
        </w:rPr>
        <w:t>201</w:t>
      </w:r>
      <w:r w:rsidR="007D2856" w:rsidRPr="00B924EB">
        <w:rPr>
          <w:lang w:val="es-ES_tradnl"/>
        </w:rPr>
        <w:t>8</w:t>
      </w:r>
      <w:r w:rsidR="00832B28">
        <w:rPr>
          <w:lang w:val="es-ES_tradnl"/>
        </w:rPr>
        <w:t>-</w:t>
      </w:r>
      <w:r w:rsidR="007D2856" w:rsidRPr="00B924EB">
        <w:rPr>
          <w:lang w:val="es-ES_tradnl"/>
        </w:rPr>
        <w:t>2019</w:t>
      </w:r>
      <w:r w:rsidR="00A13BEA" w:rsidRPr="00B924EB">
        <w:rPr>
          <w:lang w:val="es-ES_tradnl"/>
        </w:rPr>
        <w:t xml:space="preserve"> </w:t>
      </w:r>
      <w:r w:rsidR="00711D09">
        <w:rPr>
          <w:lang w:val="es-ES_tradnl"/>
        </w:rPr>
        <w:t>coincide</w:t>
      </w:r>
      <w:r w:rsidR="00A9763F">
        <w:rPr>
          <w:lang w:val="es-ES_tradnl"/>
        </w:rPr>
        <w:t xml:space="preserve"> con </w:t>
      </w:r>
      <w:r w:rsidR="00907D6A">
        <w:rPr>
          <w:lang w:val="es-ES_tradnl"/>
        </w:rPr>
        <w:t>lo informado en virtud</w:t>
      </w:r>
      <w:r w:rsidR="00A13BEA" w:rsidRPr="00B924EB">
        <w:rPr>
          <w:lang w:val="es-ES_tradnl"/>
        </w:rPr>
        <w:t xml:space="preserve"> </w:t>
      </w:r>
      <w:r w:rsidR="00452F79" w:rsidRPr="00B924EB">
        <w:rPr>
          <w:lang w:val="es-ES_tradnl"/>
        </w:rPr>
        <w:t>del</w:t>
      </w:r>
      <w:r w:rsidR="00A13BEA" w:rsidRPr="00B924EB">
        <w:rPr>
          <w:lang w:val="es-ES_tradnl"/>
        </w:rPr>
        <w:t xml:space="preserve"> </w:t>
      </w:r>
      <w:r w:rsidR="00452F79" w:rsidRPr="00B924EB">
        <w:rPr>
          <w:lang w:val="es-ES_tradnl"/>
        </w:rPr>
        <w:t>artículo</w:t>
      </w:r>
      <w:r w:rsidR="00A13BEA" w:rsidRPr="00B924EB">
        <w:rPr>
          <w:lang w:val="es-ES_tradnl"/>
        </w:rPr>
        <w:t xml:space="preserve"> </w:t>
      </w:r>
      <w:r w:rsidR="00452F79" w:rsidRPr="00B924EB">
        <w:rPr>
          <w:lang w:val="es-ES_tradnl"/>
        </w:rPr>
        <w:t>7</w:t>
      </w:r>
      <w:r w:rsidR="00A13BEA" w:rsidRPr="00B924EB">
        <w:rPr>
          <w:lang w:val="es-ES_tradnl"/>
        </w:rPr>
        <w:t xml:space="preserve"> </w:t>
      </w:r>
      <w:r w:rsidR="000521A3" w:rsidRPr="00B924EB">
        <w:rPr>
          <w:lang w:val="es-ES_tradnl"/>
        </w:rPr>
        <w:t>del</w:t>
      </w:r>
      <w:r w:rsidR="00A13BEA" w:rsidRPr="00B924EB">
        <w:rPr>
          <w:lang w:val="es-ES_tradnl"/>
        </w:rPr>
        <w:t xml:space="preserve"> </w:t>
      </w:r>
      <w:r w:rsidR="00755C5D" w:rsidRPr="00B924EB">
        <w:rPr>
          <w:lang w:val="es-ES_tradnl"/>
        </w:rPr>
        <w:t>Protocolo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Montreal</w:t>
      </w:r>
      <w:r w:rsidR="007D2856" w:rsidRPr="00B924EB">
        <w:rPr>
          <w:lang w:val="es-ES_tradnl"/>
        </w:rPr>
        <w:t>.</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verificación</w:t>
      </w:r>
      <w:r w:rsidR="00A13BEA" w:rsidRPr="00B924EB">
        <w:rPr>
          <w:lang w:val="es-ES_tradnl"/>
        </w:rPr>
        <w:t xml:space="preserve"> </w:t>
      </w:r>
      <w:r w:rsidR="00AB42AE">
        <w:rPr>
          <w:lang w:val="es-ES_tradnl"/>
        </w:rPr>
        <w:t>concluyó</w:t>
      </w:r>
      <w:r w:rsidR="00A13BEA" w:rsidRPr="00B924EB">
        <w:rPr>
          <w:lang w:val="es-ES_tradnl"/>
        </w:rPr>
        <w:t xml:space="preserve"> </w:t>
      </w:r>
      <w:r w:rsidR="00AB42AE">
        <w:rPr>
          <w:lang w:val="es-ES_tradnl"/>
        </w:rPr>
        <w:t xml:space="preserve">que </w:t>
      </w:r>
      <w:r w:rsidR="007D2856" w:rsidRPr="00B924EB">
        <w:rPr>
          <w:lang w:val="es-ES_tradnl"/>
        </w:rPr>
        <w:t>Iraq</w:t>
      </w:r>
      <w:r w:rsidR="00A13BEA" w:rsidRPr="00B924EB">
        <w:rPr>
          <w:lang w:val="es-ES_tradnl"/>
        </w:rPr>
        <w:t xml:space="preserve"> </w:t>
      </w:r>
      <w:r w:rsidR="00CC4638">
        <w:rPr>
          <w:lang w:val="es-ES_tradnl"/>
        </w:rPr>
        <w:t xml:space="preserve">se mantiene </w:t>
      </w:r>
      <w:r w:rsidR="009374DA" w:rsidRPr="00B924EB">
        <w:rPr>
          <w:lang w:val="es-ES_tradnl"/>
        </w:rPr>
        <w:t>en</w:t>
      </w:r>
      <w:r w:rsidR="00A13BEA" w:rsidRPr="00B924EB">
        <w:rPr>
          <w:lang w:val="es-ES_tradnl"/>
        </w:rPr>
        <w:t xml:space="preserve"> </w:t>
      </w:r>
      <w:r w:rsidR="000521A3" w:rsidRPr="00B924EB">
        <w:rPr>
          <w:lang w:val="es-ES_tradnl"/>
        </w:rPr>
        <w:t>cumplimiento</w:t>
      </w:r>
      <w:r w:rsidR="00A13BEA" w:rsidRPr="00B924EB">
        <w:rPr>
          <w:lang w:val="es-ES_tradnl"/>
        </w:rPr>
        <w:t xml:space="preserve"> </w:t>
      </w:r>
      <w:r w:rsidR="009374DA" w:rsidRPr="00B924EB">
        <w:rPr>
          <w:lang w:val="es-ES_tradnl"/>
        </w:rPr>
        <w:t>con</w:t>
      </w:r>
      <w:r w:rsidR="00A13BEA" w:rsidRPr="00B924EB">
        <w:rPr>
          <w:lang w:val="es-ES_tradnl"/>
        </w:rPr>
        <w:t xml:space="preserve"> </w:t>
      </w:r>
      <w:r w:rsidR="00CC4638">
        <w:rPr>
          <w:lang w:val="es-ES_tradnl"/>
        </w:rPr>
        <w:t>los niveles de consumo máximo permitido</w:t>
      </w:r>
      <w:r w:rsidR="00834CA9">
        <w:rPr>
          <w:lang w:val="es-ES_tradnl"/>
        </w:rPr>
        <w:t>s</w:t>
      </w:r>
      <w:r w:rsidR="00A13BEA" w:rsidRPr="00B924EB">
        <w:rPr>
          <w:lang w:val="es-ES_tradnl"/>
        </w:rPr>
        <w:t xml:space="preserve"> </w:t>
      </w:r>
      <w:r w:rsidR="00834CA9">
        <w:rPr>
          <w:lang w:val="es-ES_tradnl"/>
        </w:rPr>
        <w:t xml:space="preserve">en el </w:t>
      </w:r>
      <w:r w:rsidR="009374DA" w:rsidRPr="00B924EB">
        <w:rPr>
          <w:lang w:val="es-ES_tradnl"/>
        </w:rPr>
        <w:t>Acuerdo</w:t>
      </w:r>
      <w:r w:rsidR="00A13BEA" w:rsidRPr="00B924EB">
        <w:rPr>
          <w:lang w:val="es-ES_tradnl"/>
        </w:rPr>
        <w:t xml:space="preserve"> </w:t>
      </w:r>
      <w:r w:rsidR="009374DA" w:rsidRPr="00B924EB">
        <w:rPr>
          <w:lang w:val="es-ES_tradnl"/>
        </w:rPr>
        <w:t>con</w:t>
      </w:r>
      <w:r w:rsidR="00A13BEA" w:rsidRPr="00B924EB">
        <w:rPr>
          <w:lang w:val="es-ES_tradnl"/>
        </w:rPr>
        <w:t xml:space="preserve"> </w:t>
      </w:r>
      <w:r w:rsidR="009374DA" w:rsidRPr="00B924EB">
        <w:rPr>
          <w:lang w:val="es-ES_tradnl"/>
        </w:rPr>
        <w:t>el</w:t>
      </w:r>
      <w:r w:rsidR="00A13BEA" w:rsidRPr="00B924EB">
        <w:rPr>
          <w:lang w:val="es-ES_tradnl"/>
        </w:rPr>
        <w:t xml:space="preserve"> </w:t>
      </w:r>
      <w:r w:rsidR="009374DA" w:rsidRPr="00B924EB">
        <w:rPr>
          <w:lang w:val="es-ES_tradnl"/>
        </w:rPr>
        <w:t>Comité</w:t>
      </w:r>
      <w:r w:rsidR="00A13BEA" w:rsidRPr="00B924EB">
        <w:rPr>
          <w:lang w:val="es-ES_tradnl"/>
        </w:rPr>
        <w:t xml:space="preserve"> </w:t>
      </w:r>
      <w:r w:rsidR="00755C5D" w:rsidRPr="00B924EB">
        <w:rPr>
          <w:lang w:val="es-ES_tradnl"/>
        </w:rPr>
        <w:t>Ejecutivo</w:t>
      </w:r>
      <w:r w:rsidR="00344939" w:rsidRPr="00B924EB">
        <w:rPr>
          <w:lang w:val="es-ES_tradnl"/>
        </w:rPr>
        <w:t>.</w:t>
      </w:r>
    </w:p>
    <w:p w14:paraId="635444B9" w14:textId="0CC6FC9A" w:rsidR="009E7929" w:rsidRPr="00B924EB" w:rsidRDefault="0014028A" w:rsidP="00DD7874">
      <w:pPr>
        <w:pStyle w:val="Heading1"/>
        <w:keepNext/>
        <w:keepLines/>
        <w:numPr>
          <w:ilvl w:val="0"/>
          <w:numId w:val="0"/>
        </w:numPr>
        <w:rPr>
          <w:u w:val="single"/>
          <w:lang w:val="es-ES_tradnl"/>
        </w:rPr>
      </w:pPr>
      <w:r w:rsidRPr="0014028A">
        <w:rPr>
          <w:u w:val="single"/>
          <w:lang w:val="es-ES_tradnl"/>
        </w:rPr>
        <w:t>Estado de avance y desembolsos</w:t>
      </w:r>
    </w:p>
    <w:p w14:paraId="32DD4FF7" w14:textId="5E8FC44C" w:rsidR="00EF4311" w:rsidRPr="00B924EB" w:rsidRDefault="004156A8" w:rsidP="001B3CE0">
      <w:pPr>
        <w:pStyle w:val="Heading1"/>
        <w:rPr>
          <w:rFonts w:eastAsia="SimSun"/>
          <w:lang w:val="es-ES_tradnl" w:eastAsia="zh-CN"/>
        </w:rPr>
      </w:pPr>
      <w:r>
        <w:rPr>
          <w:rFonts w:eastAsia="SimSun"/>
          <w:lang w:val="es-ES_tradnl" w:eastAsia="zh-CN"/>
        </w:rPr>
        <w:t xml:space="preserve">Por motivos políticos e </w:t>
      </w:r>
      <w:r w:rsidR="00945790">
        <w:rPr>
          <w:rFonts w:eastAsia="SimSun"/>
          <w:lang w:val="es-ES_tradnl" w:eastAsia="zh-CN"/>
        </w:rPr>
        <w:t>institucional</w:t>
      </w:r>
      <w:r w:rsidR="000B7F1F">
        <w:rPr>
          <w:rFonts w:eastAsia="SimSun"/>
          <w:lang w:val="es-ES_tradnl" w:eastAsia="zh-CN"/>
        </w:rPr>
        <w:t>es</w:t>
      </w:r>
      <w:r w:rsidR="00A13BEA" w:rsidRPr="00B924EB">
        <w:rPr>
          <w:rFonts w:eastAsia="SimSun"/>
          <w:lang w:val="es-ES_tradnl" w:eastAsia="zh-CN"/>
        </w:rPr>
        <w:t xml:space="preserve"> </w:t>
      </w:r>
      <w:r w:rsidR="004F0D37">
        <w:rPr>
          <w:rFonts w:eastAsia="SimSun"/>
          <w:lang w:val="es-ES_tradnl" w:eastAsia="zh-CN"/>
        </w:rPr>
        <w:t>que escapan a la voluntad</w:t>
      </w:r>
      <w:r w:rsidR="00D2303F">
        <w:rPr>
          <w:rFonts w:eastAsia="SimSun"/>
          <w:lang w:val="es-ES_tradnl" w:eastAsia="zh-CN"/>
        </w:rPr>
        <w:t xml:space="preserve"> </w:t>
      </w:r>
      <w:r w:rsidR="00E75F2E">
        <w:rPr>
          <w:rFonts w:eastAsia="SimSun"/>
          <w:lang w:val="es-ES_tradnl" w:eastAsia="zh-CN"/>
        </w:rPr>
        <w:t xml:space="preserve">de </w:t>
      </w:r>
      <w:r w:rsidR="00C41D15">
        <w:rPr>
          <w:rFonts w:eastAsia="SimSun"/>
          <w:lang w:val="es-ES_tradnl" w:eastAsia="zh-CN"/>
        </w:rPr>
        <w:t>la oficina</w:t>
      </w:r>
      <w:r w:rsidR="00A13BEA" w:rsidRPr="00B924EB">
        <w:rPr>
          <w:rFonts w:eastAsia="SimSun"/>
          <w:lang w:val="es-ES_tradnl" w:eastAsia="zh-CN"/>
        </w:rPr>
        <w:t xml:space="preserve"> </w:t>
      </w:r>
      <w:r w:rsidR="00E26F0F" w:rsidRPr="00B924EB">
        <w:rPr>
          <w:rFonts w:eastAsia="SimSun"/>
          <w:lang w:val="es-ES_tradnl" w:eastAsia="zh-CN"/>
        </w:rPr>
        <w:t>nacional</w:t>
      </w:r>
      <w:r w:rsidR="00A13BEA" w:rsidRPr="00B924EB">
        <w:rPr>
          <w:rFonts w:eastAsia="SimSun"/>
          <w:lang w:val="es-ES_tradnl" w:eastAsia="zh-CN"/>
        </w:rPr>
        <w:t xml:space="preserve"> </w:t>
      </w:r>
      <w:r w:rsidR="00E26F0F" w:rsidRPr="00B924EB">
        <w:rPr>
          <w:rFonts w:eastAsia="SimSun"/>
          <w:lang w:val="es-ES_tradnl" w:eastAsia="zh-CN"/>
        </w:rPr>
        <w:t>del</w:t>
      </w:r>
      <w:r w:rsidR="00A13BEA" w:rsidRPr="00B924EB">
        <w:rPr>
          <w:rFonts w:eastAsia="SimSun"/>
          <w:lang w:val="es-ES_tradnl" w:eastAsia="zh-CN"/>
        </w:rPr>
        <w:t xml:space="preserve"> </w:t>
      </w:r>
      <w:r w:rsidR="00E26F0F" w:rsidRPr="00B924EB">
        <w:rPr>
          <w:rFonts w:eastAsia="SimSun"/>
          <w:lang w:val="es-ES_tradnl" w:eastAsia="zh-CN"/>
        </w:rPr>
        <w:t>ozono</w:t>
      </w:r>
      <w:r w:rsidR="00A13BEA" w:rsidRPr="00B924EB">
        <w:rPr>
          <w:rFonts w:eastAsia="SimSun"/>
          <w:lang w:val="es-ES_tradnl" w:eastAsia="zh-CN"/>
        </w:rPr>
        <w:t xml:space="preserve"> </w:t>
      </w:r>
      <w:r w:rsidR="00EF4311" w:rsidRPr="00B924EB">
        <w:rPr>
          <w:rFonts w:eastAsia="SimSun"/>
          <w:lang w:val="es-ES_tradnl" w:eastAsia="zh-CN"/>
        </w:rPr>
        <w:t>(</w:t>
      </w:r>
      <w:r w:rsidR="000521A3" w:rsidRPr="00B924EB">
        <w:rPr>
          <w:rFonts w:eastAsia="SimSun"/>
          <w:lang w:val="es-ES_tradnl" w:eastAsia="zh-CN"/>
        </w:rPr>
        <w:t>ONO</w:t>
      </w:r>
      <w:r w:rsidR="00EF4311" w:rsidRPr="00B924EB">
        <w:rPr>
          <w:rFonts w:eastAsia="SimSun"/>
          <w:lang w:val="es-ES_tradnl" w:eastAsia="zh-CN"/>
        </w:rPr>
        <w:t>),</w:t>
      </w:r>
      <w:r w:rsidR="00A13BEA" w:rsidRPr="00B924EB">
        <w:rPr>
          <w:rFonts w:eastAsia="SimSun"/>
          <w:lang w:val="es-ES_tradnl" w:eastAsia="zh-CN"/>
        </w:rPr>
        <w:t xml:space="preserve"> </w:t>
      </w:r>
      <w:r w:rsidR="008712F5" w:rsidRPr="008712F5">
        <w:rPr>
          <w:rFonts w:eastAsia="SimSun"/>
          <w:lang w:val="es-ES_tradnl" w:eastAsia="zh-CN"/>
        </w:rPr>
        <w:t xml:space="preserve">durante varios años </w:t>
      </w:r>
      <w:r w:rsidR="00B35C7C">
        <w:rPr>
          <w:rFonts w:eastAsia="SimSun"/>
          <w:lang w:val="es-ES_tradnl" w:eastAsia="zh-CN"/>
        </w:rPr>
        <w:t>la capacidad d</w:t>
      </w:r>
      <w:r w:rsidR="000521A3" w:rsidRPr="00B924EB">
        <w:rPr>
          <w:rFonts w:eastAsia="SimSun"/>
          <w:lang w:val="es-ES_tradnl" w:eastAsia="zh-CN"/>
        </w:rPr>
        <w:t>el</w:t>
      </w:r>
      <w:r w:rsidR="00A13BEA" w:rsidRPr="00B924EB">
        <w:rPr>
          <w:rFonts w:eastAsia="SimSun"/>
          <w:lang w:val="es-ES_tradnl" w:eastAsia="zh-CN"/>
        </w:rPr>
        <w:t xml:space="preserve"> </w:t>
      </w:r>
      <w:r w:rsidR="000521A3" w:rsidRPr="00B924EB">
        <w:rPr>
          <w:rFonts w:eastAsia="SimSun"/>
          <w:lang w:val="es-ES_tradnl" w:eastAsia="zh-CN"/>
        </w:rPr>
        <w:t>país</w:t>
      </w:r>
      <w:r w:rsidR="00A13BEA" w:rsidRPr="00B924EB">
        <w:rPr>
          <w:rFonts w:eastAsia="SimSun"/>
          <w:lang w:val="es-ES_tradnl" w:eastAsia="zh-CN"/>
        </w:rPr>
        <w:t xml:space="preserve"> </w:t>
      </w:r>
      <w:r w:rsidR="00B35C7C">
        <w:rPr>
          <w:rFonts w:eastAsia="SimSun"/>
          <w:lang w:val="es-ES_tradnl" w:eastAsia="zh-CN"/>
        </w:rPr>
        <w:t xml:space="preserve">de </w:t>
      </w:r>
      <w:r w:rsidR="00AF76DC">
        <w:rPr>
          <w:rFonts w:eastAsia="SimSun"/>
          <w:lang w:val="es-ES_tradnl" w:eastAsia="zh-CN"/>
        </w:rPr>
        <w:t>distri</w:t>
      </w:r>
      <w:r w:rsidR="00020393">
        <w:rPr>
          <w:rFonts w:eastAsia="SimSun"/>
          <w:lang w:val="es-ES_tradnl" w:eastAsia="zh-CN"/>
        </w:rPr>
        <w:t>buir</w:t>
      </w:r>
      <w:r w:rsidR="00BE4618">
        <w:rPr>
          <w:rFonts w:eastAsia="SimSun"/>
          <w:lang w:val="es-ES_tradnl" w:eastAsia="zh-CN"/>
        </w:rPr>
        <w:t xml:space="preserve"> </w:t>
      </w:r>
      <w:r w:rsidR="00055F50" w:rsidRPr="00B924EB">
        <w:rPr>
          <w:rFonts w:eastAsia="SimSun"/>
          <w:lang w:val="es-ES_tradnl" w:eastAsia="zh-CN"/>
        </w:rPr>
        <w:t>fondos</w:t>
      </w:r>
      <w:r w:rsidR="00A13BEA" w:rsidRPr="00B924EB">
        <w:rPr>
          <w:rFonts w:eastAsia="SimSun"/>
          <w:lang w:val="es-ES_tradnl" w:eastAsia="zh-CN"/>
        </w:rPr>
        <w:t xml:space="preserve"> </w:t>
      </w:r>
      <w:r w:rsidR="00344CAB">
        <w:rPr>
          <w:rFonts w:eastAsia="SimSun"/>
          <w:lang w:val="es-ES_tradnl" w:eastAsia="zh-CN"/>
        </w:rPr>
        <w:t>y</w:t>
      </w:r>
      <w:r w:rsidR="00A13BEA" w:rsidRPr="00B924EB">
        <w:rPr>
          <w:rFonts w:eastAsia="SimSun"/>
          <w:lang w:val="es-ES_tradnl" w:eastAsia="zh-CN"/>
        </w:rPr>
        <w:t xml:space="preserve"> </w:t>
      </w:r>
      <w:r w:rsidR="001753FB">
        <w:rPr>
          <w:rFonts w:eastAsia="SimSun"/>
          <w:lang w:val="es-ES_tradnl" w:eastAsia="zh-CN"/>
        </w:rPr>
        <w:t xml:space="preserve">ejecutar las </w:t>
      </w:r>
      <w:r w:rsidR="00755C5D" w:rsidRPr="00B924EB">
        <w:rPr>
          <w:rFonts w:eastAsia="SimSun"/>
          <w:lang w:val="es-ES_tradnl" w:eastAsia="zh-CN"/>
        </w:rPr>
        <w:t>actividades</w:t>
      </w:r>
      <w:r w:rsidR="00A13BEA" w:rsidRPr="00B924EB">
        <w:rPr>
          <w:rFonts w:eastAsia="SimSun"/>
          <w:lang w:val="es-ES_tradnl" w:eastAsia="zh-CN"/>
        </w:rPr>
        <w:t xml:space="preserve"> </w:t>
      </w:r>
      <w:r w:rsidR="00420F85">
        <w:rPr>
          <w:rFonts w:eastAsia="SimSun"/>
          <w:lang w:val="es-ES_tradnl" w:eastAsia="zh-CN"/>
        </w:rPr>
        <w:t xml:space="preserve">previstas </w:t>
      </w:r>
      <w:r w:rsidR="00D208B3">
        <w:rPr>
          <w:rFonts w:eastAsia="SimSun"/>
          <w:lang w:val="es-ES_tradnl" w:eastAsia="zh-CN"/>
        </w:rPr>
        <w:t xml:space="preserve">se vio </w:t>
      </w:r>
      <w:r w:rsidR="00691AC8">
        <w:rPr>
          <w:rFonts w:eastAsia="SimSun"/>
          <w:lang w:val="es-ES_tradnl" w:eastAsia="zh-CN"/>
        </w:rPr>
        <w:t xml:space="preserve">fuertemente </w:t>
      </w:r>
      <w:r w:rsidR="00506CE3">
        <w:rPr>
          <w:rFonts w:eastAsia="SimSun"/>
          <w:lang w:val="es-ES_tradnl" w:eastAsia="zh-CN"/>
        </w:rPr>
        <w:t>disminuida</w:t>
      </w:r>
      <w:r w:rsidR="00EF4311" w:rsidRPr="00B924EB">
        <w:rPr>
          <w:rFonts w:eastAsia="SimSun"/>
          <w:lang w:val="es-ES_tradnl" w:eastAsia="zh-CN"/>
        </w:rPr>
        <w:t>.</w:t>
      </w:r>
      <w:r w:rsidR="00A13BEA" w:rsidRPr="00B924EB">
        <w:rPr>
          <w:rFonts w:eastAsia="SimSun"/>
          <w:lang w:val="es-ES_tradnl" w:eastAsia="zh-CN"/>
        </w:rPr>
        <w:t xml:space="preserve"> </w:t>
      </w:r>
      <w:r w:rsidR="00B22570">
        <w:rPr>
          <w:rFonts w:eastAsia="SimSun"/>
          <w:lang w:val="es-ES_tradnl" w:eastAsia="zh-CN"/>
        </w:rPr>
        <w:t xml:space="preserve">Pese a </w:t>
      </w:r>
      <w:r w:rsidR="002B0DAB">
        <w:rPr>
          <w:rFonts w:eastAsia="SimSun"/>
          <w:lang w:val="es-ES_tradnl" w:eastAsia="zh-CN"/>
        </w:rPr>
        <w:t>ello</w:t>
      </w:r>
      <w:r w:rsidR="00EF4311" w:rsidRPr="00B924EB">
        <w:rPr>
          <w:rFonts w:eastAsia="SimSun"/>
          <w:lang w:val="es-ES_tradnl" w:eastAsia="zh-CN"/>
        </w:rPr>
        <w:t>,</w:t>
      </w:r>
      <w:r w:rsidR="00A13BEA" w:rsidRPr="00B924EB">
        <w:rPr>
          <w:rFonts w:eastAsia="SimSun"/>
          <w:lang w:val="es-ES_tradnl" w:eastAsia="zh-CN"/>
        </w:rPr>
        <w:t xml:space="preserve"> </w:t>
      </w:r>
      <w:r w:rsidR="00755C5D" w:rsidRPr="00B924EB">
        <w:rPr>
          <w:rFonts w:eastAsia="SimSun"/>
          <w:lang w:val="es-ES_tradnl" w:eastAsia="zh-CN"/>
        </w:rPr>
        <w:t>el</w:t>
      </w:r>
      <w:r w:rsidR="00A13BEA" w:rsidRPr="00B924EB">
        <w:rPr>
          <w:rFonts w:eastAsia="SimSun"/>
          <w:lang w:val="es-ES_tradnl" w:eastAsia="zh-CN"/>
        </w:rPr>
        <w:t xml:space="preserve"> </w:t>
      </w:r>
      <w:r w:rsidR="00755C5D" w:rsidRPr="00B924EB">
        <w:rPr>
          <w:rFonts w:eastAsia="SimSun"/>
          <w:lang w:val="es-ES_tradnl" w:eastAsia="zh-CN"/>
        </w:rPr>
        <w:t>Gobierno</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EF4311" w:rsidRPr="00B924EB">
        <w:rPr>
          <w:rFonts w:eastAsia="SimSun"/>
          <w:lang w:val="es-ES_tradnl" w:eastAsia="zh-CN"/>
        </w:rPr>
        <w:t>Iraq</w:t>
      </w:r>
      <w:r w:rsidR="00A13BEA" w:rsidRPr="00B924EB">
        <w:rPr>
          <w:rFonts w:eastAsia="SimSun"/>
          <w:lang w:val="es-ES_tradnl" w:eastAsia="zh-CN"/>
        </w:rPr>
        <w:t xml:space="preserve"> </w:t>
      </w:r>
      <w:r w:rsidR="00DE0DB5">
        <w:rPr>
          <w:rFonts w:eastAsia="SimSun"/>
          <w:lang w:val="es-ES_tradnl" w:eastAsia="zh-CN"/>
        </w:rPr>
        <w:t xml:space="preserve">logró </w:t>
      </w:r>
      <w:r w:rsidR="00E9281A" w:rsidRPr="00E9281A">
        <w:rPr>
          <w:rFonts w:eastAsia="SimSun"/>
          <w:lang w:val="es-ES_tradnl" w:eastAsia="zh-CN"/>
        </w:rPr>
        <w:t xml:space="preserve">robustecer las medidas regulatorias y de control del comercio de </w:t>
      </w:r>
      <w:r w:rsidR="00DE6056">
        <w:rPr>
          <w:rFonts w:eastAsia="SimSun"/>
          <w:lang w:val="es-ES_tradnl" w:eastAsia="zh-CN"/>
        </w:rPr>
        <w:t xml:space="preserve">SAO, alcanzando </w:t>
      </w:r>
      <w:r w:rsidR="001C4BAE">
        <w:rPr>
          <w:rFonts w:eastAsia="SimSun"/>
          <w:lang w:val="es-ES_tradnl" w:eastAsia="zh-CN"/>
        </w:rPr>
        <w:t xml:space="preserve">y </w:t>
      </w:r>
      <w:r w:rsidR="00DE6056">
        <w:rPr>
          <w:rFonts w:eastAsia="SimSun"/>
          <w:lang w:val="es-ES_tradnl" w:eastAsia="zh-CN"/>
        </w:rPr>
        <w:t>manteniendo así</w:t>
      </w:r>
      <w:r w:rsidR="00B94897">
        <w:rPr>
          <w:rFonts w:eastAsia="SimSun"/>
          <w:lang w:val="es-ES_tradnl" w:eastAsia="zh-CN"/>
        </w:rPr>
        <w:t xml:space="preserve"> las </w:t>
      </w:r>
      <w:r w:rsidR="00B94897" w:rsidRPr="00B94897">
        <w:rPr>
          <w:rFonts w:eastAsia="SimSun"/>
          <w:lang w:val="es-ES_tradnl" w:eastAsia="zh-CN"/>
        </w:rPr>
        <w:t xml:space="preserve">metas </w:t>
      </w:r>
      <w:r w:rsidR="00B94897">
        <w:rPr>
          <w:rFonts w:eastAsia="SimSun"/>
          <w:lang w:val="es-ES_tradnl" w:eastAsia="zh-CN"/>
        </w:rPr>
        <w:t>de consumo de HCFC</w:t>
      </w:r>
      <w:r w:rsidR="00EF4311" w:rsidRPr="00B924EB">
        <w:rPr>
          <w:rFonts w:eastAsia="SimSun"/>
          <w:lang w:val="es-ES_tradnl" w:eastAsia="zh-CN"/>
        </w:rPr>
        <w:t>.</w:t>
      </w:r>
      <w:r w:rsidR="00A13BEA" w:rsidRPr="00B924EB">
        <w:rPr>
          <w:rFonts w:eastAsia="SimSun"/>
          <w:lang w:val="es-ES_tradnl" w:eastAsia="zh-CN"/>
        </w:rPr>
        <w:t xml:space="preserve"> </w:t>
      </w:r>
      <w:r w:rsidR="0096151D">
        <w:rPr>
          <w:rFonts w:eastAsia="SimSun"/>
          <w:lang w:val="es-ES_tradnl" w:eastAsia="zh-CN"/>
        </w:rPr>
        <w:t>D</w:t>
      </w:r>
      <w:r w:rsidR="003054B6" w:rsidRPr="003054B6">
        <w:rPr>
          <w:rFonts w:eastAsia="SimSun"/>
          <w:lang w:val="es-ES_tradnl" w:eastAsia="zh-CN"/>
        </w:rPr>
        <w:t xml:space="preserve">urante la etapa I </w:t>
      </w:r>
      <w:r w:rsidR="00C60EF0">
        <w:rPr>
          <w:rFonts w:eastAsia="SimSun"/>
          <w:lang w:val="es-ES_tradnl" w:eastAsia="zh-CN"/>
        </w:rPr>
        <w:t xml:space="preserve">el </w:t>
      </w:r>
      <w:r w:rsidR="009D2390">
        <w:rPr>
          <w:rFonts w:eastAsia="SimSun"/>
          <w:lang w:val="es-ES_tradnl" w:eastAsia="zh-CN"/>
        </w:rPr>
        <w:t>Ministerio del Medio Ambiente</w:t>
      </w:r>
      <w:r w:rsidR="00A13BEA" w:rsidRPr="00B924EB">
        <w:rPr>
          <w:rFonts w:eastAsia="SimSun"/>
          <w:lang w:val="es-ES_tradnl" w:eastAsia="zh-CN"/>
        </w:rPr>
        <w:t xml:space="preserve"> </w:t>
      </w:r>
      <w:r w:rsidR="00AF6061">
        <w:rPr>
          <w:rFonts w:eastAsia="SimSun"/>
          <w:lang w:val="es-ES_tradnl" w:eastAsia="zh-CN"/>
        </w:rPr>
        <w:t xml:space="preserve">logró </w:t>
      </w:r>
      <w:r w:rsidR="0096151D">
        <w:rPr>
          <w:rFonts w:eastAsia="SimSun"/>
          <w:lang w:val="es-ES_tradnl" w:eastAsia="zh-CN"/>
        </w:rPr>
        <w:t xml:space="preserve">además </w:t>
      </w:r>
      <w:r w:rsidR="00F40A86" w:rsidRPr="00F40A86">
        <w:rPr>
          <w:rFonts w:eastAsia="SimSun"/>
          <w:lang w:val="es-ES_tradnl" w:eastAsia="zh-CN"/>
        </w:rPr>
        <w:t>levantar</w:t>
      </w:r>
      <w:r w:rsidR="004E7242">
        <w:rPr>
          <w:rFonts w:eastAsia="SimSun"/>
          <w:lang w:val="es-ES_tradnl" w:eastAsia="zh-CN"/>
        </w:rPr>
        <w:t xml:space="preserve"> </w:t>
      </w:r>
      <w:r w:rsidR="00816186">
        <w:rPr>
          <w:rFonts w:eastAsia="SimSun"/>
          <w:lang w:val="es-ES_tradnl" w:eastAsia="zh-CN"/>
        </w:rPr>
        <w:t xml:space="preserve">la </w:t>
      </w:r>
      <w:r w:rsidR="00E26F0F" w:rsidRPr="00B924EB">
        <w:rPr>
          <w:rFonts w:eastAsia="SimSun"/>
          <w:lang w:val="es-ES_tradnl" w:eastAsia="zh-CN"/>
        </w:rPr>
        <w:t>infraestructura</w:t>
      </w:r>
      <w:r w:rsidR="00A13BEA" w:rsidRPr="00B924EB">
        <w:rPr>
          <w:rFonts w:eastAsia="SimSun"/>
          <w:lang w:val="es-ES_tradnl" w:eastAsia="zh-CN"/>
        </w:rPr>
        <w:t xml:space="preserve"> </w:t>
      </w:r>
      <w:r w:rsidR="00755C5D" w:rsidRPr="00B924EB">
        <w:rPr>
          <w:rFonts w:eastAsia="SimSun"/>
          <w:lang w:val="es-ES_tradnl" w:eastAsia="zh-CN"/>
        </w:rPr>
        <w:t>y</w:t>
      </w:r>
      <w:r w:rsidR="00A13BEA" w:rsidRPr="00B924EB">
        <w:rPr>
          <w:rFonts w:eastAsia="SimSun"/>
          <w:lang w:val="es-ES_tradnl" w:eastAsia="zh-CN"/>
        </w:rPr>
        <w:t xml:space="preserve"> </w:t>
      </w:r>
      <w:r w:rsidR="004378A7">
        <w:rPr>
          <w:rFonts w:eastAsia="SimSun"/>
          <w:lang w:val="es-ES_tradnl" w:eastAsia="zh-CN"/>
        </w:rPr>
        <w:t xml:space="preserve">las </w:t>
      </w:r>
      <w:r w:rsidR="000C3915">
        <w:rPr>
          <w:rFonts w:eastAsia="SimSun"/>
          <w:lang w:val="es-ES_tradnl" w:eastAsia="zh-CN"/>
        </w:rPr>
        <w:t>redes</w:t>
      </w:r>
      <w:r w:rsidR="00A13BEA" w:rsidRPr="00B924EB">
        <w:rPr>
          <w:rFonts w:eastAsia="SimSun"/>
          <w:lang w:val="es-ES_tradnl" w:eastAsia="zh-CN"/>
        </w:rPr>
        <w:t xml:space="preserve"> </w:t>
      </w:r>
      <w:r w:rsidR="005E5AF7" w:rsidRPr="005E5AF7">
        <w:rPr>
          <w:rFonts w:eastAsia="SimSun"/>
          <w:lang w:val="es-ES_tradnl" w:eastAsia="zh-CN"/>
        </w:rPr>
        <w:t>nacional</w:t>
      </w:r>
      <w:r w:rsidR="005E5AF7">
        <w:rPr>
          <w:rFonts w:eastAsia="SimSun"/>
          <w:lang w:val="es-ES_tradnl" w:eastAsia="zh-CN"/>
        </w:rPr>
        <w:t>es</w:t>
      </w:r>
      <w:r w:rsidR="005E5AF7" w:rsidRPr="005E5AF7">
        <w:rPr>
          <w:rFonts w:eastAsia="SimSun"/>
          <w:lang w:val="es-ES_tradnl" w:eastAsia="zh-CN"/>
        </w:rPr>
        <w:t xml:space="preserve"> </w:t>
      </w:r>
      <w:r w:rsidR="00104DF8">
        <w:rPr>
          <w:rFonts w:eastAsia="SimSun"/>
          <w:lang w:val="es-ES_tradnl" w:eastAsia="zh-CN"/>
        </w:rPr>
        <w:t xml:space="preserve">necesarias para ejecutar </w:t>
      </w:r>
      <w:r w:rsidR="00755C5D" w:rsidRPr="00B924EB">
        <w:rPr>
          <w:rFonts w:eastAsia="SimSun"/>
          <w:lang w:val="es-ES_tradnl" w:eastAsia="zh-CN"/>
        </w:rPr>
        <w:t>el</w:t>
      </w:r>
      <w:r w:rsidR="00A13BEA" w:rsidRPr="00B924EB">
        <w:rPr>
          <w:rFonts w:eastAsia="SimSun"/>
          <w:lang w:val="es-ES_tradnl" w:eastAsia="zh-CN"/>
        </w:rPr>
        <w:t xml:space="preserve"> </w:t>
      </w:r>
      <w:r w:rsidR="00755C5D" w:rsidRPr="00B924EB">
        <w:rPr>
          <w:rFonts w:eastAsia="SimSun"/>
          <w:lang w:val="es-ES_tradnl" w:eastAsia="zh-CN"/>
        </w:rPr>
        <w:t>PGEH</w:t>
      </w:r>
      <w:r w:rsidR="00A13BEA" w:rsidRPr="00B924EB">
        <w:rPr>
          <w:rFonts w:eastAsia="SimSun"/>
          <w:lang w:val="es-ES_tradnl" w:eastAsia="zh-CN"/>
        </w:rPr>
        <w:t xml:space="preserve"> </w:t>
      </w:r>
      <w:r w:rsidR="00755C5D" w:rsidRPr="00B924EB">
        <w:rPr>
          <w:rFonts w:eastAsia="SimSun"/>
          <w:lang w:val="es-ES_tradnl" w:eastAsia="zh-CN"/>
        </w:rPr>
        <w:t>y</w:t>
      </w:r>
      <w:r w:rsidR="00A13BEA" w:rsidRPr="00B924EB">
        <w:rPr>
          <w:rFonts w:eastAsia="SimSun"/>
          <w:lang w:val="es-ES_tradnl" w:eastAsia="zh-CN"/>
        </w:rPr>
        <w:t xml:space="preserve"> </w:t>
      </w:r>
      <w:r w:rsidR="00104DF8">
        <w:rPr>
          <w:rFonts w:eastAsia="SimSun"/>
          <w:lang w:val="es-ES_tradnl" w:eastAsia="zh-CN"/>
        </w:rPr>
        <w:t>avanzar</w:t>
      </w:r>
      <w:r w:rsidR="00A13BEA" w:rsidRPr="00B924EB">
        <w:rPr>
          <w:rFonts w:eastAsia="SimSun"/>
          <w:lang w:val="es-ES_tradnl" w:eastAsia="zh-CN"/>
        </w:rPr>
        <w:t xml:space="preserve"> </w:t>
      </w:r>
      <w:r w:rsidR="00104DF8">
        <w:rPr>
          <w:rFonts w:eastAsia="SimSun"/>
          <w:lang w:val="es-ES_tradnl" w:eastAsia="zh-CN"/>
        </w:rPr>
        <w:t>e</w:t>
      </w:r>
      <w:r w:rsidR="009433D2" w:rsidRPr="00B924EB">
        <w:rPr>
          <w:rFonts w:eastAsia="SimSun"/>
          <w:lang w:val="es-ES_tradnl" w:eastAsia="zh-CN"/>
        </w:rPr>
        <w:t>n</w:t>
      </w:r>
      <w:r w:rsidR="00A13BEA" w:rsidRPr="00B924EB">
        <w:rPr>
          <w:rFonts w:eastAsia="SimSun"/>
          <w:lang w:val="es-ES_tradnl" w:eastAsia="zh-CN"/>
        </w:rPr>
        <w:t xml:space="preserve"> </w:t>
      </w:r>
      <w:r w:rsidR="00945790">
        <w:rPr>
          <w:rFonts w:eastAsia="SimSun"/>
          <w:lang w:val="es-ES_tradnl" w:eastAsia="zh-CN"/>
        </w:rPr>
        <w:t>las actividades</w:t>
      </w:r>
      <w:r w:rsidR="00A13BEA" w:rsidRPr="00B924EB">
        <w:rPr>
          <w:rFonts w:eastAsia="SimSun"/>
          <w:lang w:val="es-ES_tradnl" w:eastAsia="zh-CN"/>
        </w:rPr>
        <w:t xml:space="preserve"> </w:t>
      </w:r>
      <w:r w:rsidR="00452F79" w:rsidRPr="00B924EB">
        <w:rPr>
          <w:rFonts w:eastAsia="SimSun"/>
          <w:lang w:val="es-ES_tradnl" w:eastAsia="zh-CN"/>
        </w:rPr>
        <w:t>aprobadas</w:t>
      </w:r>
      <w:r w:rsidR="00EF4311" w:rsidRPr="00B924EB">
        <w:rPr>
          <w:rFonts w:eastAsia="SimSun"/>
          <w:lang w:val="es-ES_tradnl" w:eastAsia="zh-CN"/>
        </w:rPr>
        <w:t>.</w:t>
      </w:r>
    </w:p>
    <w:p w14:paraId="23B46A49" w14:textId="19B19094" w:rsidR="00EF4311" w:rsidRPr="00B924EB" w:rsidRDefault="0093019B">
      <w:pPr>
        <w:pStyle w:val="Heading1"/>
        <w:rPr>
          <w:rFonts w:eastAsia="SimSun"/>
          <w:lang w:val="es-ES_tradnl" w:eastAsia="zh-CN"/>
        </w:rPr>
      </w:pPr>
      <w:r>
        <w:rPr>
          <w:rFonts w:eastAsia="SimSun"/>
          <w:lang w:val="es-ES_tradnl" w:eastAsia="zh-CN"/>
        </w:rPr>
        <w:t>Tras</w:t>
      </w:r>
      <w:r w:rsidR="00A13BEA" w:rsidRPr="00B924EB">
        <w:rPr>
          <w:rFonts w:eastAsia="SimSun"/>
          <w:lang w:val="es-ES_tradnl" w:eastAsia="zh-CN"/>
        </w:rPr>
        <w:t xml:space="preserve"> </w:t>
      </w:r>
      <w:r w:rsidR="003D707A">
        <w:rPr>
          <w:rFonts w:eastAsia="SimSun"/>
          <w:lang w:val="es-ES_tradnl" w:eastAsia="zh-CN"/>
        </w:rPr>
        <w:t xml:space="preserve">la </w:t>
      </w:r>
      <w:r w:rsidR="00FB6C92" w:rsidRPr="00FB6C92">
        <w:rPr>
          <w:rFonts w:eastAsia="SimSun"/>
          <w:lang w:val="es-ES_tradnl" w:eastAsia="zh-CN"/>
        </w:rPr>
        <w:t>recuperación</w:t>
      </w:r>
      <w:r w:rsidR="003D707A">
        <w:rPr>
          <w:rFonts w:eastAsia="SimSun"/>
          <w:lang w:val="es-ES_tradnl" w:eastAsia="zh-CN"/>
        </w:rPr>
        <w:t xml:space="preserve"> general de la </w:t>
      </w:r>
      <w:r w:rsidR="003208A7" w:rsidRPr="00B924EB">
        <w:rPr>
          <w:rFonts w:eastAsia="SimSun"/>
          <w:lang w:val="es-ES_tradnl" w:eastAsia="zh-CN"/>
        </w:rPr>
        <w:t>situación</w:t>
      </w:r>
      <w:r w:rsidR="00A13BEA" w:rsidRPr="00B924EB">
        <w:rPr>
          <w:rFonts w:eastAsia="SimSun"/>
          <w:lang w:val="es-ES_tradnl" w:eastAsia="zh-CN"/>
        </w:rPr>
        <w:t xml:space="preserve"> </w:t>
      </w:r>
      <w:r w:rsidR="00D8370A">
        <w:rPr>
          <w:rFonts w:eastAsia="SimSun"/>
          <w:lang w:val="es-ES_tradnl" w:eastAsia="zh-CN"/>
        </w:rPr>
        <w:t xml:space="preserve">interna </w:t>
      </w:r>
      <w:r w:rsidR="00755C5D" w:rsidRPr="00B924EB">
        <w:rPr>
          <w:rFonts w:eastAsia="SimSun"/>
          <w:lang w:val="es-ES_tradnl" w:eastAsia="zh-CN"/>
        </w:rPr>
        <w:t>y</w:t>
      </w:r>
      <w:r w:rsidR="00A13BEA" w:rsidRPr="00B924EB">
        <w:rPr>
          <w:rFonts w:eastAsia="SimSun"/>
          <w:lang w:val="es-ES_tradnl" w:eastAsia="zh-CN"/>
        </w:rPr>
        <w:t xml:space="preserve"> </w:t>
      </w:r>
      <w:r w:rsidR="009E173E">
        <w:rPr>
          <w:rFonts w:eastAsia="SimSun"/>
          <w:lang w:val="es-ES_tradnl" w:eastAsia="zh-CN"/>
        </w:rPr>
        <w:t xml:space="preserve">el </w:t>
      </w:r>
      <w:r w:rsidR="00055F50" w:rsidRPr="00B924EB">
        <w:rPr>
          <w:rFonts w:eastAsia="SimSun"/>
          <w:lang w:val="es-ES_tradnl" w:eastAsia="zh-CN"/>
        </w:rPr>
        <w:t>avance</w:t>
      </w:r>
      <w:r w:rsidR="00A13BEA" w:rsidRPr="00B924EB">
        <w:rPr>
          <w:rFonts w:eastAsia="SimSun"/>
          <w:lang w:val="es-ES_tradnl" w:eastAsia="zh-CN"/>
        </w:rPr>
        <w:t xml:space="preserve"> </w:t>
      </w:r>
      <w:r w:rsidR="009374DA" w:rsidRPr="00B924EB">
        <w:rPr>
          <w:rFonts w:eastAsia="SimSun"/>
          <w:lang w:val="es-ES_tradnl" w:eastAsia="zh-CN"/>
        </w:rPr>
        <w:t>en</w:t>
      </w:r>
      <w:r w:rsidR="00A13BEA" w:rsidRPr="00B924EB">
        <w:rPr>
          <w:rFonts w:eastAsia="SimSun"/>
          <w:lang w:val="es-ES_tradnl" w:eastAsia="zh-CN"/>
        </w:rPr>
        <w:t xml:space="preserve"> </w:t>
      </w:r>
      <w:r w:rsidR="00D848E4">
        <w:rPr>
          <w:rFonts w:eastAsia="SimSun"/>
          <w:lang w:val="es-ES_tradnl" w:eastAsia="zh-CN"/>
        </w:rPr>
        <w:t>la ejecución</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480E37">
        <w:rPr>
          <w:rFonts w:eastAsia="SimSun"/>
          <w:lang w:val="es-ES_tradnl" w:eastAsia="zh-CN"/>
        </w:rPr>
        <w:t xml:space="preserve">las </w:t>
      </w:r>
      <w:r w:rsidR="003208A7" w:rsidRPr="00B924EB">
        <w:rPr>
          <w:rFonts w:eastAsia="SimSun"/>
          <w:lang w:val="es-ES_tradnl" w:eastAsia="zh-CN"/>
        </w:rPr>
        <w:t>actividades</w:t>
      </w:r>
      <w:r w:rsidR="00A13BEA" w:rsidRPr="00B924EB">
        <w:rPr>
          <w:rFonts w:eastAsia="SimSun"/>
          <w:lang w:val="es-ES_tradnl" w:eastAsia="zh-CN"/>
        </w:rPr>
        <w:t xml:space="preserve"> </w:t>
      </w:r>
      <w:r w:rsidR="003208A7" w:rsidRPr="00B924EB">
        <w:rPr>
          <w:rFonts w:eastAsia="SimSun"/>
          <w:lang w:val="es-ES_tradnl" w:eastAsia="zh-CN"/>
        </w:rPr>
        <w:t>aprobadas</w:t>
      </w:r>
      <w:r w:rsidR="00A13BEA" w:rsidRPr="00B924EB">
        <w:rPr>
          <w:rFonts w:eastAsia="SimSun"/>
          <w:lang w:val="es-ES_tradnl" w:eastAsia="zh-CN"/>
        </w:rPr>
        <w:t xml:space="preserve"> </w:t>
      </w:r>
      <w:r w:rsidR="00B6351A">
        <w:rPr>
          <w:rFonts w:eastAsia="SimSun"/>
          <w:lang w:val="es-ES_tradnl" w:eastAsia="zh-CN"/>
        </w:rPr>
        <w:t xml:space="preserve">para </w:t>
      </w:r>
      <w:r w:rsidR="001A1006" w:rsidRPr="00B924EB">
        <w:rPr>
          <w:rFonts w:eastAsia="SimSun"/>
          <w:lang w:val="es-ES_tradnl" w:eastAsia="zh-CN"/>
        </w:rPr>
        <w:t>la</w:t>
      </w:r>
      <w:r w:rsidR="00A13BEA" w:rsidRPr="00B924EB">
        <w:rPr>
          <w:rFonts w:eastAsia="SimSun"/>
          <w:lang w:val="es-ES_tradnl" w:eastAsia="zh-CN"/>
        </w:rPr>
        <w:t xml:space="preserve"> </w:t>
      </w:r>
      <w:r w:rsidR="001A1006" w:rsidRPr="00B924EB">
        <w:rPr>
          <w:rFonts w:eastAsia="SimSun"/>
          <w:lang w:val="es-ES_tradnl" w:eastAsia="zh-CN"/>
        </w:rPr>
        <w:t>etapa</w:t>
      </w:r>
      <w:r w:rsidR="00A13BEA" w:rsidRPr="00B924EB">
        <w:rPr>
          <w:rFonts w:eastAsia="SimSun"/>
          <w:lang w:val="es-ES_tradnl" w:eastAsia="zh-CN"/>
        </w:rPr>
        <w:t xml:space="preserve"> </w:t>
      </w:r>
      <w:r w:rsidR="003208A7" w:rsidRPr="00B924EB">
        <w:rPr>
          <w:rFonts w:eastAsia="SimSun"/>
          <w:lang w:val="es-ES_tradnl" w:eastAsia="zh-CN"/>
        </w:rPr>
        <w:t>I</w:t>
      </w:r>
      <w:r w:rsidR="003927D2" w:rsidRPr="00B924EB">
        <w:rPr>
          <w:rFonts w:eastAsia="SimSun"/>
          <w:lang w:val="es-ES_tradnl" w:eastAsia="zh-CN"/>
        </w:rPr>
        <w:t>,</w:t>
      </w:r>
      <w:r w:rsidR="00A13BEA" w:rsidRPr="00B924EB">
        <w:rPr>
          <w:rFonts w:eastAsia="SimSun"/>
          <w:lang w:val="es-ES_tradnl" w:eastAsia="zh-CN"/>
        </w:rPr>
        <w:t xml:space="preserve"> </w:t>
      </w:r>
      <w:r w:rsidR="00B812F0">
        <w:rPr>
          <w:rFonts w:eastAsia="SimSun"/>
          <w:lang w:val="es-ES_tradnl" w:eastAsia="zh-CN"/>
        </w:rPr>
        <w:t>en</w:t>
      </w:r>
      <w:r w:rsidR="00A13BEA" w:rsidRPr="00B924EB">
        <w:rPr>
          <w:rFonts w:eastAsia="SimSun"/>
          <w:lang w:val="es-ES_tradnl" w:eastAsia="zh-CN"/>
        </w:rPr>
        <w:t xml:space="preserve"> </w:t>
      </w:r>
      <w:r w:rsidR="00452F79" w:rsidRPr="00B924EB">
        <w:rPr>
          <w:rFonts w:eastAsia="SimSun"/>
          <w:lang w:val="es-ES_tradnl" w:eastAsia="zh-CN"/>
        </w:rPr>
        <w:t>la</w:t>
      </w:r>
      <w:r w:rsidR="00A13BEA" w:rsidRPr="00B924EB">
        <w:rPr>
          <w:rFonts w:eastAsia="SimSun"/>
          <w:lang w:val="es-ES_tradnl" w:eastAsia="zh-CN"/>
        </w:rPr>
        <w:t xml:space="preserve"> </w:t>
      </w:r>
      <w:r w:rsidR="00EF4311" w:rsidRPr="00B924EB">
        <w:rPr>
          <w:rFonts w:eastAsia="SimSun"/>
          <w:lang w:val="es-ES_tradnl" w:eastAsia="zh-CN"/>
        </w:rPr>
        <w:t>8</w:t>
      </w:r>
      <w:r w:rsidR="00E26F0F" w:rsidRPr="00B924EB">
        <w:rPr>
          <w:rFonts w:eastAsia="SimSun"/>
          <w:lang w:val="es-ES_tradnl" w:eastAsia="zh-CN"/>
        </w:rPr>
        <w:t>4</w:t>
      </w:r>
      <w:r w:rsidR="004135A5" w:rsidRPr="00B924EB">
        <w:rPr>
          <w:rFonts w:eastAsia="SimSun"/>
          <w:lang w:val="es-ES_tradnl" w:eastAsia="zh-CN"/>
        </w:rPr>
        <w:t>ª reunión</w:t>
      </w:r>
      <w:r w:rsidR="00A13BEA" w:rsidRPr="00B924EB">
        <w:rPr>
          <w:rFonts w:eastAsia="SimSun"/>
          <w:lang w:val="es-ES_tradnl" w:eastAsia="zh-CN"/>
        </w:rPr>
        <w:t xml:space="preserve"> </w:t>
      </w:r>
      <w:r w:rsidR="002C3645">
        <w:rPr>
          <w:rFonts w:eastAsia="SimSun"/>
          <w:lang w:val="es-ES_tradnl" w:eastAsia="zh-CN"/>
        </w:rPr>
        <w:t xml:space="preserve">se aprobó el último tramo, </w:t>
      </w:r>
      <w:r w:rsidR="009374DA" w:rsidRPr="00B924EB">
        <w:rPr>
          <w:rFonts w:eastAsia="SimSun"/>
          <w:lang w:val="es-ES_tradnl" w:eastAsia="zh-CN"/>
        </w:rPr>
        <w:t>con</w:t>
      </w:r>
      <w:r w:rsidR="00A13BEA" w:rsidRPr="00B924EB">
        <w:rPr>
          <w:rFonts w:eastAsia="SimSun"/>
          <w:lang w:val="es-ES_tradnl" w:eastAsia="zh-CN"/>
        </w:rPr>
        <w:t xml:space="preserve"> </w:t>
      </w:r>
      <w:r w:rsidR="00391C57">
        <w:rPr>
          <w:rFonts w:eastAsia="SimSun"/>
          <w:lang w:val="es-ES_tradnl" w:eastAsia="zh-CN"/>
        </w:rPr>
        <w:t xml:space="preserve">la expectativa </w:t>
      </w:r>
      <w:r w:rsidR="00755C5D" w:rsidRPr="00B924EB">
        <w:rPr>
          <w:rFonts w:eastAsia="SimSun"/>
          <w:lang w:val="es-ES_tradnl" w:eastAsia="zh-CN"/>
        </w:rPr>
        <w:t>de</w:t>
      </w:r>
      <w:r w:rsidR="00A13BEA" w:rsidRPr="00B924EB">
        <w:rPr>
          <w:rFonts w:eastAsia="SimSun"/>
          <w:lang w:val="es-ES_tradnl" w:eastAsia="zh-CN"/>
        </w:rPr>
        <w:t xml:space="preserve"> </w:t>
      </w:r>
      <w:r w:rsidR="00C26110">
        <w:rPr>
          <w:rFonts w:eastAsia="SimSun"/>
          <w:lang w:val="es-ES_tradnl" w:eastAsia="zh-CN"/>
        </w:rPr>
        <w:t xml:space="preserve">mantener </w:t>
      </w:r>
      <w:r w:rsidR="00DB3D7B" w:rsidRPr="00B924EB">
        <w:rPr>
          <w:rFonts w:eastAsia="SimSun"/>
          <w:lang w:val="es-ES_tradnl" w:eastAsia="zh-CN"/>
        </w:rPr>
        <w:t>la</w:t>
      </w:r>
      <w:r w:rsidR="00A13BEA" w:rsidRPr="00B924EB">
        <w:rPr>
          <w:rFonts w:eastAsia="SimSun"/>
          <w:lang w:val="es-ES_tradnl" w:eastAsia="zh-CN"/>
        </w:rPr>
        <w:t xml:space="preserve"> </w:t>
      </w:r>
      <w:r w:rsidR="00945790">
        <w:rPr>
          <w:rFonts w:eastAsia="SimSun"/>
          <w:lang w:val="es-ES_tradnl" w:eastAsia="zh-CN"/>
        </w:rPr>
        <w:t>meta de reducción</w:t>
      </w:r>
      <w:r w:rsidR="00A13BEA" w:rsidRPr="00B924EB">
        <w:rPr>
          <w:rFonts w:eastAsia="SimSun"/>
          <w:lang w:val="es-ES_tradnl" w:eastAsia="zh-CN"/>
        </w:rPr>
        <w:t xml:space="preserve"> </w:t>
      </w:r>
      <w:r w:rsidR="00A215B6">
        <w:rPr>
          <w:rFonts w:eastAsia="SimSun"/>
          <w:lang w:val="es-ES_tradnl" w:eastAsia="zh-CN"/>
        </w:rPr>
        <w:t>en un</w:t>
      </w:r>
      <w:r w:rsidR="00A13BEA" w:rsidRPr="00B924EB">
        <w:rPr>
          <w:rFonts w:eastAsia="SimSun"/>
          <w:lang w:val="es-ES_tradnl" w:eastAsia="zh-CN"/>
        </w:rPr>
        <w:t xml:space="preserve"> </w:t>
      </w:r>
      <w:r w:rsidR="00EF4311" w:rsidRPr="00B924EB">
        <w:rPr>
          <w:rFonts w:eastAsia="SimSun"/>
          <w:lang w:val="es-ES_tradnl" w:eastAsia="zh-CN"/>
        </w:rPr>
        <w:t>13.8</w:t>
      </w:r>
      <w:r w:rsidR="00A13BEA" w:rsidRPr="00B924EB">
        <w:rPr>
          <w:rFonts w:eastAsia="SimSun"/>
          <w:lang w:val="es-ES_tradnl" w:eastAsia="zh-CN"/>
        </w:rPr>
        <w:t xml:space="preserve"> </w:t>
      </w:r>
      <w:r w:rsidR="00755C5D" w:rsidRPr="00B924EB">
        <w:rPr>
          <w:rFonts w:eastAsia="SimSun"/>
          <w:lang w:val="es-ES_tradnl" w:eastAsia="zh-CN"/>
        </w:rPr>
        <w:t>por</w:t>
      </w:r>
      <w:r w:rsidR="00A13BEA" w:rsidRPr="00B924EB">
        <w:rPr>
          <w:rFonts w:eastAsia="SimSun"/>
          <w:lang w:val="es-ES_tradnl" w:eastAsia="zh-CN"/>
        </w:rPr>
        <w:t xml:space="preserve"> </w:t>
      </w:r>
      <w:r w:rsidR="00755C5D" w:rsidRPr="00B924EB">
        <w:rPr>
          <w:rFonts w:eastAsia="SimSun"/>
          <w:lang w:val="es-ES_tradnl" w:eastAsia="zh-CN"/>
        </w:rPr>
        <w:t>ciento</w:t>
      </w:r>
      <w:r w:rsidR="00A13BEA" w:rsidRPr="00B924EB">
        <w:rPr>
          <w:rFonts w:eastAsia="SimSun"/>
          <w:lang w:val="es-ES_tradnl" w:eastAsia="zh-CN"/>
        </w:rPr>
        <w:t xml:space="preserve"> </w:t>
      </w:r>
      <w:r w:rsidR="000521A3" w:rsidRPr="00B924EB">
        <w:rPr>
          <w:rFonts w:eastAsia="SimSun"/>
          <w:lang w:val="es-ES_tradnl" w:eastAsia="zh-CN"/>
        </w:rPr>
        <w:t>del</w:t>
      </w:r>
      <w:r w:rsidR="00A13BEA" w:rsidRPr="00B924EB">
        <w:rPr>
          <w:rFonts w:eastAsia="SimSun"/>
          <w:lang w:val="es-ES_tradnl" w:eastAsia="zh-CN"/>
        </w:rPr>
        <w:t xml:space="preserve"> </w:t>
      </w:r>
      <w:r w:rsidR="009374DA" w:rsidRPr="00B924EB">
        <w:rPr>
          <w:rFonts w:eastAsia="SimSun"/>
          <w:lang w:val="es-ES_tradnl" w:eastAsia="zh-CN"/>
        </w:rPr>
        <w:t>consumo</w:t>
      </w:r>
      <w:r w:rsidR="00A13BEA" w:rsidRPr="00B924EB">
        <w:rPr>
          <w:rFonts w:eastAsia="SimSun"/>
          <w:lang w:val="es-ES_tradnl" w:eastAsia="zh-CN"/>
        </w:rPr>
        <w:t xml:space="preserve"> </w:t>
      </w:r>
      <w:r w:rsidR="000521A3" w:rsidRPr="00B924EB">
        <w:rPr>
          <w:rFonts w:eastAsia="SimSun"/>
          <w:lang w:val="es-ES_tradnl" w:eastAsia="zh-CN"/>
        </w:rPr>
        <w:t>base</w:t>
      </w:r>
      <w:r w:rsidR="00A13BEA" w:rsidRPr="00B924EB">
        <w:rPr>
          <w:rFonts w:eastAsia="SimSun"/>
          <w:lang w:val="es-ES_tradnl" w:eastAsia="zh-CN"/>
        </w:rPr>
        <w:t xml:space="preserve"> </w:t>
      </w:r>
      <w:r w:rsidR="000521A3" w:rsidRPr="00B924EB">
        <w:rPr>
          <w:rFonts w:eastAsia="SimSun"/>
          <w:lang w:val="es-ES_tradnl" w:eastAsia="zh-CN"/>
        </w:rPr>
        <w:t>de</w:t>
      </w:r>
      <w:r w:rsidR="00A13BEA" w:rsidRPr="00B924EB">
        <w:rPr>
          <w:rFonts w:eastAsia="SimSun"/>
          <w:lang w:val="es-ES_tradnl" w:eastAsia="zh-CN"/>
        </w:rPr>
        <w:t xml:space="preserve"> </w:t>
      </w:r>
      <w:r w:rsidR="00DF256C" w:rsidRPr="00DF256C">
        <w:rPr>
          <w:rFonts w:eastAsia="SimSun"/>
          <w:lang w:val="es-ES_tradnl" w:eastAsia="zh-CN"/>
        </w:rPr>
        <w:t xml:space="preserve">HCFC </w:t>
      </w:r>
      <w:r w:rsidR="004B0CA3" w:rsidRPr="00B924EB">
        <w:rPr>
          <w:rFonts w:eastAsia="SimSun"/>
          <w:lang w:val="es-ES_tradnl" w:eastAsia="zh-CN"/>
        </w:rPr>
        <w:t>hasta</w:t>
      </w:r>
      <w:r w:rsidR="00A13BEA" w:rsidRPr="00B924EB">
        <w:rPr>
          <w:rFonts w:eastAsia="SimSun"/>
          <w:lang w:val="es-ES_tradnl" w:eastAsia="zh-CN"/>
        </w:rPr>
        <w:t xml:space="preserve"> </w:t>
      </w:r>
      <w:r w:rsidR="00851166">
        <w:rPr>
          <w:rFonts w:eastAsia="SimSun"/>
          <w:lang w:val="es-ES_tradnl" w:eastAsia="zh-CN"/>
        </w:rPr>
        <w:t xml:space="preserve">el </w:t>
      </w:r>
      <w:r w:rsidR="00AB69CD">
        <w:rPr>
          <w:rFonts w:eastAsia="SimSun"/>
          <w:lang w:val="es-ES_tradnl" w:eastAsia="zh-CN"/>
        </w:rPr>
        <w:t xml:space="preserve">año </w:t>
      </w:r>
      <w:r w:rsidR="00EF4311" w:rsidRPr="00B924EB">
        <w:rPr>
          <w:rFonts w:eastAsia="SimSun"/>
          <w:lang w:val="es-ES_tradnl" w:eastAsia="zh-CN"/>
        </w:rPr>
        <w:t>201</w:t>
      </w:r>
      <w:r w:rsidR="008F3762">
        <w:rPr>
          <w:rFonts w:eastAsia="SimSun"/>
          <w:lang w:val="es-ES_tradnl" w:eastAsia="zh-CN"/>
        </w:rPr>
        <w:t>9</w:t>
      </w:r>
      <w:r w:rsidR="00A13BEA" w:rsidRPr="00B924EB">
        <w:rPr>
          <w:rFonts w:eastAsia="SimSun"/>
          <w:lang w:val="es-ES_tradnl" w:eastAsia="zh-CN"/>
        </w:rPr>
        <w:t xml:space="preserve"> </w:t>
      </w:r>
      <w:r w:rsidR="00755C5D" w:rsidRPr="00B924EB">
        <w:rPr>
          <w:rFonts w:eastAsia="SimSun"/>
          <w:lang w:val="es-ES_tradnl" w:eastAsia="zh-CN"/>
        </w:rPr>
        <w:t>y</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FE6A61">
        <w:rPr>
          <w:rFonts w:eastAsia="SimSun"/>
          <w:lang w:val="es-ES_tradnl" w:eastAsia="zh-CN"/>
        </w:rPr>
        <w:t xml:space="preserve">terminar </w:t>
      </w:r>
      <w:r w:rsidR="004A5C1C">
        <w:rPr>
          <w:rFonts w:eastAsia="SimSun"/>
          <w:lang w:val="es-ES_tradnl" w:eastAsia="zh-CN"/>
        </w:rPr>
        <w:t>las actividades</w:t>
      </w:r>
      <w:r w:rsidR="00A13BEA" w:rsidRPr="00B924EB">
        <w:rPr>
          <w:rFonts w:eastAsia="SimSun"/>
          <w:lang w:val="es-ES_tradnl" w:eastAsia="zh-CN"/>
        </w:rPr>
        <w:t xml:space="preserve"> </w:t>
      </w:r>
      <w:r w:rsidR="00E17E3C" w:rsidRPr="00E17E3C">
        <w:rPr>
          <w:rFonts w:eastAsia="SimSun"/>
          <w:lang w:val="es-ES_tradnl" w:eastAsia="zh-CN"/>
        </w:rPr>
        <w:t xml:space="preserve">restantes </w:t>
      </w:r>
      <w:r w:rsidR="00FE6A61">
        <w:rPr>
          <w:rFonts w:eastAsia="SimSun"/>
          <w:lang w:val="es-ES_tradnl" w:eastAsia="zh-CN"/>
        </w:rPr>
        <w:t xml:space="preserve">en </w:t>
      </w:r>
      <w:r w:rsidR="008F5773">
        <w:rPr>
          <w:rFonts w:eastAsia="SimSun"/>
          <w:lang w:val="es-ES_tradnl" w:eastAsia="zh-CN"/>
        </w:rPr>
        <w:t>e</w:t>
      </w:r>
      <w:r w:rsidR="00C76E33">
        <w:rPr>
          <w:rFonts w:eastAsia="SimSun"/>
          <w:lang w:val="es-ES_tradnl" w:eastAsia="zh-CN"/>
        </w:rPr>
        <w:t xml:space="preserve">l </w:t>
      </w:r>
      <w:r w:rsidR="009B309D">
        <w:rPr>
          <w:rFonts w:eastAsia="SimSun"/>
          <w:lang w:val="es-ES_tradnl" w:eastAsia="zh-CN"/>
        </w:rPr>
        <w:t>último</w:t>
      </w:r>
      <w:r w:rsidR="00CC6943">
        <w:rPr>
          <w:rFonts w:eastAsia="SimSun"/>
          <w:lang w:val="es-ES_tradnl" w:eastAsia="zh-CN"/>
        </w:rPr>
        <w:t xml:space="preserve"> tramo</w:t>
      </w:r>
      <w:r w:rsidR="00A13BEA" w:rsidRPr="00B924EB">
        <w:rPr>
          <w:rFonts w:eastAsia="SimSun"/>
          <w:lang w:val="es-ES_tradnl" w:eastAsia="zh-CN"/>
        </w:rPr>
        <w:t xml:space="preserve"> </w:t>
      </w:r>
      <w:r w:rsidR="00153928">
        <w:rPr>
          <w:rFonts w:eastAsia="SimSun"/>
          <w:lang w:val="es-ES_tradnl" w:eastAsia="zh-CN"/>
        </w:rPr>
        <w:t>a</w:t>
      </w:r>
      <w:r w:rsidR="00040199">
        <w:rPr>
          <w:rFonts w:eastAsia="SimSun"/>
          <w:lang w:val="es-ES_tradnl" w:eastAsia="zh-CN"/>
        </w:rPr>
        <w:t xml:space="preserve"> </w:t>
      </w:r>
      <w:r w:rsidR="00755C5D" w:rsidRPr="00B924EB">
        <w:rPr>
          <w:rFonts w:eastAsia="SimSun"/>
          <w:lang w:val="es-ES_tradnl" w:eastAsia="zh-CN"/>
        </w:rPr>
        <w:t>diciembre</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EF4311" w:rsidRPr="00B924EB">
        <w:rPr>
          <w:rFonts w:eastAsia="SimSun"/>
          <w:lang w:val="es-ES_tradnl" w:eastAsia="zh-CN"/>
        </w:rPr>
        <w:t>2020.</w:t>
      </w:r>
      <w:r w:rsidR="00A13BEA" w:rsidRPr="00B924EB">
        <w:rPr>
          <w:rFonts w:eastAsia="SimSun"/>
          <w:lang w:val="es-ES_tradnl" w:eastAsia="zh-CN"/>
        </w:rPr>
        <w:t xml:space="preserve"> </w:t>
      </w:r>
      <w:r w:rsidR="00E26F0F" w:rsidRPr="00B924EB">
        <w:rPr>
          <w:rFonts w:eastAsia="SimSun"/>
          <w:lang w:val="es-ES_tradnl" w:eastAsia="zh-CN"/>
        </w:rPr>
        <w:t>Sin</w:t>
      </w:r>
      <w:r w:rsidR="00A13BEA" w:rsidRPr="00B924EB">
        <w:rPr>
          <w:rFonts w:eastAsia="SimSun"/>
          <w:lang w:val="es-ES_tradnl" w:eastAsia="zh-CN"/>
        </w:rPr>
        <w:t xml:space="preserve"> </w:t>
      </w:r>
      <w:r w:rsidR="00E26F0F" w:rsidRPr="00B924EB">
        <w:rPr>
          <w:rFonts w:eastAsia="SimSun"/>
          <w:lang w:val="es-ES_tradnl" w:eastAsia="zh-CN"/>
        </w:rPr>
        <w:t>embargo</w:t>
      </w:r>
      <w:r w:rsidR="009049A7" w:rsidRPr="00B924EB">
        <w:rPr>
          <w:rFonts w:eastAsia="SimSun"/>
          <w:lang w:val="es-ES_tradnl" w:eastAsia="zh-CN"/>
        </w:rPr>
        <w:t>,</w:t>
      </w:r>
      <w:r w:rsidR="00A13BEA" w:rsidRPr="00B924EB">
        <w:rPr>
          <w:rFonts w:eastAsia="SimSun"/>
          <w:lang w:val="es-ES_tradnl" w:eastAsia="zh-CN"/>
        </w:rPr>
        <w:t xml:space="preserve"> </w:t>
      </w:r>
      <w:r w:rsidR="006D6795">
        <w:rPr>
          <w:rFonts w:eastAsia="SimSun"/>
          <w:lang w:val="es-ES_tradnl" w:eastAsia="zh-CN"/>
        </w:rPr>
        <w:t xml:space="preserve">y </w:t>
      </w:r>
      <w:r w:rsidR="003814E0" w:rsidRPr="003814E0">
        <w:rPr>
          <w:rFonts w:eastAsia="SimSun"/>
          <w:lang w:val="es-ES_tradnl" w:eastAsia="zh-CN"/>
        </w:rPr>
        <w:t xml:space="preserve">debido a las dificultades impuestas por la pandemia del </w:t>
      </w:r>
      <w:r w:rsidR="003814E0">
        <w:rPr>
          <w:rFonts w:eastAsia="SimSun"/>
          <w:lang w:val="es-ES_tradnl" w:eastAsia="zh-CN"/>
        </w:rPr>
        <w:t xml:space="preserve">Covid-19, </w:t>
      </w:r>
      <w:r w:rsidR="000521A3" w:rsidRPr="00B924EB">
        <w:rPr>
          <w:rFonts w:eastAsia="SimSun"/>
          <w:lang w:val="es-ES_tradnl" w:eastAsia="zh-CN"/>
        </w:rPr>
        <w:t>en</w:t>
      </w:r>
      <w:r w:rsidR="00A13BEA" w:rsidRPr="00B924EB">
        <w:rPr>
          <w:rFonts w:eastAsia="SimSun"/>
          <w:lang w:val="es-ES_tradnl" w:eastAsia="zh-CN"/>
        </w:rPr>
        <w:t xml:space="preserve"> </w:t>
      </w:r>
      <w:r w:rsidR="00755C5D" w:rsidRPr="00B924EB">
        <w:rPr>
          <w:rFonts w:eastAsia="SimSun"/>
          <w:lang w:val="es-ES_tradnl" w:eastAsia="zh-CN"/>
        </w:rPr>
        <w:t>junio</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1958B3" w:rsidRPr="00B924EB">
        <w:rPr>
          <w:rFonts w:eastAsia="SimSun"/>
          <w:lang w:val="es-ES_tradnl" w:eastAsia="zh-CN"/>
        </w:rPr>
        <w:t>2020</w:t>
      </w:r>
      <w:r w:rsidR="00A13BEA" w:rsidRPr="00B924EB">
        <w:rPr>
          <w:rFonts w:eastAsia="SimSun"/>
          <w:lang w:val="es-ES_tradnl" w:eastAsia="zh-CN"/>
        </w:rPr>
        <w:t xml:space="preserve"> </w:t>
      </w:r>
      <w:r w:rsidR="00DB3D7B" w:rsidRPr="00B924EB">
        <w:rPr>
          <w:rFonts w:eastAsia="SimSun"/>
          <w:lang w:val="es-ES_tradnl" w:eastAsia="zh-CN"/>
        </w:rPr>
        <w:t>el</w:t>
      </w:r>
      <w:r w:rsidR="00A13BEA" w:rsidRPr="00B924EB">
        <w:rPr>
          <w:rFonts w:eastAsia="SimSun"/>
          <w:lang w:val="es-ES_tradnl" w:eastAsia="zh-CN"/>
        </w:rPr>
        <w:t xml:space="preserve"> </w:t>
      </w:r>
      <w:r w:rsidR="00C86987">
        <w:rPr>
          <w:rFonts w:eastAsia="SimSun"/>
          <w:lang w:val="es-ES_tradnl" w:eastAsia="zh-CN"/>
        </w:rPr>
        <w:t>Gobierno</w:t>
      </w:r>
      <w:r w:rsidR="00A13BEA" w:rsidRPr="00B924EB">
        <w:rPr>
          <w:rFonts w:eastAsia="SimSun"/>
          <w:lang w:val="es-ES_tradnl" w:eastAsia="zh-CN"/>
        </w:rPr>
        <w:t xml:space="preserve"> </w:t>
      </w:r>
      <w:r w:rsidR="00A92145">
        <w:rPr>
          <w:rFonts w:eastAsia="SimSun"/>
          <w:lang w:val="es-ES_tradnl" w:eastAsia="zh-CN"/>
        </w:rPr>
        <w:t xml:space="preserve">solicitó </w:t>
      </w:r>
      <w:r w:rsidR="005678D6">
        <w:rPr>
          <w:rFonts w:eastAsia="SimSun"/>
          <w:lang w:val="es-ES_tradnl" w:eastAsia="zh-CN"/>
        </w:rPr>
        <w:t>extender</w:t>
      </w:r>
      <w:r w:rsidR="00A04937">
        <w:rPr>
          <w:rFonts w:eastAsia="SimSun"/>
          <w:lang w:val="es-ES_tradnl" w:eastAsia="zh-CN"/>
        </w:rPr>
        <w:t xml:space="preserve"> </w:t>
      </w:r>
      <w:r w:rsidR="00A04937" w:rsidRPr="00A04937">
        <w:rPr>
          <w:rFonts w:eastAsia="SimSun"/>
          <w:lang w:val="es-ES_tradnl" w:eastAsia="zh-CN"/>
        </w:rPr>
        <w:t>la etapa I hasta diciembre de 2021</w:t>
      </w:r>
      <w:r w:rsidR="001958B3" w:rsidRPr="00B924EB">
        <w:rPr>
          <w:rFonts w:eastAsia="SimSun"/>
          <w:lang w:val="es-ES_tradnl" w:eastAsia="zh-CN"/>
        </w:rPr>
        <w:t>.</w:t>
      </w:r>
      <w:r w:rsidR="00A13BEA" w:rsidRPr="00B924EB">
        <w:rPr>
          <w:rFonts w:eastAsia="SimSun"/>
          <w:lang w:val="es-ES_tradnl" w:eastAsia="zh-CN"/>
        </w:rPr>
        <w:t xml:space="preserve"> </w:t>
      </w:r>
      <w:r w:rsidR="00491B75">
        <w:rPr>
          <w:rFonts w:eastAsia="SimSun"/>
          <w:lang w:val="es-ES_tradnl" w:eastAsia="zh-CN"/>
        </w:rPr>
        <w:t xml:space="preserve">De esta forma el </w:t>
      </w:r>
      <w:r w:rsidR="00755C5D" w:rsidRPr="00B924EB">
        <w:rPr>
          <w:rFonts w:eastAsia="SimSun"/>
          <w:lang w:val="es-ES_tradnl" w:eastAsia="zh-CN"/>
        </w:rPr>
        <w:t>Gobierno</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1958B3" w:rsidRPr="00B924EB">
        <w:rPr>
          <w:rFonts w:eastAsia="SimSun"/>
          <w:lang w:val="es-ES_tradnl" w:eastAsia="zh-CN"/>
        </w:rPr>
        <w:t>Iraq</w:t>
      </w:r>
      <w:r w:rsidR="00A13BEA" w:rsidRPr="00B924EB">
        <w:rPr>
          <w:rFonts w:eastAsia="SimSun"/>
          <w:lang w:val="es-ES_tradnl" w:eastAsia="zh-CN"/>
        </w:rPr>
        <w:t xml:space="preserve"> </w:t>
      </w:r>
      <w:r w:rsidR="00491B75">
        <w:rPr>
          <w:rFonts w:eastAsia="SimSun"/>
          <w:lang w:val="es-ES_tradnl" w:eastAsia="zh-CN"/>
        </w:rPr>
        <w:t xml:space="preserve">pudo </w:t>
      </w:r>
      <w:r w:rsidR="00561943">
        <w:rPr>
          <w:rFonts w:eastAsia="SimSun"/>
          <w:lang w:val="es-ES_tradnl" w:eastAsia="zh-CN"/>
        </w:rPr>
        <w:t>lograr</w:t>
      </w:r>
      <w:r w:rsidR="00CC4422">
        <w:rPr>
          <w:rFonts w:eastAsia="SimSun"/>
          <w:lang w:val="es-ES_tradnl" w:eastAsia="zh-CN"/>
        </w:rPr>
        <w:t xml:space="preserve"> </w:t>
      </w:r>
      <w:r w:rsidR="00893F66">
        <w:rPr>
          <w:rFonts w:eastAsia="SimSun"/>
          <w:lang w:val="es-ES_tradnl" w:eastAsia="zh-CN"/>
        </w:rPr>
        <w:t xml:space="preserve">el volumen de </w:t>
      </w:r>
      <w:r w:rsidR="00B851EE">
        <w:rPr>
          <w:rFonts w:eastAsia="SimSun"/>
          <w:lang w:val="es-ES_tradnl" w:eastAsia="zh-CN"/>
        </w:rPr>
        <w:t>eliminación</w:t>
      </w:r>
      <w:r w:rsidR="00A13BEA" w:rsidRPr="00B924EB">
        <w:rPr>
          <w:rFonts w:eastAsia="SimSun"/>
          <w:lang w:val="es-ES_tradnl" w:eastAsia="zh-CN"/>
        </w:rPr>
        <w:t xml:space="preserve"> </w:t>
      </w:r>
      <w:r w:rsidR="003208A7" w:rsidRPr="00B924EB">
        <w:rPr>
          <w:rFonts w:eastAsia="SimSun"/>
          <w:lang w:val="es-ES_tradnl" w:eastAsia="zh-CN"/>
        </w:rPr>
        <w:t>adicional</w:t>
      </w:r>
      <w:r w:rsidR="00A13BEA" w:rsidRPr="00B924EB">
        <w:rPr>
          <w:rFonts w:eastAsia="SimSun"/>
          <w:lang w:val="es-ES_tradnl" w:eastAsia="zh-CN"/>
        </w:rPr>
        <w:t xml:space="preserve"> </w:t>
      </w:r>
      <w:r w:rsidR="005A64A4">
        <w:rPr>
          <w:rFonts w:eastAsia="SimSun"/>
          <w:lang w:val="es-ES_tradnl" w:eastAsia="zh-CN"/>
        </w:rPr>
        <w:t xml:space="preserve">que necesitaba </w:t>
      </w:r>
      <w:r w:rsidR="001C571C">
        <w:rPr>
          <w:rFonts w:eastAsia="SimSun"/>
          <w:lang w:val="es-ES_tradnl" w:eastAsia="zh-CN"/>
        </w:rPr>
        <w:t xml:space="preserve">para </w:t>
      </w:r>
      <w:r w:rsidR="007A2524">
        <w:rPr>
          <w:rFonts w:eastAsia="SimSun"/>
          <w:lang w:val="es-ES_tradnl" w:eastAsia="zh-CN"/>
        </w:rPr>
        <w:t xml:space="preserve">reducir </w:t>
      </w:r>
      <w:r w:rsidR="000700E3">
        <w:rPr>
          <w:rFonts w:eastAsia="SimSun"/>
          <w:lang w:val="es-ES_tradnl" w:eastAsia="zh-CN"/>
        </w:rPr>
        <w:t xml:space="preserve">en un </w:t>
      </w:r>
      <w:r w:rsidR="000D5829" w:rsidRPr="000D5829">
        <w:rPr>
          <w:rFonts w:eastAsia="SimSun"/>
          <w:lang w:val="es-ES_tradnl" w:eastAsia="zh-CN"/>
        </w:rPr>
        <w:t xml:space="preserve">35 por ciento </w:t>
      </w:r>
      <w:r w:rsidR="009374DA" w:rsidRPr="00B924EB">
        <w:rPr>
          <w:rFonts w:eastAsia="SimSun"/>
          <w:lang w:val="es-ES_tradnl" w:eastAsia="zh-CN"/>
        </w:rPr>
        <w:t>el</w:t>
      </w:r>
      <w:r w:rsidR="00A13BEA" w:rsidRPr="00B924EB">
        <w:rPr>
          <w:rFonts w:eastAsia="SimSun"/>
          <w:lang w:val="es-ES_tradnl" w:eastAsia="zh-CN"/>
        </w:rPr>
        <w:t xml:space="preserve"> </w:t>
      </w:r>
      <w:r w:rsidR="001D0F9A">
        <w:rPr>
          <w:rFonts w:eastAsia="SimSun"/>
          <w:lang w:val="es-ES_tradnl" w:eastAsia="zh-CN"/>
        </w:rPr>
        <w:t>consumo base de HCFC</w:t>
      </w:r>
      <w:r w:rsidR="00A13BEA" w:rsidRPr="00B924EB">
        <w:rPr>
          <w:rFonts w:eastAsia="SimSun"/>
          <w:lang w:val="es-ES_tradnl" w:eastAsia="zh-CN"/>
        </w:rPr>
        <w:t xml:space="preserve"> </w:t>
      </w:r>
      <w:r w:rsidR="009374DA" w:rsidRPr="00B924EB">
        <w:rPr>
          <w:rFonts w:eastAsia="SimSun"/>
          <w:lang w:val="es-ES_tradnl" w:eastAsia="zh-CN"/>
        </w:rPr>
        <w:t>en</w:t>
      </w:r>
      <w:r w:rsidR="00A13BEA" w:rsidRPr="00B924EB">
        <w:rPr>
          <w:rFonts w:eastAsia="SimSun"/>
          <w:lang w:val="es-ES_tradnl" w:eastAsia="zh-CN"/>
        </w:rPr>
        <w:t xml:space="preserve"> </w:t>
      </w:r>
      <w:r w:rsidR="00FC3EF6">
        <w:rPr>
          <w:rFonts w:eastAsia="SimSun"/>
          <w:lang w:val="es-ES_tradnl" w:eastAsia="zh-CN"/>
        </w:rPr>
        <w:t xml:space="preserve">el año </w:t>
      </w:r>
      <w:r w:rsidR="001958B3" w:rsidRPr="00B924EB">
        <w:rPr>
          <w:rFonts w:eastAsia="SimSun"/>
          <w:lang w:val="es-ES_tradnl" w:eastAsia="zh-CN"/>
        </w:rPr>
        <w:t>2020</w:t>
      </w:r>
      <w:r w:rsidR="003927D2" w:rsidRPr="00B924EB">
        <w:rPr>
          <w:rFonts w:eastAsia="SimSun"/>
          <w:lang w:val="es-ES_tradnl" w:eastAsia="zh-CN"/>
        </w:rPr>
        <w:t>.</w:t>
      </w:r>
    </w:p>
    <w:p w14:paraId="5B5E46F6" w14:textId="462BC796" w:rsidR="00CE3653" w:rsidRPr="00B924EB" w:rsidRDefault="00A153F1" w:rsidP="00CE3653">
      <w:pPr>
        <w:pStyle w:val="Heading1"/>
        <w:rPr>
          <w:rFonts w:eastAsia="SimSun"/>
          <w:lang w:val="es-ES_tradnl" w:eastAsia="zh-CN"/>
        </w:rPr>
      </w:pPr>
      <w:r>
        <w:rPr>
          <w:rFonts w:eastAsia="SimSun"/>
          <w:lang w:val="es-ES_tradnl" w:eastAsia="zh-CN"/>
        </w:rPr>
        <w:t xml:space="preserve">Principales </w:t>
      </w:r>
      <w:r w:rsidR="00055F50" w:rsidRPr="00B924EB">
        <w:rPr>
          <w:rFonts w:eastAsia="SimSun"/>
          <w:lang w:val="es-ES_tradnl" w:eastAsia="zh-CN"/>
        </w:rPr>
        <w:t>logros</w:t>
      </w:r>
      <w:r w:rsidR="00A13BEA" w:rsidRPr="00B924EB">
        <w:rPr>
          <w:rFonts w:eastAsia="SimSun"/>
          <w:lang w:val="es-ES_tradnl" w:eastAsia="zh-CN"/>
        </w:rPr>
        <w:t xml:space="preserve"> </w:t>
      </w:r>
      <w:r>
        <w:rPr>
          <w:rFonts w:eastAsia="SimSun"/>
          <w:lang w:val="es-ES_tradnl" w:eastAsia="zh-CN"/>
        </w:rPr>
        <w:t xml:space="preserve">de </w:t>
      </w:r>
      <w:r w:rsidR="001A1006" w:rsidRPr="00B924EB">
        <w:rPr>
          <w:rFonts w:eastAsia="SimSun"/>
          <w:lang w:val="es-ES_tradnl" w:eastAsia="zh-CN"/>
        </w:rPr>
        <w:t>la</w:t>
      </w:r>
      <w:r w:rsidR="00A13BEA" w:rsidRPr="00B924EB">
        <w:rPr>
          <w:rFonts w:eastAsia="SimSun"/>
          <w:lang w:val="es-ES_tradnl" w:eastAsia="zh-CN"/>
        </w:rPr>
        <w:t xml:space="preserve"> </w:t>
      </w:r>
      <w:r w:rsidR="001A1006" w:rsidRPr="00B924EB">
        <w:rPr>
          <w:rFonts w:eastAsia="SimSun"/>
          <w:lang w:val="es-ES_tradnl" w:eastAsia="zh-CN"/>
        </w:rPr>
        <w:t>etapa</w:t>
      </w:r>
      <w:r w:rsidR="00A13BEA" w:rsidRPr="00B924EB">
        <w:rPr>
          <w:rFonts w:eastAsia="SimSun"/>
          <w:lang w:val="es-ES_tradnl" w:eastAsia="zh-CN"/>
        </w:rPr>
        <w:t xml:space="preserve"> </w:t>
      </w:r>
      <w:r w:rsidR="003208A7" w:rsidRPr="00B924EB">
        <w:rPr>
          <w:rFonts w:eastAsia="SimSun"/>
          <w:lang w:val="es-ES_tradnl" w:eastAsia="zh-CN"/>
        </w:rPr>
        <w:t>I</w:t>
      </w:r>
      <w:r w:rsidR="00A13BEA" w:rsidRPr="00B924EB">
        <w:rPr>
          <w:rFonts w:eastAsia="SimSun"/>
          <w:lang w:val="es-ES_tradnl" w:eastAsia="zh-CN"/>
        </w:rPr>
        <w:t xml:space="preserve"> </w:t>
      </w:r>
      <w:r w:rsidR="00755C5D" w:rsidRPr="00B924EB">
        <w:rPr>
          <w:rFonts w:eastAsia="SimSun"/>
          <w:lang w:val="es-ES_tradnl" w:eastAsia="zh-CN"/>
        </w:rPr>
        <w:t>del</w:t>
      </w:r>
      <w:r w:rsidR="00A13BEA" w:rsidRPr="00B924EB">
        <w:rPr>
          <w:rFonts w:eastAsia="SimSun"/>
          <w:lang w:val="es-ES_tradnl" w:eastAsia="zh-CN"/>
        </w:rPr>
        <w:t xml:space="preserve"> </w:t>
      </w:r>
      <w:r w:rsidR="00755C5D" w:rsidRPr="00B924EB">
        <w:rPr>
          <w:rFonts w:eastAsia="SimSun"/>
          <w:lang w:val="es-ES_tradnl" w:eastAsia="zh-CN"/>
        </w:rPr>
        <w:t>PGEH</w:t>
      </w:r>
      <w:r w:rsidR="00CE3653" w:rsidRPr="00B924EB">
        <w:rPr>
          <w:rFonts w:eastAsia="SimSun"/>
          <w:lang w:val="es-ES_tradnl" w:eastAsia="zh-CN"/>
        </w:rPr>
        <w:t>:</w:t>
      </w:r>
    </w:p>
    <w:p w14:paraId="4AD54068" w14:textId="386BDD6F" w:rsidR="00CE3653" w:rsidRPr="00B924EB" w:rsidRDefault="00F61BD7" w:rsidP="00DE5C81">
      <w:pPr>
        <w:pStyle w:val="Heading2"/>
        <w:rPr>
          <w:lang w:val="es-ES_tradnl"/>
        </w:rPr>
      </w:pPr>
      <w:r>
        <w:rPr>
          <w:rFonts w:eastAsia="SimSun"/>
          <w:i/>
          <w:lang w:val="es-ES_tradnl" w:eastAsia="zh-CN"/>
        </w:rPr>
        <w:t xml:space="preserve">Fiscalización de </w:t>
      </w:r>
      <w:r w:rsidR="00E27D0D">
        <w:rPr>
          <w:rFonts w:eastAsia="SimSun"/>
          <w:i/>
          <w:lang w:val="es-ES_tradnl" w:eastAsia="zh-CN"/>
        </w:rPr>
        <w:t>medidas y políticas regulatorias</w:t>
      </w:r>
      <w:r w:rsidR="00A13BEA" w:rsidRPr="00B924EB">
        <w:rPr>
          <w:rFonts w:eastAsia="SimSun"/>
          <w:i/>
          <w:lang w:val="es-ES_tradnl" w:eastAsia="zh-CN"/>
        </w:rPr>
        <w:t xml:space="preserve"> </w:t>
      </w:r>
      <w:r w:rsidR="000521A3" w:rsidRPr="00B924EB">
        <w:rPr>
          <w:rFonts w:eastAsia="SimSun"/>
          <w:i/>
          <w:lang w:val="es-ES_tradnl" w:eastAsia="zh-CN"/>
        </w:rPr>
        <w:t>(PNUMA)</w:t>
      </w:r>
      <w:r w:rsidR="00A13BEA" w:rsidRPr="00B924EB">
        <w:rPr>
          <w:lang w:val="es-ES_tradnl"/>
        </w:rPr>
        <w:t xml:space="preserve"> </w:t>
      </w:r>
      <w:r w:rsidR="007D27B1">
        <w:rPr>
          <w:i/>
          <w:lang w:val="es-ES_tradnl"/>
        </w:rPr>
        <w:t>(</w:t>
      </w:r>
      <w:r w:rsidR="001562A4" w:rsidRPr="00B924EB">
        <w:rPr>
          <w:rFonts w:eastAsia="SimSun"/>
          <w:i/>
          <w:lang w:val="es-ES_tradnl" w:eastAsia="zh-CN"/>
        </w:rPr>
        <w:t>12</w:t>
      </w:r>
      <w:r w:rsidR="009374DA" w:rsidRPr="00B924EB">
        <w:rPr>
          <w:rFonts w:eastAsia="SimSun"/>
          <w:i/>
          <w:lang w:val="es-ES_tradnl" w:eastAsia="zh-CN"/>
        </w:rPr>
        <w:t>5.</w:t>
      </w:r>
      <w:r w:rsidR="001562A4" w:rsidRPr="00B924EB">
        <w:rPr>
          <w:rFonts w:eastAsia="SimSun"/>
          <w:i/>
          <w:lang w:val="es-ES_tradnl" w:eastAsia="zh-CN"/>
        </w:rPr>
        <w:t>000</w:t>
      </w:r>
      <w:r w:rsidR="00A91918" w:rsidRPr="00A91918">
        <w:rPr>
          <w:rFonts w:eastAsia="SimSun"/>
          <w:i/>
          <w:lang w:val="es-ES_tradnl" w:eastAsia="zh-CN"/>
        </w:rPr>
        <w:t xml:space="preserve"> $EUA</w:t>
      </w:r>
      <w:r w:rsidR="00CE3653" w:rsidRPr="00B924EB">
        <w:rPr>
          <w:rFonts w:eastAsia="SimSun"/>
          <w:i/>
          <w:lang w:val="es-ES_tradnl" w:eastAsia="zh-CN"/>
        </w:rPr>
        <w:t>)</w:t>
      </w:r>
      <w:r w:rsidR="00CE3653" w:rsidRPr="00B924EB">
        <w:rPr>
          <w:rFonts w:eastAsia="SimSun"/>
          <w:lang w:val="es-ES_tradnl" w:eastAsia="zh-CN"/>
        </w:rPr>
        <w:t>:</w:t>
      </w:r>
      <w:r w:rsidR="00A13BEA" w:rsidRPr="00B924EB">
        <w:rPr>
          <w:rFonts w:eastAsia="SimSun"/>
          <w:lang w:val="es-ES_tradnl" w:eastAsia="zh-CN"/>
        </w:rPr>
        <w:t xml:space="preserve"> </w:t>
      </w:r>
      <w:r w:rsidR="00F05D9B">
        <w:rPr>
          <w:rFonts w:eastAsia="SimSun"/>
          <w:lang w:val="es-ES_tradnl" w:eastAsia="zh-CN"/>
        </w:rPr>
        <w:t>En 2012</w:t>
      </w:r>
      <w:r w:rsidR="00A13BEA" w:rsidRPr="00B924EB">
        <w:rPr>
          <w:rFonts w:eastAsia="SimSun"/>
          <w:lang w:val="es-ES_tradnl" w:eastAsia="zh-CN"/>
        </w:rPr>
        <w:t xml:space="preserve"> </w:t>
      </w:r>
      <w:r w:rsidR="00F05D9B">
        <w:rPr>
          <w:rFonts w:eastAsia="SimSun"/>
          <w:lang w:val="es-ES_tradnl" w:eastAsia="zh-CN"/>
        </w:rPr>
        <w:t xml:space="preserve">se promulgó </w:t>
      </w:r>
      <w:r w:rsidR="00A82F87">
        <w:rPr>
          <w:rFonts w:eastAsia="SimSun"/>
          <w:lang w:val="es-ES_tradnl" w:eastAsia="zh-CN"/>
        </w:rPr>
        <w:t>una</w:t>
      </w:r>
      <w:r w:rsidR="00F05D9B">
        <w:rPr>
          <w:rFonts w:eastAsia="SimSun"/>
          <w:lang w:val="es-ES_tradnl" w:eastAsia="zh-CN"/>
        </w:rPr>
        <w:t xml:space="preserve"> Orden</w:t>
      </w:r>
      <w:r w:rsidR="00A13BEA" w:rsidRPr="00B924EB">
        <w:rPr>
          <w:rFonts w:eastAsia="SimSun"/>
          <w:lang w:val="es-ES_tradnl" w:eastAsia="zh-CN"/>
        </w:rPr>
        <w:t xml:space="preserve"> </w:t>
      </w:r>
      <w:r w:rsidR="00F05D9B" w:rsidRPr="00F05D9B">
        <w:rPr>
          <w:rFonts w:eastAsia="SimSun"/>
          <w:lang w:val="es-ES_tradnl" w:eastAsia="zh-CN"/>
        </w:rPr>
        <w:t xml:space="preserve">Nacional </w:t>
      </w:r>
      <w:r w:rsidR="00F05D9B">
        <w:rPr>
          <w:rFonts w:eastAsia="SimSun"/>
          <w:lang w:val="es-ES_tradnl" w:eastAsia="zh-CN"/>
        </w:rPr>
        <w:t xml:space="preserve">de </w:t>
      </w:r>
      <w:r w:rsidR="007D2856" w:rsidRPr="00B924EB">
        <w:rPr>
          <w:rFonts w:eastAsia="SimSun"/>
          <w:lang w:val="es-ES_tradnl" w:eastAsia="zh-CN"/>
        </w:rPr>
        <w:t>Control</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97514C">
        <w:rPr>
          <w:rFonts w:eastAsia="SimSun"/>
          <w:lang w:val="es-ES_tradnl" w:eastAsia="zh-CN"/>
        </w:rPr>
        <w:t xml:space="preserve">SAO, </w:t>
      </w:r>
      <w:r w:rsidR="001A45D2">
        <w:rPr>
          <w:rFonts w:eastAsia="SimSun"/>
          <w:lang w:val="es-ES_tradnl" w:eastAsia="zh-CN"/>
        </w:rPr>
        <w:t xml:space="preserve">posteriormente actualizada </w:t>
      </w:r>
      <w:r w:rsidR="00F02994">
        <w:rPr>
          <w:rFonts w:eastAsia="SimSun"/>
          <w:lang w:val="es-ES_tradnl" w:eastAsia="zh-CN"/>
        </w:rPr>
        <w:t xml:space="preserve">y hoy en pleno vigor, </w:t>
      </w:r>
      <w:r w:rsidR="00934294">
        <w:rPr>
          <w:rFonts w:eastAsia="SimSun"/>
          <w:lang w:val="es-ES_tradnl" w:eastAsia="zh-CN"/>
        </w:rPr>
        <w:t>que incluye</w:t>
      </w:r>
      <w:r w:rsidR="00A13BEA" w:rsidRPr="00B924EB">
        <w:rPr>
          <w:rFonts w:eastAsia="SimSun"/>
          <w:lang w:val="es-ES_tradnl" w:eastAsia="zh-CN"/>
        </w:rPr>
        <w:t xml:space="preserve"> </w:t>
      </w:r>
      <w:r w:rsidR="005E1320" w:rsidRPr="00B924EB">
        <w:rPr>
          <w:rFonts w:eastAsia="SimSun"/>
          <w:lang w:val="es-ES_tradnl" w:eastAsia="zh-CN"/>
        </w:rPr>
        <w:t>el</w:t>
      </w:r>
      <w:r w:rsidR="00A13BEA" w:rsidRPr="00B924EB">
        <w:rPr>
          <w:rFonts w:eastAsia="SimSun"/>
          <w:lang w:val="es-ES_tradnl" w:eastAsia="zh-CN"/>
        </w:rPr>
        <w:t xml:space="preserve"> </w:t>
      </w:r>
      <w:r w:rsidR="005E1320" w:rsidRPr="00B924EB">
        <w:rPr>
          <w:rFonts w:eastAsia="SimSun"/>
          <w:lang w:val="es-ES_tradnl" w:eastAsia="zh-CN"/>
        </w:rPr>
        <w:t>sistema</w:t>
      </w:r>
      <w:r w:rsidR="00A13BEA" w:rsidRPr="00B924EB">
        <w:rPr>
          <w:rFonts w:eastAsia="SimSun"/>
          <w:lang w:val="es-ES_tradnl" w:eastAsia="zh-CN"/>
        </w:rPr>
        <w:t xml:space="preserve"> </w:t>
      </w:r>
      <w:r w:rsidR="00CB72CE" w:rsidRPr="00B924EB">
        <w:rPr>
          <w:rFonts w:eastAsia="SimSun"/>
          <w:lang w:val="es-ES_tradnl" w:eastAsia="zh-CN"/>
        </w:rPr>
        <w:t>de</w:t>
      </w:r>
      <w:r w:rsidR="00A13BEA" w:rsidRPr="00B924EB">
        <w:rPr>
          <w:rFonts w:eastAsia="SimSun"/>
          <w:lang w:val="es-ES_tradnl" w:eastAsia="zh-CN"/>
        </w:rPr>
        <w:t xml:space="preserve"> </w:t>
      </w:r>
      <w:r w:rsidR="00CB72CE" w:rsidRPr="00B924EB">
        <w:rPr>
          <w:rFonts w:eastAsia="SimSun"/>
          <w:lang w:val="es-ES_tradnl" w:eastAsia="zh-CN"/>
        </w:rPr>
        <w:t>licencias</w:t>
      </w:r>
      <w:r w:rsidR="00A13BEA" w:rsidRPr="00B924EB">
        <w:rPr>
          <w:rFonts w:eastAsia="SimSun"/>
          <w:lang w:val="es-ES_tradnl" w:eastAsia="zh-CN"/>
        </w:rPr>
        <w:t xml:space="preserve"> </w:t>
      </w:r>
      <w:r w:rsidR="00CB72CE" w:rsidRPr="00B924EB">
        <w:rPr>
          <w:rFonts w:eastAsia="SimSun"/>
          <w:lang w:val="es-ES_tradnl" w:eastAsia="zh-CN"/>
        </w:rPr>
        <w:t>y</w:t>
      </w:r>
      <w:r w:rsidR="00A13BEA" w:rsidRPr="00B924EB">
        <w:rPr>
          <w:rFonts w:eastAsia="SimSun"/>
          <w:lang w:val="es-ES_tradnl" w:eastAsia="zh-CN"/>
        </w:rPr>
        <w:t xml:space="preserve"> </w:t>
      </w:r>
      <w:r w:rsidR="00CB72CE" w:rsidRPr="00B924EB">
        <w:rPr>
          <w:rFonts w:eastAsia="SimSun"/>
          <w:lang w:val="es-ES_tradnl" w:eastAsia="zh-CN"/>
        </w:rPr>
        <w:t>cuotas</w:t>
      </w:r>
      <w:r w:rsidR="00A13BEA" w:rsidRPr="00B924EB">
        <w:rPr>
          <w:rFonts w:eastAsia="SimSun"/>
          <w:lang w:val="es-ES_tradnl" w:eastAsia="zh-CN"/>
        </w:rPr>
        <w:t xml:space="preserve"> </w:t>
      </w:r>
      <w:r w:rsidR="00755C5D" w:rsidRPr="00B924EB">
        <w:rPr>
          <w:rFonts w:eastAsia="SimSun"/>
          <w:lang w:val="es-ES_tradnl" w:eastAsia="zh-CN"/>
        </w:rPr>
        <w:t>y</w:t>
      </w:r>
      <w:r w:rsidR="00A13BEA" w:rsidRPr="00B924EB">
        <w:rPr>
          <w:rFonts w:eastAsia="SimSun"/>
          <w:lang w:val="es-ES_tradnl" w:eastAsia="zh-CN"/>
        </w:rPr>
        <w:t xml:space="preserve"> </w:t>
      </w:r>
      <w:r w:rsidR="005A3A4B">
        <w:rPr>
          <w:rFonts w:eastAsia="SimSun"/>
          <w:lang w:val="es-ES_tradnl" w:eastAsia="zh-CN"/>
        </w:rPr>
        <w:t xml:space="preserve">prohíbe </w:t>
      </w:r>
      <w:r w:rsidR="00E74272" w:rsidRPr="00B924EB">
        <w:rPr>
          <w:rFonts w:eastAsia="SimSun"/>
          <w:lang w:val="es-ES_tradnl" w:eastAsia="zh-CN"/>
        </w:rPr>
        <w:t>la</w:t>
      </w:r>
      <w:r w:rsidR="00A13BEA" w:rsidRPr="00B924EB">
        <w:rPr>
          <w:rFonts w:eastAsia="SimSun"/>
          <w:lang w:val="es-ES_tradnl" w:eastAsia="zh-CN"/>
        </w:rPr>
        <w:t xml:space="preserve"> </w:t>
      </w:r>
      <w:r w:rsidR="00E74272" w:rsidRPr="00B924EB">
        <w:rPr>
          <w:rFonts w:eastAsia="SimSun"/>
          <w:lang w:val="es-ES_tradnl" w:eastAsia="zh-CN"/>
        </w:rPr>
        <w:t>importación</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2B1425">
        <w:rPr>
          <w:rFonts w:eastAsia="SimSun"/>
          <w:lang w:val="es-ES_tradnl" w:eastAsia="zh-CN"/>
        </w:rPr>
        <w:t>equipos usados</w:t>
      </w:r>
      <w:r w:rsidR="00A13BEA" w:rsidRPr="00B924EB">
        <w:rPr>
          <w:rFonts w:eastAsia="SimSun"/>
          <w:lang w:val="es-ES_tradnl" w:eastAsia="zh-CN"/>
        </w:rPr>
        <w:t xml:space="preserve"> </w:t>
      </w:r>
      <w:r w:rsidR="003208A7" w:rsidRPr="00B924EB">
        <w:rPr>
          <w:rFonts w:eastAsia="SimSun"/>
          <w:lang w:val="es-ES_tradnl" w:eastAsia="zh-CN"/>
        </w:rPr>
        <w:t>que</w:t>
      </w:r>
      <w:r w:rsidR="00A13BEA" w:rsidRPr="00B924EB">
        <w:rPr>
          <w:rFonts w:eastAsia="SimSun"/>
          <w:lang w:val="es-ES_tradnl" w:eastAsia="zh-CN"/>
        </w:rPr>
        <w:t xml:space="preserve"> </w:t>
      </w:r>
      <w:r w:rsidR="002B1425">
        <w:rPr>
          <w:rFonts w:eastAsia="SimSun"/>
          <w:lang w:val="es-ES_tradnl" w:eastAsia="zh-CN"/>
        </w:rPr>
        <w:t>utilicen</w:t>
      </w:r>
      <w:r w:rsidR="00A13BEA" w:rsidRPr="00B924EB">
        <w:rPr>
          <w:rFonts w:eastAsia="SimSun"/>
          <w:lang w:val="es-ES_tradnl" w:eastAsia="zh-CN"/>
        </w:rPr>
        <w:t xml:space="preserve"> </w:t>
      </w:r>
      <w:r w:rsidR="003208A7" w:rsidRPr="00B924EB">
        <w:rPr>
          <w:rFonts w:eastAsia="SimSun"/>
          <w:lang w:val="es-ES_tradnl" w:eastAsia="zh-CN"/>
        </w:rPr>
        <w:t>SAO</w:t>
      </w:r>
      <w:r w:rsidR="007D2856" w:rsidRPr="00B924EB">
        <w:rPr>
          <w:rFonts w:eastAsia="SimSun"/>
          <w:lang w:val="es-ES_tradnl" w:eastAsia="zh-CN"/>
        </w:rPr>
        <w:t>;</w:t>
      </w:r>
      <w:r w:rsidR="00A13BEA" w:rsidRPr="00B924EB">
        <w:rPr>
          <w:rFonts w:eastAsia="SimSun"/>
          <w:lang w:val="es-ES_tradnl" w:eastAsia="zh-CN"/>
        </w:rPr>
        <w:t xml:space="preserve"> </w:t>
      </w:r>
      <w:r w:rsidR="002B2A8D">
        <w:rPr>
          <w:rFonts w:eastAsia="SimSun"/>
          <w:lang w:val="es-ES_tradnl" w:eastAsia="zh-CN"/>
        </w:rPr>
        <w:t xml:space="preserve">se elaboró </w:t>
      </w:r>
      <w:r w:rsidR="004135A5" w:rsidRPr="00B924EB">
        <w:rPr>
          <w:lang w:val="es-ES_tradnl"/>
        </w:rPr>
        <w:t>un</w:t>
      </w:r>
      <w:r w:rsidR="00A13BEA" w:rsidRPr="00B924EB">
        <w:rPr>
          <w:lang w:val="es-ES_tradnl"/>
        </w:rPr>
        <w:t xml:space="preserve"> </w:t>
      </w:r>
      <w:r w:rsidR="008B307E">
        <w:rPr>
          <w:lang w:val="es-ES_tradnl"/>
        </w:rPr>
        <w:t>sistema electrónico de licencias de importación</w:t>
      </w:r>
      <w:r w:rsidR="00A13BEA" w:rsidRPr="00B924EB">
        <w:rPr>
          <w:lang w:val="es-ES_tradnl"/>
        </w:rPr>
        <w:t xml:space="preserve"> </w:t>
      </w:r>
      <w:r w:rsidR="003208A7" w:rsidRPr="00B924EB">
        <w:rPr>
          <w:lang w:val="es-ES_tradnl"/>
        </w:rPr>
        <w:t>de</w:t>
      </w:r>
      <w:r w:rsidR="00A13BEA" w:rsidRPr="00B924EB">
        <w:rPr>
          <w:lang w:val="es-ES_tradnl"/>
        </w:rPr>
        <w:t xml:space="preserve"> </w:t>
      </w:r>
      <w:r w:rsidR="003208A7" w:rsidRPr="00B924EB">
        <w:rPr>
          <w:lang w:val="es-ES_tradnl"/>
        </w:rPr>
        <w:t>SAO</w:t>
      </w:r>
      <w:r w:rsidR="002B2A51" w:rsidRPr="00B924EB">
        <w:rPr>
          <w:lang w:val="es-ES_tradnl"/>
        </w:rPr>
        <w:t>;</w:t>
      </w:r>
      <w:r w:rsidR="00A13BEA" w:rsidRPr="00B924EB">
        <w:rPr>
          <w:lang w:val="es-ES_tradnl"/>
        </w:rPr>
        <w:t xml:space="preserve"> </w:t>
      </w:r>
      <w:r w:rsidR="00483E4B">
        <w:rPr>
          <w:lang w:val="es-ES_tradnl"/>
        </w:rPr>
        <w:t xml:space="preserve">el </w:t>
      </w:r>
      <w:r w:rsidR="00483E4B" w:rsidRPr="00483E4B">
        <w:rPr>
          <w:lang w:val="es-ES_tradnl"/>
        </w:rPr>
        <w:t xml:space="preserve">Comité Nacional de Fiscalización Legislativa </w:t>
      </w:r>
      <w:r w:rsidR="00495E19">
        <w:rPr>
          <w:lang w:val="es-ES_tradnl"/>
        </w:rPr>
        <w:t xml:space="preserve">realizó </w:t>
      </w:r>
      <w:r w:rsidR="009374DA" w:rsidRPr="00B924EB">
        <w:rPr>
          <w:lang w:val="es-ES_tradnl"/>
        </w:rPr>
        <w:t>talleres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8D14AF">
        <w:rPr>
          <w:lang w:val="es-ES_tradnl"/>
        </w:rPr>
        <w:t>capacitaciones</w:t>
      </w:r>
      <w:r w:rsidR="00A13BEA" w:rsidRPr="00B924EB">
        <w:rPr>
          <w:lang w:val="es-ES_tradnl"/>
        </w:rPr>
        <w:t xml:space="preserve"> </w:t>
      </w:r>
      <w:r w:rsidR="0015045D">
        <w:rPr>
          <w:lang w:val="es-ES_tradnl"/>
        </w:rPr>
        <w:t xml:space="preserve">sobre la </w:t>
      </w:r>
      <w:r w:rsidR="003208A7" w:rsidRPr="00B924EB">
        <w:rPr>
          <w:lang w:val="es-ES_tradnl"/>
        </w:rPr>
        <w:t>normativa</w:t>
      </w:r>
      <w:r w:rsidR="00A13BEA" w:rsidRPr="00B924EB">
        <w:rPr>
          <w:lang w:val="es-ES_tradnl"/>
        </w:rPr>
        <w:t xml:space="preserve"> </w:t>
      </w:r>
      <w:r w:rsidR="003208A7" w:rsidRPr="00B924EB">
        <w:rPr>
          <w:lang w:val="es-ES_tradnl"/>
        </w:rPr>
        <w:t>que</w:t>
      </w:r>
      <w:r w:rsidR="00A13BEA" w:rsidRPr="00B924EB">
        <w:rPr>
          <w:lang w:val="es-ES_tradnl"/>
        </w:rPr>
        <w:t xml:space="preserve"> </w:t>
      </w:r>
      <w:r w:rsidR="003208A7" w:rsidRPr="00B924EB">
        <w:rPr>
          <w:lang w:val="es-ES_tradnl"/>
        </w:rPr>
        <w:t>regula</w:t>
      </w:r>
      <w:r w:rsidR="00A13BEA" w:rsidRPr="00B924EB">
        <w:rPr>
          <w:lang w:val="es-ES_tradnl"/>
        </w:rPr>
        <w:t xml:space="preserve"> </w:t>
      </w:r>
      <w:r w:rsidR="003208A7" w:rsidRPr="00B924EB">
        <w:rPr>
          <w:lang w:val="es-ES_tradnl"/>
        </w:rPr>
        <w:t>las</w:t>
      </w:r>
      <w:r w:rsidR="00A13BEA" w:rsidRPr="00B924EB">
        <w:rPr>
          <w:lang w:val="es-ES_tradnl"/>
        </w:rPr>
        <w:t xml:space="preserve"> </w:t>
      </w:r>
      <w:r w:rsidR="008B54DA">
        <w:rPr>
          <w:lang w:val="es-ES_tradnl"/>
        </w:rPr>
        <w:t xml:space="preserve">SAO, </w:t>
      </w:r>
      <w:r w:rsidR="009374DA" w:rsidRPr="00B924EB">
        <w:rPr>
          <w:lang w:val="es-ES_tradnl"/>
        </w:rPr>
        <w:t>con</w:t>
      </w:r>
      <w:r w:rsidR="00A13BEA" w:rsidRPr="00B924EB">
        <w:rPr>
          <w:lang w:val="es-ES_tradnl"/>
        </w:rPr>
        <w:t xml:space="preserve"> </w:t>
      </w:r>
      <w:r w:rsidR="004135A5" w:rsidRPr="00B924EB">
        <w:rPr>
          <w:lang w:val="es-ES_tradnl"/>
        </w:rPr>
        <w:t>participación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6607C2" w:rsidRPr="00B924EB">
        <w:rPr>
          <w:lang w:val="es-ES_tradnl"/>
        </w:rPr>
        <w:t>100</w:t>
      </w:r>
      <w:r w:rsidR="006607C2" w:rsidRPr="00B924EB">
        <w:rPr>
          <w:rStyle w:val="FootnoteReference"/>
          <w:lang w:val="es-ES_tradnl"/>
        </w:rPr>
        <w:footnoteReference w:id="6"/>
      </w:r>
      <w:r w:rsidR="00A13BEA" w:rsidRPr="00B924EB">
        <w:rPr>
          <w:lang w:val="es-ES_tradnl"/>
        </w:rPr>
        <w:t xml:space="preserve"> </w:t>
      </w:r>
      <w:r w:rsidR="000521A3" w:rsidRPr="00B924EB">
        <w:rPr>
          <w:lang w:val="es-ES_tradnl"/>
        </w:rPr>
        <w:t>funcionarios</w:t>
      </w:r>
      <w:r w:rsidR="00A13BEA" w:rsidRPr="00B924EB">
        <w:rPr>
          <w:lang w:val="es-ES_tradnl"/>
        </w:rPr>
        <w:t xml:space="preserve"> </w:t>
      </w:r>
      <w:r w:rsidR="000521A3" w:rsidRPr="00B924EB">
        <w:rPr>
          <w:lang w:val="es-ES_tradnl"/>
        </w:rPr>
        <w:t>aduaneros</w:t>
      </w:r>
      <w:r w:rsidR="006607C2" w:rsidRPr="00B924EB">
        <w:rPr>
          <w:lang w:val="es-ES_tradnl"/>
        </w:rPr>
        <w:t>,</w:t>
      </w:r>
      <w:r w:rsidR="00A13BEA" w:rsidRPr="00B924EB">
        <w:rPr>
          <w:lang w:val="es-ES_tradnl"/>
        </w:rPr>
        <w:t xml:space="preserve"> </w:t>
      </w:r>
      <w:r w:rsidR="00443CCE">
        <w:rPr>
          <w:lang w:val="es-ES_tradnl"/>
        </w:rPr>
        <w:t>autoridades de Gobierno</w:t>
      </w:r>
      <w:r w:rsidR="00A13BEA" w:rsidRPr="00B924EB">
        <w:rPr>
          <w:lang w:val="es-ES_tradnl"/>
        </w:rPr>
        <w:t xml:space="preserve"> </w:t>
      </w:r>
      <w:r w:rsidR="00755C5D" w:rsidRPr="00B924EB">
        <w:rPr>
          <w:lang w:val="es-ES_tradnl"/>
        </w:rPr>
        <w:t>y</w:t>
      </w:r>
      <w:r w:rsidR="00A13BEA" w:rsidRPr="00B924EB">
        <w:rPr>
          <w:lang w:val="es-ES_tradnl"/>
        </w:rPr>
        <w:t xml:space="preserve"> </w:t>
      </w:r>
      <w:r w:rsidR="00443CCE">
        <w:rPr>
          <w:lang w:val="es-ES_tradnl"/>
        </w:rPr>
        <w:t>actores intervinientes clave</w:t>
      </w:r>
      <w:r w:rsidR="00CE3653" w:rsidRPr="00B924EB">
        <w:rPr>
          <w:lang w:val="es-ES_tradnl"/>
        </w:rPr>
        <w:t>;</w:t>
      </w:r>
      <w:r w:rsidR="00A13BEA" w:rsidRPr="00B924EB">
        <w:rPr>
          <w:lang w:val="es-ES_tradnl"/>
        </w:rPr>
        <w:t xml:space="preserve"> </w:t>
      </w:r>
      <w:r w:rsidR="0033581F">
        <w:rPr>
          <w:lang w:val="es-ES_tradnl"/>
        </w:rPr>
        <w:t xml:space="preserve">se entregaron </w:t>
      </w:r>
      <w:r w:rsidR="00EC12E6">
        <w:rPr>
          <w:lang w:val="es-ES_tradnl"/>
        </w:rPr>
        <w:t xml:space="preserve">además </w:t>
      </w:r>
      <w:r w:rsidR="00755C5D" w:rsidRPr="00B924EB">
        <w:rPr>
          <w:lang w:val="es-ES_tradnl"/>
        </w:rPr>
        <w:t>ocho</w:t>
      </w:r>
      <w:r w:rsidR="00A13BEA" w:rsidRPr="00B924EB">
        <w:rPr>
          <w:lang w:val="es-ES_tradnl"/>
        </w:rPr>
        <w:t xml:space="preserve"> </w:t>
      </w:r>
      <w:r w:rsidR="00213356">
        <w:rPr>
          <w:lang w:val="es-ES_tradnl"/>
        </w:rPr>
        <w:t>identificadores portátiles</w:t>
      </w:r>
      <w:r w:rsidR="00A13BEA" w:rsidRPr="00B924EB">
        <w:rPr>
          <w:lang w:val="es-ES_tradnl"/>
        </w:rPr>
        <w:t xml:space="preserve"> </w:t>
      </w:r>
      <w:r w:rsidR="00EA5F03">
        <w:rPr>
          <w:lang w:val="es-ES_tradnl"/>
        </w:rPr>
        <w:t>de</w:t>
      </w:r>
      <w:r w:rsidR="00A13BEA" w:rsidRPr="00B924EB">
        <w:rPr>
          <w:lang w:val="es-ES_tradnl"/>
        </w:rPr>
        <w:t xml:space="preserve"> </w:t>
      </w:r>
      <w:r w:rsidR="00D01DC2" w:rsidRPr="00B924EB">
        <w:rPr>
          <w:lang w:val="es-ES_tradnl"/>
        </w:rPr>
        <w:t>mezclas</w:t>
      </w:r>
      <w:r w:rsidR="00A13BEA" w:rsidRPr="00B924EB">
        <w:rPr>
          <w:lang w:val="es-ES_tradnl"/>
        </w:rPr>
        <w:t xml:space="preserve"> </w:t>
      </w:r>
      <w:r w:rsidR="0033581F">
        <w:rPr>
          <w:lang w:val="es-ES_tradnl"/>
        </w:rPr>
        <w:t xml:space="preserve">a </w:t>
      </w:r>
      <w:r w:rsidR="00056BA4" w:rsidRPr="00056BA4">
        <w:rPr>
          <w:lang w:val="es-ES_tradnl"/>
        </w:rPr>
        <w:t>punto</w:t>
      </w:r>
      <w:r w:rsidR="00056BA4">
        <w:rPr>
          <w:lang w:val="es-ES_tradnl"/>
        </w:rPr>
        <w:t>s</w:t>
      </w:r>
      <w:r w:rsidR="00056BA4" w:rsidRPr="00056BA4">
        <w:rPr>
          <w:lang w:val="es-ES_tradnl"/>
        </w:rPr>
        <w:t xml:space="preserve"> de control aduanero</w:t>
      </w:r>
      <w:r w:rsidR="00CE3653" w:rsidRPr="00B924EB">
        <w:rPr>
          <w:lang w:val="es-ES_tradnl"/>
        </w:rPr>
        <w:t>;</w:t>
      </w:r>
    </w:p>
    <w:p w14:paraId="4D024398" w14:textId="541332C5" w:rsidR="000521A3" w:rsidRPr="00B924EB" w:rsidRDefault="009374DA" w:rsidP="008064CE">
      <w:pPr>
        <w:pStyle w:val="Heading2"/>
        <w:keepNext/>
        <w:keepLines/>
        <w:rPr>
          <w:color w:val="000000"/>
          <w:lang w:val="es-ES_tradnl"/>
        </w:rPr>
      </w:pPr>
      <w:r w:rsidRPr="00B924EB">
        <w:rPr>
          <w:i/>
          <w:lang w:val="es-ES_tradnl"/>
        </w:rPr>
        <w:lastRenderedPageBreak/>
        <w:t>Capacitación</w:t>
      </w:r>
      <w:r w:rsidR="00CE3653" w:rsidRPr="00B924EB">
        <w:rPr>
          <w:i/>
          <w:lang w:val="es-ES_tradnl"/>
        </w:rPr>
        <w:t>,</w:t>
      </w:r>
      <w:r w:rsidR="00A13BEA" w:rsidRPr="00B924EB">
        <w:rPr>
          <w:i/>
          <w:lang w:val="es-ES_tradnl"/>
        </w:rPr>
        <w:t xml:space="preserve"> </w:t>
      </w:r>
      <w:r w:rsidR="00E26F0F" w:rsidRPr="00B924EB">
        <w:rPr>
          <w:i/>
          <w:lang w:val="es-ES_tradnl"/>
        </w:rPr>
        <w:t>acreditación</w:t>
      </w:r>
      <w:r w:rsidR="00A13BEA" w:rsidRPr="00B924EB">
        <w:rPr>
          <w:i/>
          <w:lang w:val="es-ES_tradnl"/>
        </w:rPr>
        <w:t xml:space="preserve"> </w:t>
      </w:r>
      <w:r w:rsidR="00755C5D" w:rsidRPr="00B924EB">
        <w:rPr>
          <w:i/>
          <w:lang w:val="es-ES_tradnl"/>
        </w:rPr>
        <w:t>y</w:t>
      </w:r>
      <w:r w:rsidR="00A13BEA" w:rsidRPr="00B924EB">
        <w:rPr>
          <w:i/>
          <w:lang w:val="es-ES_tradnl"/>
        </w:rPr>
        <w:t xml:space="preserve"> </w:t>
      </w:r>
      <w:r w:rsidR="004B0CA3" w:rsidRPr="00B924EB">
        <w:rPr>
          <w:i/>
          <w:lang w:val="es-ES_tradnl"/>
        </w:rPr>
        <w:t>normas</w:t>
      </w:r>
      <w:r w:rsidR="00A13BEA" w:rsidRPr="00B924EB">
        <w:rPr>
          <w:i/>
          <w:lang w:val="es-ES_tradnl"/>
        </w:rPr>
        <w:t xml:space="preserve"> </w:t>
      </w:r>
      <w:r w:rsidR="000521A3" w:rsidRPr="00B924EB">
        <w:rPr>
          <w:i/>
          <w:lang w:val="es-ES_tradnl"/>
        </w:rPr>
        <w:t>(PNUMA)</w:t>
      </w:r>
      <w:r w:rsidR="00A13BEA" w:rsidRPr="00B924EB">
        <w:rPr>
          <w:i/>
          <w:lang w:val="es-ES_tradnl"/>
        </w:rPr>
        <w:t xml:space="preserve"> </w:t>
      </w:r>
      <w:r w:rsidR="007D27B1">
        <w:rPr>
          <w:i/>
          <w:lang w:val="es-ES_tradnl"/>
        </w:rPr>
        <w:t>(</w:t>
      </w:r>
      <w:r w:rsidR="001562A4" w:rsidRPr="00B924EB">
        <w:rPr>
          <w:bCs/>
          <w:i/>
          <w:lang w:val="es-ES_tradnl"/>
        </w:rPr>
        <w:t>34</w:t>
      </w:r>
      <w:r w:rsidRPr="00B924EB">
        <w:rPr>
          <w:bCs/>
          <w:i/>
          <w:lang w:val="es-ES_tradnl"/>
        </w:rPr>
        <w:t>5.</w:t>
      </w:r>
      <w:r w:rsidR="001562A4" w:rsidRPr="00B924EB">
        <w:rPr>
          <w:bCs/>
          <w:i/>
          <w:lang w:val="es-ES_tradnl"/>
        </w:rPr>
        <w:t>000</w:t>
      </w:r>
      <w:r w:rsidR="00271494" w:rsidRPr="00271494">
        <w:rPr>
          <w:bCs/>
          <w:i/>
          <w:lang w:val="es-ES_tradnl"/>
        </w:rPr>
        <w:t xml:space="preserve"> $EUA</w:t>
      </w:r>
      <w:r w:rsidR="00CE3653" w:rsidRPr="00B924EB">
        <w:rPr>
          <w:bCs/>
          <w:i/>
          <w:lang w:val="es-ES_tradnl"/>
        </w:rPr>
        <w:t>):</w:t>
      </w:r>
      <w:r w:rsidR="00A13BEA" w:rsidRPr="00B924EB">
        <w:rPr>
          <w:bCs/>
          <w:i/>
          <w:lang w:val="es-ES_tradnl"/>
        </w:rPr>
        <w:t xml:space="preserve"> </w:t>
      </w:r>
      <w:r w:rsidR="00986480">
        <w:rPr>
          <w:color w:val="000000"/>
          <w:szCs w:val="20"/>
          <w:lang w:val="es-ES_tradnl"/>
        </w:rPr>
        <w:t xml:space="preserve">Se </w:t>
      </w:r>
      <w:r w:rsidR="00DF0FDF" w:rsidRPr="00DF0FDF">
        <w:rPr>
          <w:color w:val="000000"/>
          <w:szCs w:val="20"/>
          <w:lang w:val="es-ES_tradnl"/>
        </w:rPr>
        <w:t xml:space="preserve">llevó a cabo </w:t>
      </w:r>
      <w:r w:rsidR="00986480">
        <w:rPr>
          <w:color w:val="000000"/>
          <w:szCs w:val="20"/>
          <w:lang w:val="es-ES_tradnl"/>
        </w:rPr>
        <w:t>un programa nacional</w:t>
      </w:r>
      <w:r w:rsidR="00A13BEA" w:rsidRPr="00B924EB">
        <w:rPr>
          <w:color w:val="000000"/>
          <w:szCs w:val="20"/>
          <w:lang w:val="es-ES_tradnl"/>
        </w:rPr>
        <w:t xml:space="preserve"> </w:t>
      </w:r>
      <w:r w:rsidR="00452F79" w:rsidRPr="00B924EB">
        <w:rPr>
          <w:color w:val="000000"/>
          <w:szCs w:val="20"/>
          <w:lang w:val="es-ES_tradnl"/>
        </w:rPr>
        <w:t>de</w:t>
      </w:r>
      <w:r w:rsidR="00A13BEA" w:rsidRPr="00B924EB">
        <w:rPr>
          <w:color w:val="000000"/>
          <w:szCs w:val="20"/>
          <w:lang w:val="es-ES_tradnl"/>
        </w:rPr>
        <w:t xml:space="preserve"> </w:t>
      </w:r>
      <w:r w:rsidR="00452F79" w:rsidRPr="00B924EB">
        <w:rPr>
          <w:color w:val="000000"/>
          <w:szCs w:val="20"/>
          <w:lang w:val="es-ES_tradnl"/>
        </w:rPr>
        <w:t>acreditación</w:t>
      </w:r>
      <w:r w:rsidR="00A13BEA" w:rsidRPr="00B924EB">
        <w:rPr>
          <w:color w:val="000000"/>
          <w:szCs w:val="20"/>
          <w:lang w:val="es-ES_tradnl"/>
        </w:rPr>
        <w:t xml:space="preserve"> </w:t>
      </w:r>
      <w:r w:rsidR="00452F79" w:rsidRPr="00B924EB">
        <w:rPr>
          <w:color w:val="000000"/>
          <w:szCs w:val="20"/>
          <w:lang w:val="es-ES_tradnl"/>
        </w:rPr>
        <w:t>técnica</w:t>
      </w:r>
      <w:r w:rsidR="00A13BEA" w:rsidRPr="00B924EB">
        <w:rPr>
          <w:color w:val="000000"/>
          <w:szCs w:val="20"/>
          <w:lang w:val="es-ES_tradnl"/>
        </w:rPr>
        <w:t xml:space="preserve"> </w:t>
      </w:r>
      <w:r w:rsidR="00755C5D" w:rsidRPr="00B924EB">
        <w:rPr>
          <w:color w:val="000000"/>
          <w:szCs w:val="20"/>
          <w:lang w:val="es-ES_tradnl"/>
        </w:rPr>
        <w:t>y</w:t>
      </w:r>
      <w:r w:rsidR="00A13BEA" w:rsidRPr="00B924EB">
        <w:rPr>
          <w:color w:val="000000"/>
          <w:szCs w:val="20"/>
          <w:lang w:val="es-ES_tradnl"/>
        </w:rPr>
        <w:t xml:space="preserve"> </w:t>
      </w:r>
      <w:r w:rsidR="005F0D28">
        <w:rPr>
          <w:color w:val="000000"/>
          <w:szCs w:val="20"/>
          <w:lang w:val="es-ES_tradnl"/>
        </w:rPr>
        <w:t xml:space="preserve">un </w:t>
      </w:r>
      <w:r w:rsidR="001F0134">
        <w:rPr>
          <w:color w:val="000000"/>
          <w:szCs w:val="20"/>
          <w:lang w:val="es-ES_tradnl"/>
        </w:rPr>
        <w:t xml:space="preserve">programa </w:t>
      </w:r>
      <w:r w:rsidR="00024C8D" w:rsidRPr="00B924EB">
        <w:rPr>
          <w:color w:val="000000"/>
          <w:szCs w:val="20"/>
          <w:lang w:val="es-ES_tradnl"/>
        </w:rPr>
        <w:t>pilot</w:t>
      </w:r>
      <w:r w:rsidR="001F0134">
        <w:rPr>
          <w:color w:val="000000"/>
          <w:szCs w:val="20"/>
          <w:lang w:val="es-ES_tradnl"/>
        </w:rPr>
        <w:t>o</w:t>
      </w:r>
      <w:r w:rsidR="00A13BEA" w:rsidRPr="00B924EB">
        <w:rPr>
          <w:color w:val="000000"/>
          <w:szCs w:val="20"/>
          <w:lang w:val="es-ES_tradnl"/>
        </w:rPr>
        <w:t xml:space="preserve"> </w:t>
      </w:r>
      <w:r w:rsidR="001F0134">
        <w:rPr>
          <w:color w:val="000000"/>
          <w:szCs w:val="20"/>
          <w:lang w:val="es-ES_tradnl"/>
        </w:rPr>
        <w:t xml:space="preserve">de </w:t>
      </w:r>
      <w:r w:rsidRPr="00B924EB">
        <w:rPr>
          <w:color w:val="000000"/>
          <w:szCs w:val="20"/>
          <w:lang w:val="es-ES_tradnl"/>
        </w:rPr>
        <w:t>capacitación</w:t>
      </w:r>
      <w:r w:rsidR="00A13BEA" w:rsidRPr="00B924EB">
        <w:rPr>
          <w:color w:val="000000"/>
          <w:szCs w:val="20"/>
          <w:lang w:val="es-ES_tradnl"/>
        </w:rPr>
        <w:t xml:space="preserve"> </w:t>
      </w:r>
      <w:r w:rsidR="00755C5D" w:rsidRPr="00B924EB">
        <w:rPr>
          <w:color w:val="000000"/>
          <w:szCs w:val="20"/>
          <w:lang w:val="es-ES_tradnl"/>
        </w:rPr>
        <w:t>y</w:t>
      </w:r>
      <w:r w:rsidR="00A13BEA" w:rsidRPr="00B924EB">
        <w:rPr>
          <w:color w:val="000000"/>
          <w:szCs w:val="20"/>
          <w:lang w:val="es-ES_tradnl"/>
        </w:rPr>
        <w:t xml:space="preserve"> </w:t>
      </w:r>
      <w:r w:rsidR="00E26F0F" w:rsidRPr="00B924EB">
        <w:rPr>
          <w:color w:val="000000"/>
          <w:szCs w:val="20"/>
          <w:lang w:val="es-ES_tradnl"/>
        </w:rPr>
        <w:t>acreditación</w:t>
      </w:r>
      <w:r w:rsidR="00A13BEA" w:rsidRPr="00B924EB">
        <w:rPr>
          <w:color w:val="000000"/>
          <w:szCs w:val="20"/>
          <w:lang w:val="es-ES_tradnl"/>
        </w:rPr>
        <w:t xml:space="preserve"> </w:t>
      </w:r>
      <w:r w:rsidR="001F0134">
        <w:rPr>
          <w:color w:val="000000"/>
          <w:szCs w:val="20"/>
          <w:lang w:val="es-ES_tradnl"/>
        </w:rPr>
        <w:t xml:space="preserve">para </w:t>
      </w:r>
      <w:r w:rsidR="00E269B0" w:rsidRPr="00B924EB">
        <w:rPr>
          <w:color w:val="000000"/>
          <w:szCs w:val="20"/>
          <w:lang w:val="es-ES_tradnl"/>
        </w:rPr>
        <w:t>218</w:t>
      </w:r>
      <w:r w:rsidR="00E269B0" w:rsidRPr="00B924EB">
        <w:rPr>
          <w:rStyle w:val="FootnoteReference"/>
          <w:color w:val="000000"/>
          <w:szCs w:val="20"/>
          <w:lang w:val="es-ES_tradnl"/>
        </w:rPr>
        <w:footnoteReference w:id="7"/>
      </w:r>
      <w:r w:rsidR="00A13BEA" w:rsidRPr="00B924EB">
        <w:rPr>
          <w:color w:val="000000"/>
          <w:szCs w:val="20"/>
          <w:lang w:val="es-ES_tradnl"/>
        </w:rPr>
        <w:t xml:space="preserve"> </w:t>
      </w:r>
      <w:r w:rsidR="00DB3D7B" w:rsidRPr="00B924EB">
        <w:rPr>
          <w:color w:val="000000"/>
          <w:szCs w:val="20"/>
          <w:lang w:val="es-ES_tradnl"/>
        </w:rPr>
        <w:t>técnicos</w:t>
      </w:r>
      <w:r w:rsidR="00A13BEA" w:rsidRPr="00B924EB">
        <w:rPr>
          <w:color w:val="000000"/>
          <w:szCs w:val="20"/>
          <w:lang w:val="es-ES_tradnl"/>
        </w:rPr>
        <w:t xml:space="preserve"> </w:t>
      </w:r>
      <w:r w:rsidR="004E30FD">
        <w:rPr>
          <w:color w:val="000000"/>
          <w:szCs w:val="20"/>
          <w:lang w:val="es-ES_tradnl"/>
        </w:rPr>
        <w:t xml:space="preserve">en </w:t>
      </w:r>
      <w:r w:rsidR="00024C8D" w:rsidRPr="00B924EB">
        <w:rPr>
          <w:color w:val="000000"/>
          <w:szCs w:val="20"/>
          <w:lang w:val="es-ES_tradnl"/>
        </w:rPr>
        <w:t>10</w:t>
      </w:r>
      <w:r w:rsidR="00A13BEA" w:rsidRPr="00B924EB">
        <w:rPr>
          <w:color w:val="000000"/>
          <w:szCs w:val="20"/>
          <w:lang w:val="es-ES_tradnl"/>
        </w:rPr>
        <w:t xml:space="preserve"> </w:t>
      </w:r>
      <w:r w:rsidR="00E26F0F" w:rsidRPr="00B924EB">
        <w:rPr>
          <w:color w:val="000000"/>
          <w:szCs w:val="20"/>
          <w:lang w:val="es-ES_tradnl"/>
        </w:rPr>
        <w:t>centros</w:t>
      </w:r>
      <w:r w:rsidR="00A13BEA" w:rsidRPr="00B924EB">
        <w:rPr>
          <w:color w:val="000000"/>
          <w:szCs w:val="20"/>
          <w:lang w:val="es-ES_tradnl"/>
        </w:rPr>
        <w:t xml:space="preserve"> </w:t>
      </w:r>
      <w:r w:rsidR="00E26F0F" w:rsidRPr="00B924EB">
        <w:rPr>
          <w:color w:val="000000"/>
          <w:szCs w:val="20"/>
          <w:lang w:val="es-ES_tradnl"/>
        </w:rPr>
        <w:t>de</w:t>
      </w:r>
      <w:r w:rsidR="00A13BEA" w:rsidRPr="00B924EB">
        <w:rPr>
          <w:color w:val="000000"/>
          <w:szCs w:val="20"/>
          <w:lang w:val="es-ES_tradnl"/>
        </w:rPr>
        <w:t xml:space="preserve"> </w:t>
      </w:r>
      <w:r w:rsidR="00E26F0F" w:rsidRPr="00B924EB">
        <w:rPr>
          <w:color w:val="000000"/>
          <w:szCs w:val="20"/>
          <w:lang w:val="es-ES_tradnl"/>
        </w:rPr>
        <w:t>capacitación</w:t>
      </w:r>
      <w:r w:rsidR="00024C8D" w:rsidRPr="00B924EB">
        <w:rPr>
          <w:color w:val="000000"/>
          <w:szCs w:val="20"/>
          <w:lang w:val="es-ES_tradnl"/>
        </w:rPr>
        <w:t>;</w:t>
      </w:r>
      <w:r w:rsidR="00A13BEA" w:rsidRPr="00B924EB">
        <w:rPr>
          <w:color w:val="000000"/>
          <w:szCs w:val="20"/>
          <w:lang w:val="es-ES_tradnl"/>
        </w:rPr>
        <w:t xml:space="preserve"> </w:t>
      </w:r>
      <w:r w:rsidR="00302EDA">
        <w:rPr>
          <w:color w:val="000000"/>
          <w:szCs w:val="20"/>
          <w:lang w:val="es-ES_tradnl"/>
        </w:rPr>
        <w:t>se elaborar</w:t>
      </w:r>
      <w:r w:rsidR="00AB0231">
        <w:rPr>
          <w:color w:val="000000"/>
          <w:szCs w:val="20"/>
          <w:lang w:val="es-ES_tradnl"/>
        </w:rPr>
        <w:t xml:space="preserve">on </w:t>
      </w:r>
      <w:r w:rsidR="00302EDA">
        <w:rPr>
          <w:color w:val="000000"/>
          <w:szCs w:val="20"/>
          <w:lang w:val="es-ES_tradnl"/>
        </w:rPr>
        <w:t>manuales</w:t>
      </w:r>
      <w:r w:rsidR="00302EDA" w:rsidRPr="00302EDA">
        <w:rPr>
          <w:color w:val="000000"/>
          <w:szCs w:val="20"/>
          <w:lang w:val="es-ES_tradnl"/>
        </w:rPr>
        <w:t xml:space="preserve"> </w:t>
      </w:r>
      <w:r w:rsidR="00755C5D" w:rsidRPr="00B924EB">
        <w:rPr>
          <w:lang w:val="es-ES_tradnl"/>
        </w:rPr>
        <w:t>y</w:t>
      </w:r>
      <w:r w:rsidR="00A13BEA" w:rsidRPr="00B924EB">
        <w:rPr>
          <w:lang w:val="es-ES_tradnl"/>
        </w:rPr>
        <w:t xml:space="preserve"> </w:t>
      </w:r>
      <w:r w:rsidR="00C22B04">
        <w:rPr>
          <w:lang w:val="es-ES_tradnl"/>
        </w:rPr>
        <w:t>referencias electrónicas</w:t>
      </w:r>
      <w:r w:rsidR="00A13BEA" w:rsidRPr="00B924EB">
        <w:rPr>
          <w:lang w:val="es-ES_tradnl"/>
        </w:rPr>
        <w:t xml:space="preserve"> </w:t>
      </w:r>
      <w:r w:rsidR="00EF0758">
        <w:rPr>
          <w:lang w:val="es-ES_tradnl"/>
        </w:rPr>
        <w:t xml:space="preserve">en apoyo </w:t>
      </w:r>
      <w:r w:rsidR="009547D6">
        <w:rPr>
          <w:lang w:val="es-ES_tradnl"/>
        </w:rPr>
        <w:t>del currículum actualizado</w:t>
      </w:r>
      <w:r w:rsidR="00AF317F">
        <w:rPr>
          <w:lang w:val="es-ES_tradnl"/>
        </w:rPr>
        <w:t xml:space="preserve"> </w:t>
      </w:r>
      <w:r w:rsidR="006E40D9">
        <w:rPr>
          <w:lang w:val="es-ES_tradnl"/>
        </w:rPr>
        <w:t xml:space="preserve">de </w:t>
      </w:r>
      <w:r w:rsidRPr="00B924EB">
        <w:rPr>
          <w:lang w:val="es-ES_tradnl"/>
        </w:rPr>
        <w:t>capacitación</w:t>
      </w:r>
      <w:r w:rsidR="00A13BEA" w:rsidRPr="00B924EB">
        <w:rPr>
          <w:lang w:val="es-ES_tradnl"/>
        </w:rPr>
        <w:t xml:space="preserve"> </w:t>
      </w:r>
      <w:r w:rsidR="00AF317F">
        <w:rPr>
          <w:lang w:val="es-ES_tradnl"/>
        </w:rPr>
        <w:t xml:space="preserve">en </w:t>
      </w:r>
      <w:r w:rsidR="00AF317F" w:rsidRPr="00AF317F">
        <w:rPr>
          <w:lang w:val="es-ES_tradnl"/>
        </w:rPr>
        <w:t>refrigeración</w:t>
      </w:r>
      <w:r w:rsidR="00CE3653" w:rsidRPr="00B924EB">
        <w:rPr>
          <w:lang w:val="es-ES_tradnl"/>
        </w:rPr>
        <w:t>;</w:t>
      </w:r>
      <w:r w:rsidR="00A13BEA" w:rsidRPr="00B924EB">
        <w:rPr>
          <w:lang w:val="es-ES_tradnl"/>
        </w:rPr>
        <w:t xml:space="preserve"> </w:t>
      </w:r>
      <w:r w:rsidR="002331D7">
        <w:rPr>
          <w:lang w:val="es-ES_tradnl"/>
        </w:rPr>
        <w:t xml:space="preserve">se hicieron </w:t>
      </w:r>
      <w:r w:rsidR="003C6F9C">
        <w:rPr>
          <w:lang w:val="es-ES_tradnl"/>
        </w:rPr>
        <w:t>folleto</w:t>
      </w:r>
      <w:r w:rsidR="00CE3653" w:rsidRPr="00B924EB">
        <w:rPr>
          <w:lang w:val="es-ES_tradnl"/>
        </w:rPr>
        <w:t>s</w:t>
      </w:r>
      <w:r w:rsidR="00A13BEA" w:rsidRPr="00B924EB">
        <w:rPr>
          <w:lang w:val="es-ES_tradnl"/>
        </w:rPr>
        <w:t xml:space="preserve"> </w:t>
      </w:r>
      <w:r w:rsidR="002331D7">
        <w:rPr>
          <w:lang w:val="es-ES_tradnl"/>
        </w:rPr>
        <w:t xml:space="preserve">para </w:t>
      </w:r>
      <w:r w:rsidR="00755C5D" w:rsidRPr="00B924EB">
        <w:rPr>
          <w:lang w:val="es-ES_tradnl"/>
        </w:rPr>
        <w:t>tres</w:t>
      </w:r>
      <w:r w:rsidR="00A13BEA" w:rsidRPr="00B924EB">
        <w:rPr>
          <w:lang w:val="es-ES_tradnl"/>
        </w:rPr>
        <w:t xml:space="preserve"> </w:t>
      </w:r>
      <w:r w:rsidR="002331D7">
        <w:rPr>
          <w:lang w:val="es-ES_tradnl"/>
        </w:rPr>
        <w:t xml:space="preserve">distintos </w:t>
      </w:r>
      <w:r w:rsidR="00EA6006" w:rsidRPr="00EA6006">
        <w:rPr>
          <w:lang w:val="es-ES_tradnl"/>
        </w:rPr>
        <w:t xml:space="preserve">niveles </w:t>
      </w:r>
      <w:r w:rsidR="00EA6006">
        <w:rPr>
          <w:lang w:val="es-ES_tradnl"/>
        </w:rPr>
        <w:t xml:space="preserve">de </w:t>
      </w:r>
      <w:r w:rsidR="00B83DFA">
        <w:rPr>
          <w:lang w:val="es-ES_tradnl"/>
        </w:rPr>
        <w:t>formación</w:t>
      </w:r>
      <w:r w:rsidR="00CE3653" w:rsidRPr="00B924EB">
        <w:rPr>
          <w:lang w:val="es-ES_tradnl"/>
        </w:rPr>
        <w:t>;</w:t>
      </w:r>
      <w:r w:rsidR="00A13BEA" w:rsidRPr="00B924EB">
        <w:rPr>
          <w:lang w:val="es-ES_tradnl"/>
        </w:rPr>
        <w:t xml:space="preserve"> </w:t>
      </w:r>
      <w:r w:rsidR="00A2462B">
        <w:rPr>
          <w:lang w:val="es-ES_tradnl"/>
        </w:rPr>
        <w:t xml:space="preserve">se implementó </w:t>
      </w:r>
      <w:r w:rsidR="00B41F61">
        <w:rPr>
          <w:color w:val="000000"/>
          <w:szCs w:val="20"/>
          <w:lang w:val="es-ES_tradnl"/>
        </w:rPr>
        <w:t xml:space="preserve">un programa </w:t>
      </w:r>
      <w:r w:rsidR="003A2BCC">
        <w:rPr>
          <w:color w:val="000000"/>
          <w:szCs w:val="20"/>
          <w:lang w:val="es-ES_tradnl"/>
        </w:rPr>
        <w:t>especializado</w:t>
      </w:r>
      <w:r w:rsidR="00A13BEA" w:rsidRPr="00B924EB">
        <w:rPr>
          <w:color w:val="000000"/>
          <w:lang w:val="es-ES_tradnl"/>
        </w:rPr>
        <w:t xml:space="preserve"> </w:t>
      </w:r>
      <w:r w:rsidR="00257EF0">
        <w:rPr>
          <w:color w:val="000000"/>
          <w:lang w:val="es-ES_tradnl"/>
        </w:rPr>
        <w:t xml:space="preserve">de </w:t>
      </w:r>
      <w:r w:rsidR="003A2BCC">
        <w:rPr>
          <w:color w:val="000000"/>
          <w:lang w:val="es-ES_tradnl"/>
        </w:rPr>
        <w:t>orientación técnica</w:t>
      </w:r>
      <w:r w:rsidR="00A13BEA" w:rsidRPr="00B924EB">
        <w:rPr>
          <w:color w:val="000000"/>
          <w:lang w:val="es-ES_tradnl"/>
        </w:rPr>
        <w:t xml:space="preserve"> </w:t>
      </w:r>
      <w:r w:rsidR="00257EF0">
        <w:rPr>
          <w:color w:val="000000"/>
          <w:lang w:val="es-ES_tradnl"/>
        </w:rPr>
        <w:t xml:space="preserve">sobre </w:t>
      </w:r>
      <w:r w:rsidR="009742A2">
        <w:rPr>
          <w:color w:val="000000"/>
          <w:lang w:val="es-ES_tradnl"/>
        </w:rPr>
        <w:t>alternativas de bajo PCA</w:t>
      </w:r>
      <w:r w:rsidR="00A13BEA" w:rsidRPr="00B924EB">
        <w:rPr>
          <w:color w:val="000000"/>
          <w:lang w:val="es-ES_tradnl"/>
        </w:rPr>
        <w:t xml:space="preserve"> </w:t>
      </w:r>
      <w:r w:rsidR="005226DA">
        <w:rPr>
          <w:color w:val="000000"/>
          <w:lang w:val="es-ES_tradnl"/>
        </w:rPr>
        <w:t>para grandes</w:t>
      </w:r>
      <w:r w:rsidR="00E013B4">
        <w:rPr>
          <w:color w:val="000000"/>
          <w:lang w:val="es-ES_tradnl"/>
        </w:rPr>
        <w:t xml:space="preserve"> usuarios</w:t>
      </w:r>
      <w:r w:rsidR="00055F50" w:rsidRPr="00B924EB">
        <w:rPr>
          <w:color w:val="000000"/>
          <w:lang w:val="es-ES_tradnl"/>
        </w:rPr>
        <w:t xml:space="preserve"> finales</w:t>
      </w:r>
      <w:r w:rsidR="00CE3653" w:rsidRPr="00B924EB">
        <w:rPr>
          <w:color w:val="000000"/>
          <w:lang w:val="es-ES_tradnl"/>
        </w:rPr>
        <w:t>,</w:t>
      </w:r>
      <w:r w:rsidR="00A13BEA" w:rsidRPr="00B924EB">
        <w:rPr>
          <w:color w:val="000000"/>
          <w:lang w:val="es-ES_tradnl"/>
        </w:rPr>
        <w:t xml:space="preserve"> </w:t>
      </w:r>
      <w:r w:rsidR="00EA5AE4">
        <w:rPr>
          <w:color w:val="000000"/>
          <w:lang w:val="es-ES_tradnl"/>
        </w:rPr>
        <w:t>empresas inmobiliarias</w:t>
      </w:r>
      <w:r w:rsidR="00CE3653" w:rsidRPr="00B924EB">
        <w:rPr>
          <w:color w:val="000000"/>
          <w:lang w:val="es-ES_tradnl"/>
        </w:rPr>
        <w:t>,</w:t>
      </w:r>
      <w:r w:rsidR="00A13BEA" w:rsidRPr="00B924EB">
        <w:rPr>
          <w:color w:val="000000"/>
          <w:lang w:val="es-ES_tradnl"/>
        </w:rPr>
        <w:t xml:space="preserve"> </w:t>
      </w:r>
      <w:r w:rsidR="00452F79" w:rsidRPr="00B924EB">
        <w:rPr>
          <w:color w:val="000000"/>
          <w:lang w:val="es-ES_tradnl"/>
        </w:rPr>
        <w:t>consultores</w:t>
      </w:r>
      <w:r w:rsidR="00A13BEA" w:rsidRPr="00B924EB">
        <w:rPr>
          <w:color w:val="000000"/>
          <w:lang w:val="es-ES_tradnl"/>
        </w:rPr>
        <w:t xml:space="preserve"> </w:t>
      </w:r>
      <w:r w:rsidR="00755C5D" w:rsidRPr="00B924EB">
        <w:rPr>
          <w:color w:val="000000"/>
          <w:lang w:val="es-ES_tradnl"/>
        </w:rPr>
        <w:t>y</w:t>
      </w:r>
      <w:r w:rsidR="00A13BEA" w:rsidRPr="00B924EB">
        <w:rPr>
          <w:color w:val="000000"/>
          <w:lang w:val="es-ES_tradnl"/>
        </w:rPr>
        <w:t xml:space="preserve"> </w:t>
      </w:r>
      <w:r w:rsidR="004107EB">
        <w:rPr>
          <w:color w:val="000000"/>
          <w:lang w:val="es-ES_tradnl"/>
        </w:rPr>
        <w:t xml:space="preserve">autoridades </w:t>
      </w:r>
      <w:r w:rsidR="003B3F02">
        <w:rPr>
          <w:color w:val="000000"/>
          <w:lang w:val="es-ES_tradnl"/>
        </w:rPr>
        <w:t>técnicas de nivel gubernamental</w:t>
      </w:r>
      <w:r w:rsidR="002B2A51" w:rsidRPr="00B924EB">
        <w:rPr>
          <w:color w:val="000000"/>
          <w:lang w:val="es-ES_tradnl"/>
        </w:rPr>
        <w:t>;</w:t>
      </w:r>
      <w:r w:rsidR="00A13BEA" w:rsidRPr="00B924EB">
        <w:rPr>
          <w:color w:val="000000"/>
          <w:lang w:val="es-ES_tradnl"/>
        </w:rPr>
        <w:t xml:space="preserve"> </w:t>
      </w:r>
      <w:r w:rsidR="00755C5D" w:rsidRPr="00B924EB">
        <w:rPr>
          <w:color w:val="000000"/>
          <w:lang w:val="es-ES_tradnl"/>
        </w:rPr>
        <w:t>y</w:t>
      </w:r>
      <w:r w:rsidR="00A13BEA" w:rsidRPr="00B924EB">
        <w:rPr>
          <w:color w:val="000000"/>
          <w:lang w:val="es-ES_tradnl"/>
        </w:rPr>
        <w:t xml:space="preserve"> </w:t>
      </w:r>
      <w:r w:rsidR="008B78B8">
        <w:rPr>
          <w:color w:val="000000"/>
          <w:lang w:val="es-ES_tradnl"/>
        </w:rPr>
        <w:t xml:space="preserve">se elaboraron </w:t>
      </w:r>
      <w:r w:rsidR="004A5C1C">
        <w:rPr>
          <w:color w:val="000000"/>
          <w:lang w:val="es-ES_tradnl"/>
        </w:rPr>
        <w:t>término</w:t>
      </w:r>
      <w:r w:rsidR="000521A3" w:rsidRPr="00B924EB">
        <w:rPr>
          <w:color w:val="000000"/>
          <w:lang w:val="es-ES_tradnl"/>
        </w:rPr>
        <w:t>s</w:t>
      </w:r>
      <w:r w:rsidR="00A13BEA" w:rsidRPr="00B924EB">
        <w:rPr>
          <w:color w:val="000000"/>
          <w:lang w:val="es-ES_tradnl"/>
        </w:rPr>
        <w:t xml:space="preserve"> </w:t>
      </w:r>
      <w:r w:rsidR="000521A3" w:rsidRPr="00B924EB">
        <w:rPr>
          <w:color w:val="000000"/>
          <w:lang w:val="es-ES_tradnl"/>
        </w:rPr>
        <w:t>de</w:t>
      </w:r>
      <w:r w:rsidR="00A13BEA" w:rsidRPr="00B924EB">
        <w:rPr>
          <w:color w:val="000000"/>
          <w:lang w:val="es-ES_tradnl"/>
        </w:rPr>
        <w:t xml:space="preserve"> </w:t>
      </w:r>
      <w:r w:rsidR="000521A3" w:rsidRPr="00B924EB">
        <w:rPr>
          <w:color w:val="000000"/>
          <w:lang w:val="es-ES_tradnl"/>
        </w:rPr>
        <w:t>referencia</w:t>
      </w:r>
      <w:r w:rsidR="00A13BEA" w:rsidRPr="00B924EB">
        <w:rPr>
          <w:color w:val="000000"/>
          <w:lang w:val="es-ES_tradnl"/>
        </w:rPr>
        <w:t xml:space="preserve"> </w:t>
      </w:r>
      <w:r w:rsidR="00755C5D" w:rsidRPr="00B924EB">
        <w:rPr>
          <w:color w:val="000000"/>
          <w:lang w:val="es-ES_tradnl"/>
        </w:rPr>
        <w:t>y</w:t>
      </w:r>
      <w:r w:rsidR="00A13BEA" w:rsidRPr="00B924EB">
        <w:rPr>
          <w:color w:val="000000"/>
          <w:lang w:val="es-ES_tradnl"/>
        </w:rPr>
        <w:t xml:space="preserve"> </w:t>
      </w:r>
      <w:r w:rsidR="00B3039B">
        <w:rPr>
          <w:color w:val="000000"/>
          <w:lang w:val="es-ES_tradnl"/>
        </w:rPr>
        <w:t xml:space="preserve">un </w:t>
      </w:r>
      <w:r w:rsidR="005E1320" w:rsidRPr="00B924EB">
        <w:rPr>
          <w:color w:val="000000"/>
          <w:lang w:val="es-ES_tradnl"/>
        </w:rPr>
        <w:t>plan</w:t>
      </w:r>
      <w:r w:rsidR="00A13BEA" w:rsidRPr="00B924EB">
        <w:rPr>
          <w:color w:val="000000"/>
          <w:lang w:val="es-ES_tradnl"/>
        </w:rPr>
        <w:t xml:space="preserve"> </w:t>
      </w:r>
      <w:r w:rsidR="005E1320" w:rsidRPr="00B924EB">
        <w:rPr>
          <w:color w:val="000000"/>
          <w:lang w:val="es-ES_tradnl"/>
        </w:rPr>
        <w:t>de</w:t>
      </w:r>
      <w:r w:rsidR="00A13BEA" w:rsidRPr="00B924EB">
        <w:rPr>
          <w:color w:val="000000"/>
          <w:lang w:val="es-ES_tradnl"/>
        </w:rPr>
        <w:t xml:space="preserve"> </w:t>
      </w:r>
      <w:r w:rsidR="005E1320" w:rsidRPr="00B924EB">
        <w:rPr>
          <w:color w:val="000000"/>
          <w:lang w:val="es-ES_tradnl"/>
        </w:rPr>
        <w:t>trabajo</w:t>
      </w:r>
      <w:r w:rsidR="00A13BEA" w:rsidRPr="00B924EB">
        <w:rPr>
          <w:color w:val="000000"/>
          <w:lang w:val="es-ES_tradnl"/>
        </w:rPr>
        <w:t xml:space="preserve"> </w:t>
      </w:r>
      <w:r w:rsidR="000521A3" w:rsidRPr="00B924EB">
        <w:rPr>
          <w:color w:val="000000"/>
          <w:lang w:val="es-ES_tradnl"/>
        </w:rPr>
        <w:t>para</w:t>
      </w:r>
      <w:r w:rsidR="00A13BEA" w:rsidRPr="00B924EB">
        <w:rPr>
          <w:color w:val="000000"/>
          <w:lang w:val="es-ES_tradnl"/>
        </w:rPr>
        <w:t xml:space="preserve"> </w:t>
      </w:r>
      <w:r w:rsidR="000521A3" w:rsidRPr="00B924EB">
        <w:rPr>
          <w:color w:val="000000"/>
          <w:lang w:val="es-ES_tradnl"/>
        </w:rPr>
        <w:t>la</w:t>
      </w:r>
      <w:r w:rsidR="00A13BEA" w:rsidRPr="00B924EB">
        <w:rPr>
          <w:color w:val="000000"/>
          <w:lang w:val="es-ES_tradnl"/>
        </w:rPr>
        <w:t xml:space="preserve"> </w:t>
      </w:r>
      <w:r w:rsidR="00E26F0F" w:rsidRPr="00B924EB">
        <w:rPr>
          <w:color w:val="000000"/>
          <w:lang w:val="es-ES_tradnl"/>
        </w:rPr>
        <w:t>adopción</w:t>
      </w:r>
      <w:r w:rsidR="00A13BEA" w:rsidRPr="00B924EB">
        <w:rPr>
          <w:color w:val="000000"/>
          <w:lang w:val="es-ES_tradnl"/>
        </w:rPr>
        <w:t xml:space="preserve"> </w:t>
      </w:r>
      <w:r w:rsidR="00755C5D" w:rsidRPr="00B924EB">
        <w:rPr>
          <w:color w:val="000000"/>
          <w:lang w:val="es-ES_tradnl"/>
        </w:rPr>
        <w:t>de</w:t>
      </w:r>
      <w:r w:rsidR="00A13BEA" w:rsidRPr="00B924EB">
        <w:rPr>
          <w:color w:val="000000"/>
          <w:lang w:val="es-ES_tradnl"/>
        </w:rPr>
        <w:t xml:space="preserve"> </w:t>
      </w:r>
      <w:r w:rsidR="006924BA">
        <w:rPr>
          <w:color w:val="000000"/>
          <w:lang w:val="es-ES_tradnl"/>
        </w:rPr>
        <w:t>normas y códigos nacionales</w:t>
      </w:r>
      <w:r w:rsidR="00A13BEA" w:rsidRPr="00B924EB">
        <w:rPr>
          <w:color w:val="000000"/>
          <w:lang w:val="es-ES_tradnl"/>
        </w:rPr>
        <w:t xml:space="preserve"> </w:t>
      </w:r>
      <w:r w:rsidR="00472D0E">
        <w:rPr>
          <w:color w:val="000000"/>
          <w:lang w:val="es-ES_tradnl"/>
        </w:rPr>
        <w:t>sobre</w:t>
      </w:r>
      <w:r w:rsidR="00596FEF">
        <w:rPr>
          <w:color w:val="000000"/>
          <w:lang w:val="es-ES_tradnl"/>
        </w:rPr>
        <w:t>,</w:t>
      </w:r>
      <w:r w:rsidR="00A13BEA" w:rsidRPr="00B924EB">
        <w:rPr>
          <w:color w:val="000000"/>
          <w:lang w:val="es-ES_tradnl"/>
        </w:rPr>
        <w:t xml:space="preserve"> </w:t>
      </w:r>
      <w:r w:rsidR="00E26F0F" w:rsidRPr="00596FEF">
        <w:rPr>
          <w:lang w:val="es-ES_tradnl"/>
        </w:rPr>
        <w:t>entre</w:t>
      </w:r>
      <w:r w:rsidR="00A13BEA" w:rsidRPr="00596FEF">
        <w:rPr>
          <w:lang w:val="es-ES_tradnl"/>
        </w:rPr>
        <w:t xml:space="preserve"> </w:t>
      </w:r>
      <w:r w:rsidR="00952F1F">
        <w:rPr>
          <w:lang w:val="es-ES_tradnl"/>
        </w:rPr>
        <w:t>otras cosas</w:t>
      </w:r>
      <w:r w:rsidR="00596FEF">
        <w:rPr>
          <w:lang w:val="es-ES_tradnl"/>
        </w:rPr>
        <w:t xml:space="preserve">, </w:t>
      </w:r>
      <w:r w:rsidRPr="00B924EB">
        <w:rPr>
          <w:color w:val="000000"/>
          <w:lang w:val="es-ES_tradnl"/>
        </w:rPr>
        <w:t>equipos</w:t>
      </w:r>
      <w:r w:rsidR="00CE3653" w:rsidRPr="00B924EB">
        <w:rPr>
          <w:color w:val="000000"/>
          <w:lang w:val="es-ES_tradnl"/>
        </w:rPr>
        <w:t>,</w:t>
      </w:r>
      <w:r w:rsidR="00A13BEA" w:rsidRPr="00B924EB">
        <w:rPr>
          <w:color w:val="000000"/>
          <w:lang w:val="es-ES_tradnl"/>
        </w:rPr>
        <w:t xml:space="preserve"> </w:t>
      </w:r>
      <w:r w:rsidR="003C5B70">
        <w:rPr>
          <w:color w:val="000000"/>
          <w:lang w:val="es-ES_tradnl"/>
        </w:rPr>
        <w:t>refrigerantes peligrosos</w:t>
      </w:r>
      <w:r w:rsidR="00A13BEA" w:rsidRPr="00B924EB">
        <w:rPr>
          <w:color w:val="000000"/>
          <w:lang w:val="es-ES_tradnl"/>
        </w:rPr>
        <w:t xml:space="preserve"> </w:t>
      </w:r>
      <w:r w:rsidR="00755C5D" w:rsidRPr="00B924EB">
        <w:rPr>
          <w:color w:val="000000"/>
          <w:lang w:val="es-ES_tradnl"/>
        </w:rPr>
        <w:t>y</w:t>
      </w:r>
      <w:r w:rsidR="00A13BEA" w:rsidRPr="00B924EB">
        <w:rPr>
          <w:color w:val="000000"/>
          <w:lang w:val="es-ES_tradnl"/>
        </w:rPr>
        <w:t xml:space="preserve"> </w:t>
      </w:r>
      <w:r w:rsidR="003C5B70">
        <w:rPr>
          <w:color w:val="000000"/>
          <w:lang w:val="es-ES_tradnl"/>
        </w:rPr>
        <w:t>envases de refrigerante</w:t>
      </w:r>
      <w:r w:rsidR="00CE3653" w:rsidRPr="00B924EB">
        <w:rPr>
          <w:color w:val="000000"/>
          <w:lang w:val="es-ES_tradnl"/>
        </w:rPr>
        <w:t>;</w:t>
      </w:r>
    </w:p>
    <w:p w14:paraId="1D0A0ACD" w14:textId="2E8D3B22" w:rsidR="00CE3653" w:rsidRPr="00B924EB" w:rsidRDefault="00075378" w:rsidP="00C55DAA">
      <w:pPr>
        <w:pStyle w:val="Heading2"/>
        <w:rPr>
          <w:rFonts w:eastAsia="SimSun"/>
          <w:lang w:val="es-ES_tradnl" w:eastAsia="zh-CN"/>
        </w:rPr>
      </w:pPr>
      <w:r>
        <w:rPr>
          <w:rFonts w:eastAsia="SimSun"/>
          <w:i/>
          <w:lang w:val="es-ES_tradnl" w:eastAsia="zh-CN"/>
        </w:rPr>
        <w:t>Asistencia al sector servicio técnico</w:t>
      </w:r>
      <w:r w:rsidR="00A13BEA" w:rsidRPr="00B924EB">
        <w:rPr>
          <w:rFonts w:eastAsia="SimSun"/>
          <w:i/>
          <w:lang w:val="es-ES_tradnl" w:eastAsia="zh-CN"/>
        </w:rPr>
        <w:t xml:space="preserve"> </w:t>
      </w:r>
      <w:r w:rsidR="000521A3" w:rsidRPr="00B924EB">
        <w:rPr>
          <w:rFonts w:eastAsia="SimSun"/>
          <w:i/>
          <w:lang w:val="es-ES_tradnl" w:eastAsia="zh-CN"/>
        </w:rPr>
        <w:t>(ONUDI)</w:t>
      </w:r>
      <w:r w:rsidR="00A13BEA" w:rsidRPr="00B924EB">
        <w:rPr>
          <w:rFonts w:eastAsia="SimSun"/>
          <w:i/>
          <w:lang w:val="es-ES_tradnl" w:eastAsia="zh-CN"/>
        </w:rPr>
        <w:t xml:space="preserve"> </w:t>
      </w:r>
      <w:r w:rsidR="007D27B1">
        <w:rPr>
          <w:rFonts w:eastAsia="SimSun"/>
          <w:i/>
          <w:lang w:val="es-ES_tradnl" w:eastAsia="zh-CN"/>
        </w:rPr>
        <w:t>(</w:t>
      </w:r>
      <w:r w:rsidR="001562A4" w:rsidRPr="00B924EB">
        <w:rPr>
          <w:rFonts w:eastAsia="SimSun"/>
          <w:i/>
          <w:lang w:val="es-ES_tradnl" w:eastAsia="zh-CN"/>
        </w:rPr>
        <w:t>52</w:t>
      </w:r>
      <w:r w:rsidR="00755C5D" w:rsidRPr="00B924EB">
        <w:rPr>
          <w:rFonts w:eastAsia="SimSun"/>
          <w:i/>
          <w:lang w:val="es-ES_tradnl" w:eastAsia="zh-CN"/>
        </w:rPr>
        <w:t>0.</w:t>
      </w:r>
      <w:r w:rsidR="00CE3653" w:rsidRPr="00B924EB">
        <w:rPr>
          <w:rFonts w:eastAsia="SimSun"/>
          <w:i/>
          <w:lang w:val="es-ES_tradnl" w:eastAsia="zh-CN"/>
        </w:rPr>
        <w:t>000</w:t>
      </w:r>
      <w:r w:rsidR="00E15F5E" w:rsidRPr="00E15F5E">
        <w:rPr>
          <w:rFonts w:eastAsia="SimSun"/>
          <w:i/>
          <w:lang w:val="es-ES_tradnl" w:eastAsia="zh-CN"/>
        </w:rPr>
        <w:t xml:space="preserve"> $EUA</w:t>
      </w:r>
      <w:r w:rsidR="00CE3653" w:rsidRPr="00B924EB">
        <w:rPr>
          <w:rFonts w:eastAsia="SimSun"/>
          <w:i/>
          <w:lang w:val="es-ES_tradnl" w:eastAsia="zh-CN"/>
        </w:rPr>
        <w:t>)</w:t>
      </w:r>
      <w:r w:rsidR="00CE3653" w:rsidRPr="00B924EB">
        <w:rPr>
          <w:rFonts w:eastAsia="SimSun"/>
          <w:lang w:val="es-ES_tradnl" w:eastAsia="zh-CN"/>
        </w:rPr>
        <w:t>:</w:t>
      </w:r>
      <w:r w:rsidR="00A13BEA" w:rsidRPr="00B924EB">
        <w:rPr>
          <w:rFonts w:eastAsia="SimSun"/>
          <w:lang w:val="es-ES_tradnl" w:eastAsia="zh-CN"/>
        </w:rPr>
        <w:t xml:space="preserve"> </w:t>
      </w:r>
      <w:r w:rsidR="0046751E">
        <w:rPr>
          <w:rFonts w:eastAsia="SimSun"/>
          <w:lang w:val="es-ES_tradnl" w:eastAsia="zh-CN"/>
        </w:rPr>
        <w:t>Se establecieron</w:t>
      </w:r>
      <w:r w:rsidR="0046751E" w:rsidRPr="0046751E">
        <w:rPr>
          <w:rFonts w:eastAsia="SimSun"/>
          <w:lang w:val="es-ES_tradnl" w:eastAsia="zh-CN"/>
        </w:rPr>
        <w:t xml:space="preserve"> </w:t>
      </w:r>
      <w:r w:rsidR="00755C5D" w:rsidRPr="00B924EB">
        <w:rPr>
          <w:rFonts w:eastAsia="SimSun"/>
          <w:lang w:val="es-ES_tradnl" w:eastAsia="zh-CN"/>
        </w:rPr>
        <w:t>tres</w:t>
      </w:r>
      <w:r w:rsidR="00A13BEA" w:rsidRPr="00B924EB">
        <w:rPr>
          <w:rFonts w:eastAsia="SimSun"/>
          <w:lang w:val="es-ES_tradnl" w:eastAsia="zh-CN"/>
        </w:rPr>
        <w:t xml:space="preserve"> </w:t>
      </w:r>
      <w:r w:rsidR="0046751E" w:rsidRPr="0046751E">
        <w:rPr>
          <w:rFonts w:eastAsia="SimSun"/>
          <w:lang w:val="es-ES_tradnl" w:eastAsia="zh-CN"/>
        </w:rPr>
        <w:t xml:space="preserve">centros </w:t>
      </w:r>
      <w:r w:rsidR="0046751E">
        <w:rPr>
          <w:rFonts w:eastAsia="SimSun"/>
          <w:lang w:val="es-ES_tradnl" w:eastAsia="zh-CN"/>
        </w:rPr>
        <w:t xml:space="preserve">de </w:t>
      </w:r>
      <w:r w:rsidR="004542C4">
        <w:rPr>
          <w:rFonts w:eastAsia="SimSun"/>
          <w:lang w:val="es-ES_tradnl" w:eastAsia="zh-CN"/>
        </w:rPr>
        <w:t>recuperación de refrigerantes</w:t>
      </w:r>
      <w:r w:rsidR="00A13BEA" w:rsidRPr="00B924EB">
        <w:rPr>
          <w:rFonts w:eastAsia="SimSun"/>
          <w:lang w:val="es-ES_tradnl" w:eastAsia="zh-CN"/>
        </w:rPr>
        <w:t xml:space="preserve"> </w:t>
      </w:r>
      <w:r w:rsidR="009374DA" w:rsidRPr="00B924EB">
        <w:rPr>
          <w:rFonts w:eastAsia="SimSun"/>
          <w:lang w:val="es-ES_tradnl" w:eastAsia="zh-CN"/>
        </w:rPr>
        <w:t>en</w:t>
      </w:r>
      <w:r w:rsidR="00A13BEA" w:rsidRPr="00B924EB">
        <w:rPr>
          <w:rFonts w:eastAsia="SimSun"/>
          <w:lang w:val="es-ES_tradnl" w:eastAsia="zh-CN"/>
        </w:rPr>
        <w:t xml:space="preserve"> </w:t>
      </w:r>
      <w:r w:rsidR="0074306E">
        <w:rPr>
          <w:rFonts w:eastAsia="SimSun"/>
          <w:lang w:val="es-ES_tradnl" w:eastAsia="zh-CN"/>
        </w:rPr>
        <w:t xml:space="preserve">las ciudades de </w:t>
      </w:r>
      <w:r w:rsidR="00F1408A">
        <w:rPr>
          <w:rFonts w:eastAsia="SimSun"/>
          <w:lang w:val="es-ES_tradnl" w:eastAsia="zh-CN"/>
        </w:rPr>
        <w:t>Bagdad</w:t>
      </w:r>
      <w:r w:rsidR="00CE3653" w:rsidRPr="00B924EB">
        <w:rPr>
          <w:rFonts w:eastAsia="SimSun"/>
          <w:lang w:val="es-ES_tradnl" w:eastAsia="zh-CN"/>
        </w:rPr>
        <w:t>,</w:t>
      </w:r>
      <w:r w:rsidR="00A13BEA" w:rsidRPr="00B924EB">
        <w:rPr>
          <w:rFonts w:eastAsia="SimSun"/>
          <w:lang w:val="es-ES_tradnl" w:eastAsia="zh-CN"/>
        </w:rPr>
        <w:t xml:space="preserve"> </w:t>
      </w:r>
      <w:r w:rsidR="00FC0CBA">
        <w:rPr>
          <w:rFonts w:eastAsia="SimSun"/>
          <w:lang w:val="es-ES_tradnl" w:eastAsia="zh-CN"/>
        </w:rPr>
        <w:t>Basora</w:t>
      </w:r>
      <w:r w:rsidR="00A13BEA" w:rsidRPr="00B924EB">
        <w:rPr>
          <w:rFonts w:eastAsia="SimSun"/>
          <w:lang w:val="es-ES_tradnl" w:eastAsia="zh-CN"/>
        </w:rPr>
        <w:t xml:space="preserve"> </w:t>
      </w:r>
      <w:r w:rsidR="00755C5D" w:rsidRPr="00B924EB">
        <w:rPr>
          <w:rFonts w:eastAsia="SimSun"/>
          <w:lang w:val="es-ES_tradnl" w:eastAsia="zh-CN"/>
        </w:rPr>
        <w:t>y</w:t>
      </w:r>
      <w:r w:rsidR="00A13BEA" w:rsidRPr="00B924EB">
        <w:rPr>
          <w:rFonts w:eastAsia="SimSun"/>
          <w:lang w:val="es-ES_tradnl" w:eastAsia="zh-CN"/>
        </w:rPr>
        <w:t xml:space="preserve"> </w:t>
      </w:r>
      <w:proofErr w:type="spellStart"/>
      <w:r w:rsidR="00CE3653" w:rsidRPr="00B924EB">
        <w:rPr>
          <w:rFonts w:eastAsia="SimSun"/>
          <w:lang w:val="es-ES_tradnl" w:eastAsia="zh-CN"/>
        </w:rPr>
        <w:t>Erbil</w:t>
      </w:r>
      <w:proofErr w:type="spellEnd"/>
      <w:r w:rsidR="00A13BEA" w:rsidRPr="00B924EB">
        <w:rPr>
          <w:rFonts w:eastAsia="SimSun"/>
          <w:lang w:val="es-ES_tradnl" w:eastAsia="zh-CN"/>
        </w:rPr>
        <w:t xml:space="preserve"> </w:t>
      </w:r>
      <w:r w:rsidR="00755C5D" w:rsidRPr="00B924EB">
        <w:rPr>
          <w:rFonts w:eastAsia="SimSun"/>
          <w:lang w:val="es-ES_tradnl" w:eastAsia="zh-CN"/>
        </w:rPr>
        <w:t>y</w:t>
      </w:r>
      <w:r w:rsidR="00A13BEA" w:rsidRPr="00B924EB">
        <w:rPr>
          <w:rFonts w:eastAsia="SimSun"/>
          <w:lang w:val="es-ES_tradnl" w:eastAsia="zh-CN"/>
        </w:rPr>
        <w:t xml:space="preserve"> </w:t>
      </w:r>
      <w:r w:rsidR="0090249E">
        <w:rPr>
          <w:rFonts w:eastAsia="SimSun"/>
          <w:lang w:val="es-ES_tradnl" w:eastAsia="zh-CN"/>
        </w:rPr>
        <w:t xml:space="preserve">se están adquiriendo </w:t>
      </w:r>
      <w:r w:rsidR="00344939" w:rsidRPr="00B924EB">
        <w:rPr>
          <w:rFonts w:eastAsia="SimSun"/>
          <w:lang w:val="es-ES_tradnl" w:eastAsia="zh-CN"/>
        </w:rPr>
        <w:t>200</w:t>
      </w:r>
      <w:r w:rsidR="00A13BEA" w:rsidRPr="00B924EB">
        <w:rPr>
          <w:rFonts w:eastAsia="SimSun"/>
          <w:lang w:val="es-ES_tradnl" w:eastAsia="zh-CN"/>
        </w:rPr>
        <w:t xml:space="preserve"> </w:t>
      </w:r>
      <w:r w:rsidR="0086080E">
        <w:rPr>
          <w:rFonts w:eastAsia="SimSun"/>
          <w:lang w:val="es-ES_tradnl" w:eastAsia="zh-CN"/>
        </w:rPr>
        <w:t>juegos</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9374DA" w:rsidRPr="00B924EB">
        <w:rPr>
          <w:rFonts w:eastAsia="SimSun"/>
          <w:lang w:val="es-ES_tradnl" w:eastAsia="zh-CN"/>
        </w:rPr>
        <w:t>equipos</w:t>
      </w:r>
      <w:r w:rsidR="00A13BEA" w:rsidRPr="00B924EB">
        <w:rPr>
          <w:rFonts w:eastAsia="SimSun"/>
          <w:lang w:val="es-ES_tradnl" w:eastAsia="zh-CN"/>
        </w:rPr>
        <w:t xml:space="preserve"> </w:t>
      </w:r>
      <w:r w:rsidR="00755C5D" w:rsidRPr="00B924EB">
        <w:rPr>
          <w:rFonts w:eastAsia="SimSun"/>
          <w:lang w:val="es-ES_tradnl" w:eastAsia="zh-CN"/>
        </w:rPr>
        <w:t>y</w:t>
      </w:r>
      <w:r w:rsidR="00A13BEA" w:rsidRPr="00B924EB">
        <w:rPr>
          <w:rFonts w:eastAsia="SimSun"/>
          <w:lang w:val="es-ES_tradnl" w:eastAsia="zh-CN"/>
        </w:rPr>
        <w:t xml:space="preserve"> </w:t>
      </w:r>
      <w:r w:rsidR="00E26F0F" w:rsidRPr="00B924EB">
        <w:rPr>
          <w:rFonts w:eastAsia="SimSun"/>
          <w:lang w:val="es-ES_tradnl" w:eastAsia="zh-CN"/>
        </w:rPr>
        <w:t>herramientas</w:t>
      </w:r>
      <w:r w:rsidR="00A13BEA" w:rsidRPr="00B924EB">
        <w:rPr>
          <w:rFonts w:eastAsia="SimSun"/>
          <w:lang w:val="es-ES_tradnl" w:eastAsia="zh-CN"/>
        </w:rPr>
        <w:t xml:space="preserve"> </w:t>
      </w:r>
      <w:r w:rsidR="00EA7A0C">
        <w:rPr>
          <w:rFonts w:eastAsia="SimSun"/>
          <w:lang w:val="es-ES_tradnl" w:eastAsia="zh-CN"/>
        </w:rPr>
        <w:t xml:space="preserve">para potenciar la </w:t>
      </w:r>
      <w:r w:rsidR="00E26F0F" w:rsidRPr="00B924EB">
        <w:rPr>
          <w:rFonts w:eastAsia="SimSun"/>
          <w:lang w:val="es-ES_tradnl" w:eastAsia="zh-CN"/>
        </w:rPr>
        <w:t>infraestructura</w:t>
      </w:r>
      <w:r w:rsidR="00A13BEA" w:rsidRPr="00B924EB">
        <w:rPr>
          <w:rFonts w:eastAsia="SimSun"/>
          <w:lang w:val="es-ES_tradnl" w:eastAsia="zh-CN"/>
        </w:rPr>
        <w:t xml:space="preserve"> </w:t>
      </w:r>
      <w:r w:rsidR="001562A4" w:rsidRPr="00B924EB">
        <w:rPr>
          <w:rFonts w:eastAsia="SimSun"/>
          <w:lang w:val="es-ES_tradnl" w:eastAsia="zh-CN"/>
        </w:rPr>
        <w:t>(</w:t>
      </w:r>
      <w:r w:rsidR="00AB3476">
        <w:rPr>
          <w:rFonts w:eastAsia="SimSun"/>
          <w:lang w:val="es-ES_tradnl" w:eastAsia="zh-CN"/>
        </w:rPr>
        <w:t>unidades de recuperación</w:t>
      </w:r>
      <w:r w:rsidR="00156E15" w:rsidRPr="00B924EB">
        <w:rPr>
          <w:rFonts w:eastAsia="SimSun"/>
          <w:lang w:val="es-ES_tradnl" w:eastAsia="zh-CN"/>
        </w:rPr>
        <w:t>,</w:t>
      </w:r>
      <w:r w:rsidR="00A13BEA" w:rsidRPr="00B924EB">
        <w:rPr>
          <w:rFonts w:eastAsia="SimSun"/>
          <w:lang w:val="es-ES_tradnl" w:eastAsia="zh-CN"/>
        </w:rPr>
        <w:t xml:space="preserve"> </w:t>
      </w:r>
      <w:r w:rsidR="00AB3476">
        <w:rPr>
          <w:rFonts w:eastAsia="SimSun"/>
          <w:lang w:val="es-ES_tradnl" w:eastAsia="zh-CN"/>
        </w:rPr>
        <w:t>juegos de filtros</w:t>
      </w:r>
      <w:r w:rsidR="00CE3653" w:rsidRPr="00B924EB">
        <w:rPr>
          <w:rFonts w:eastAsia="SimSun"/>
          <w:lang w:val="es-ES_tradnl" w:eastAsia="zh-CN"/>
        </w:rPr>
        <w:t>,</w:t>
      </w:r>
      <w:r w:rsidR="00A13BEA" w:rsidRPr="00B924EB">
        <w:rPr>
          <w:rFonts w:eastAsia="SimSun"/>
          <w:lang w:val="es-ES_tradnl" w:eastAsia="zh-CN"/>
        </w:rPr>
        <w:t xml:space="preserve"> </w:t>
      </w:r>
      <w:r w:rsidR="00B924EB">
        <w:rPr>
          <w:rFonts w:eastAsia="SimSun"/>
          <w:lang w:val="es-ES_tradnl" w:eastAsia="zh-CN"/>
        </w:rPr>
        <w:t>cilindros</w:t>
      </w:r>
      <w:r w:rsidR="00A13BEA" w:rsidRPr="00B924EB">
        <w:rPr>
          <w:rFonts w:eastAsia="SimSun"/>
          <w:lang w:val="es-ES_tradnl" w:eastAsia="zh-CN"/>
        </w:rPr>
        <w:t xml:space="preserve"> </w:t>
      </w:r>
      <w:r w:rsidR="00011521">
        <w:rPr>
          <w:rFonts w:eastAsia="SimSun"/>
          <w:lang w:val="es-ES_tradnl" w:eastAsia="zh-CN"/>
        </w:rPr>
        <w:t xml:space="preserve">y </w:t>
      </w:r>
      <w:r w:rsidR="00AB3476">
        <w:rPr>
          <w:rFonts w:eastAsia="SimSun"/>
          <w:lang w:val="es-ES_tradnl" w:eastAsia="zh-CN"/>
        </w:rPr>
        <w:t>juegos de herramientas</w:t>
      </w:r>
      <w:r w:rsidR="001562A4" w:rsidRPr="00B924EB">
        <w:rPr>
          <w:rFonts w:eastAsia="SimSun"/>
          <w:lang w:val="es-ES_tradnl" w:eastAsia="zh-CN"/>
        </w:rPr>
        <w:t>)</w:t>
      </w:r>
      <w:r w:rsidR="00CE3653" w:rsidRPr="00B924EB">
        <w:rPr>
          <w:rFonts w:eastAsia="SimSun"/>
          <w:lang w:val="es-ES_tradnl" w:eastAsia="zh-CN"/>
        </w:rPr>
        <w:t>;</w:t>
      </w:r>
      <w:r w:rsidR="00A13BEA" w:rsidRPr="00B924EB">
        <w:rPr>
          <w:rFonts w:eastAsia="SimSun"/>
          <w:lang w:val="es-ES_tradnl" w:eastAsia="zh-CN"/>
        </w:rPr>
        <w:t xml:space="preserve"> </w:t>
      </w:r>
      <w:r w:rsidR="00755C5D" w:rsidRPr="00B924EB">
        <w:rPr>
          <w:color w:val="000000"/>
          <w:lang w:val="es-ES_tradnl"/>
        </w:rPr>
        <w:t>y</w:t>
      </w:r>
    </w:p>
    <w:p w14:paraId="254D173E" w14:textId="407A7745" w:rsidR="00CE3653" w:rsidRPr="00B924EB" w:rsidRDefault="00346138" w:rsidP="00CE3653">
      <w:pPr>
        <w:pStyle w:val="Heading2"/>
        <w:rPr>
          <w:rFonts w:eastAsia="SimSun"/>
          <w:lang w:val="es-ES_tradnl" w:eastAsia="zh-CN"/>
        </w:rPr>
      </w:pPr>
      <w:r>
        <w:rPr>
          <w:rFonts w:eastAsia="SimSun"/>
          <w:i/>
          <w:lang w:val="es-ES_tradnl" w:eastAsia="zh-CN"/>
        </w:rPr>
        <w:t xml:space="preserve">Gestión y supervisión </w:t>
      </w:r>
      <w:r w:rsidR="00815805">
        <w:rPr>
          <w:rFonts w:eastAsia="SimSun"/>
          <w:i/>
          <w:lang w:val="es-ES_tradnl" w:eastAsia="zh-CN"/>
        </w:rPr>
        <w:t>de las actividades del proyecto</w:t>
      </w:r>
      <w:r w:rsidR="00A13BEA" w:rsidRPr="00B924EB">
        <w:rPr>
          <w:rFonts w:eastAsia="SimSun"/>
          <w:i/>
          <w:lang w:val="es-ES_tradnl" w:eastAsia="zh-CN"/>
        </w:rPr>
        <w:t xml:space="preserve"> </w:t>
      </w:r>
      <w:r w:rsidR="000521A3" w:rsidRPr="00B924EB">
        <w:rPr>
          <w:rFonts w:eastAsia="SimSun"/>
          <w:i/>
          <w:lang w:val="es-ES_tradnl" w:eastAsia="zh-CN"/>
        </w:rPr>
        <w:t>(PNUMA)</w:t>
      </w:r>
      <w:r w:rsidR="00A13BEA" w:rsidRPr="00B924EB">
        <w:rPr>
          <w:rFonts w:eastAsia="SimSun"/>
          <w:i/>
          <w:lang w:val="es-ES_tradnl" w:eastAsia="zh-CN"/>
        </w:rPr>
        <w:t xml:space="preserve"> </w:t>
      </w:r>
      <w:r w:rsidR="00C33AF2">
        <w:rPr>
          <w:rFonts w:eastAsia="SimSun"/>
          <w:i/>
          <w:lang w:val="es-ES_tradnl" w:eastAsia="zh-CN"/>
        </w:rPr>
        <w:t>(</w:t>
      </w:r>
      <w:r w:rsidR="00CE3653" w:rsidRPr="00B924EB">
        <w:rPr>
          <w:rFonts w:eastAsia="SimSun"/>
          <w:i/>
          <w:lang w:val="es-ES_tradnl" w:eastAsia="zh-CN"/>
        </w:rPr>
        <w:t>1</w:t>
      </w:r>
      <w:r w:rsidR="001562A4" w:rsidRPr="00B924EB">
        <w:rPr>
          <w:rFonts w:eastAsia="SimSun"/>
          <w:i/>
          <w:lang w:val="es-ES_tradnl" w:eastAsia="zh-CN"/>
        </w:rPr>
        <w:t>9</w:t>
      </w:r>
      <w:r w:rsidR="00755C5D" w:rsidRPr="00B924EB">
        <w:rPr>
          <w:rFonts w:eastAsia="SimSun"/>
          <w:i/>
          <w:lang w:val="es-ES_tradnl" w:eastAsia="zh-CN"/>
        </w:rPr>
        <w:t>0.</w:t>
      </w:r>
      <w:r w:rsidR="001562A4" w:rsidRPr="00B924EB">
        <w:rPr>
          <w:rFonts w:eastAsia="SimSun"/>
          <w:i/>
          <w:lang w:val="es-ES_tradnl" w:eastAsia="zh-CN"/>
        </w:rPr>
        <w:t>0</w:t>
      </w:r>
      <w:r w:rsidR="00CE3653" w:rsidRPr="00B924EB">
        <w:rPr>
          <w:rFonts w:eastAsia="SimSun"/>
          <w:i/>
          <w:lang w:val="es-ES_tradnl" w:eastAsia="zh-CN"/>
        </w:rPr>
        <w:t>00</w:t>
      </w:r>
      <w:r w:rsidR="007D27B1" w:rsidRPr="007D27B1">
        <w:rPr>
          <w:rFonts w:eastAsia="SimSun"/>
          <w:i/>
          <w:lang w:val="es-ES_tradnl" w:eastAsia="zh-CN"/>
        </w:rPr>
        <w:t xml:space="preserve"> $EUA</w:t>
      </w:r>
      <w:r w:rsidR="00CE3653" w:rsidRPr="00B924EB">
        <w:rPr>
          <w:rFonts w:eastAsia="SimSun"/>
          <w:i/>
          <w:lang w:val="es-ES_tradnl" w:eastAsia="zh-CN"/>
        </w:rPr>
        <w:t>)</w:t>
      </w:r>
      <w:r w:rsidR="00CE3653" w:rsidRPr="00B924EB">
        <w:rPr>
          <w:rFonts w:eastAsia="SimSun"/>
          <w:lang w:val="es-ES_tradnl" w:eastAsia="zh-CN"/>
        </w:rPr>
        <w:t>:</w:t>
      </w:r>
      <w:r w:rsidR="00A13BEA" w:rsidRPr="00B924EB">
        <w:rPr>
          <w:rFonts w:eastAsia="SimSun"/>
          <w:lang w:val="es-ES_tradnl" w:eastAsia="zh-CN"/>
        </w:rPr>
        <w:t xml:space="preserve"> </w:t>
      </w:r>
      <w:r w:rsidR="00742FF9">
        <w:rPr>
          <w:rFonts w:eastAsia="SimSun"/>
          <w:lang w:val="es-ES_tradnl" w:eastAsia="zh-CN"/>
        </w:rPr>
        <w:t xml:space="preserve">Se entregó </w:t>
      </w:r>
      <w:r w:rsidR="001A0923" w:rsidRPr="001A0923">
        <w:rPr>
          <w:rFonts w:eastAsia="SimSun"/>
          <w:lang w:val="es-ES_tradnl" w:eastAsia="zh-CN"/>
        </w:rPr>
        <w:t xml:space="preserve">a la ONO </w:t>
      </w:r>
      <w:r w:rsidR="00E26F0F" w:rsidRPr="00B924EB">
        <w:rPr>
          <w:rFonts w:eastAsia="SimSun"/>
          <w:lang w:val="es-ES_tradnl" w:eastAsia="zh-CN"/>
        </w:rPr>
        <w:t>coordinación</w:t>
      </w:r>
      <w:r w:rsidR="00E420FC">
        <w:rPr>
          <w:rFonts w:eastAsia="SimSun"/>
          <w:lang w:val="es-ES_tradnl" w:eastAsia="zh-CN"/>
        </w:rPr>
        <w:t xml:space="preserve"> para la </w:t>
      </w:r>
      <w:r w:rsidR="00D848E4">
        <w:rPr>
          <w:rFonts w:eastAsia="SimSun"/>
          <w:lang w:val="es-ES_tradnl" w:eastAsia="zh-CN"/>
        </w:rPr>
        <w:t>ejecución</w:t>
      </w:r>
      <w:r w:rsidR="00A13BEA" w:rsidRPr="00B924EB">
        <w:rPr>
          <w:rFonts w:eastAsia="SimSun"/>
          <w:lang w:val="es-ES_tradnl" w:eastAsia="zh-CN"/>
        </w:rPr>
        <w:t xml:space="preserve"> </w:t>
      </w:r>
      <w:r w:rsidR="00755C5D" w:rsidRPr="00B924EB">
        <w:rPr>
          <w:rFonts w:eastAsia="SimSun"/>
          <w:lang w:val="es-ES_tradnl" w:eastAsia="zh-CN"/>
        </w:rPr>
        <w:t>del</w:t>
      </w:r>
      <w:r w:rsidR="00A13BEA" w:rsidRPr="00B924EB">
        <w:rPr>
          <w:rFonts w:eastAsia="SimSun"/>
          <w:lang w:val="es-ES_tradnl" w:eastAsia="zh-CN"/>
        </w:rPr>
        <w:t xml:space="preserve"> </w:t>
      </w:r>
      <w:r w:rsidR="00755C5D" w:rsidRPr="00B924EB">
        <w:rPr>
          <w:rFonts w:eastAsia="SimSun"/>
          <w:lang w:val="es-ES_tradnl" w:eastAsia="zh-CN"/>
        </w:rPr>
        <w:t>PGEH</w:t>
      </w:r>
      <w:r w:rsidR="00A13BEA" w:rsidRPr="00B924EB">
        <w:rPr>
          <w:rFonts w:eastAsia="SimSun"/>
          <w:lang w:val="es-ES_tradnl" w:eastAsia="zh-CN"/>
        </w:rPr>
        <w:t xml:space="preserve"> </w:t>
      </w:r>
      <w:r w:rsidR="00755C5D" w:rsidRPr="00B924EB">
        <w:rPr>
          <w:rFonts w:eastAsia="SimSun"/>
          <w:lang w:val="es-ES_tradnl" w:eastAsia="zh-CN"/>
        </w:rPr>
        <w:t>y</w:t>
      </w:r>
      <w:r w:rsidR="00A13BEA" w:rsidRPr="00B924EB">
        <w:rPr>
          <w:rFonts w:eastAsia="SimSun"/>
          <w:lang w:val="es-ES_tradnl" w:eastAsia="zh-CN"/>
        </w:rPr>
        <w:t xml:space="preserve"> </w:t>
      </w:r>
      <w:r w:rsidR="00E71D76">
        <w:rPr>
          <w:rFonts w:eastAsia="SimSun"/>
          <w:lang w:val="es-ES_tradnl" w:eastAsia="zh-CN"/>
        </w:rPr>
        <w:t xml:space="preserve">apoyo </w:t>
      </w:r>
      <w:r w:rsidR="000D523A">
        <w:rPr>
          <w:rFonts w:eastAsia="SimSun"/>
          <w:lang w:val="es-ES_tradnl" w:eastAsia="zh-CN"/>
        </w:rPr>
        <w:t xml:space="preserve">para </w:t>
      </w:r>
      <w:r w:rsidR="00F141E6">
        <w:rPr>
          <w:rFonts w:eastAsia="SimSun"/>
          <w:lang w:val="es-ES_tradnl" w:eastAsia="zh-CN"/>
        </w:rPr>
        <w:t xml:space="preserve">controlar </w:t>
      </w:r>
      <w:r w:rsidR="00755C5D" w:rsidRPr="00B924EB">
        <w:rPr>
          <w:rFonts w:eastAsia="SimSun"/>
          <w:lang w:val="es-ES_tradnl" w:eastAsia="zh-CN"/>
        </w:rPr>
        <w:t>la</w:t>
      </w:r>
      <w:r w:rsidR="00A13BEA" w:rsidRPr="00B924EB">
        <w:rPr>
          <w:rFonts w:eastAsia="SimSun"/>
          <w:lang w:val="es-ES_tradnl" w:eastAsia="zh-CN"/>
        </w:rPr>
        <w:t xml:space="preserve"> </w:t>
      </w:r>
      <w:r w:rsidR="00F41AD4">
        <w:rPr>
          <w:rFonts w:eastAsia="SimSun"/>
          <w:lang w:val="es-ES_tradnl" w:eastAsia="zh-CN"/>
        </w:rPr>
        <w:t>ejecución</w:t>
      </w:r>
      <w:r w:rsidR="00CE3653" w:rsidRPr="00B924EB">
        <w:rPr>
          <w:rFonts w:eastAsia="SimSun"/>
          <w:lang w:val="es-ES_tradnl" w:eastAsia="zh-CN"/>
        </w:rPr>
        <w:t>,</w:t>
      </w:r>
      <w:r w:rsidR="00A13BEA" w:rsidRPr="00B924EB">
        <w:rPr>
          <w:rFonts w:eastAsia="SimSun"/>
          <w:lang w:val="es-ES_tradnl" w:eastAsia="zh-CN"/>
        </w:rPr>
        <w:t xml:space="preserve"> </w:t>
      </w:r>
      <w:r w:rsidR="00E26F0F" w:rsidRPr="00B924EB">
        <w:rPr>
          <w:rFonts w:eastAsia="SimSun"/>
          <w:lang w:val="es-ES_tradnl" w:eastAsia="zh-CN"/>
        </w:rPr>
        <w:t>incluyendo</w:t>
      </w:r>
      <w:r w:rsidR="00A13BEA" w:rsidRPr="00B924EB">
        <w:rPr>
          <w:rFonts w:eastAsia="SimSun"/>
          <w:lang w:val="es-ES_tradnl" w:eastAsia="zh-CN"/>
        </w:rPr>
        <w:t xml:space="preserve"> </w:t>
      </w:r>
      <w:r w:rsidR="0062234F">
        <w:rPr>
          <w:rFonts w:eastAsia="SimSun"/>
          <w:lang w:val="es-ES_tradnl" w:eastAsia="zh-CN"/>
        </w:rPr>
        <w:t>organización</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9374DA" w:rsidRPr="00B924EB">
        <w:rPr>
          <w:rFonts w:eastAsia="SimSun"/>
          <w:lang w:val="es-ES_tradnl" w:eastAsia="zh-CN"/>
        </w:rPr>
        <w:t>talleres</w:t>
      </w:r>
      <w:r w:rsidR="00024C8D" w:rsidRPr="00B924EB">
        <w:rPr>
          <w:rFonts w:eastAsia="SimSun"/>
          <w:lang w:val="es-ES_tradnl" w:eastAsia="zh-CN"/>
        </w:rPr>
        <w:t>,</w:t>
      </w:r>
      <w:r w:rsidR="00A13BEA" w:rsidRPr="00B924EB">
        <w:rPr>
          <w:rFonts w:eastAsia="SimSun"/>
          <w:lang w:val="es-ES_tradnl" w:eastAsia="zh-CN"/>
        </w:rPr>
        <w:t xml:space="preserve"> </w:t>
      </w:r>
      <w:r w:rsidR="0062234F">
        <w:rPr>
          <w:rFonts w:eastAsia="SimSun"/>
          <w:lang w:val="es-ES_tradnl" w:eastAsia="zh-CN"/>
        </w:rPr>
        <w:t>programas y eventos de capacitación</w:t>
      </w:r>
      <w:r w:rsidR="00024C8D" w:rsidRPr="00B924EB">
        <w:rPr>
          <w:rFonts w:eastAsia="SimSun"/>
          <w:lang w:val="es-ES_tradnl" w:eastAsia="zh-CN"/>
        </w:rPr>
        <w:t>,</w:t>
      </w:r>
      <w:r w:rsidR="00A13BEA" w:rsidRPr="00B924EB">
        <w:rPr>
          <w:rFonts w:eastAsia="SimSun"/>
          <w:lang w:val="es-ES_tradnl" w:eastAsia="zh-CN"/>
        </w:rPr>
        <w:t xml:space="preserve"> </w:t>
      </w:r>
      <w:r w:rsidR="00A17F65">
        <w:rPr>
          <w:rFonts w:eastAsia="SimSun"/>
          <w:lang w:val="es-ES_tradnl" w:eastAsia="zh-CN"/>
        </w:rPr>
        <w:t>coordinación</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9374DA" w:rsidRPr="00B924EB">
        <w:rPr>
          <w:rFonts w:eastAsia="SimSun"/>
          <w:lang w:val="es-ES_tradnl" w:eastAsia="zh-CN"/>
        </w:rPr>
        <w:t>reuniones</w:t>
      </w:r>
      <w:r w:rsidR="00A13BEA" w:rsidRPr="00B924EB">
        <w:rPr>
          <w:rFonts w:eastAsia="SimSun"/>
          <w:lang w:val="es-ES_tradnl" w:eastAsia="zh-CN"/>
        </w:rPr>
        <w:t xml:space="preserve"> </w:t>
      </w:r>
      <w:r w:rsidR="009374DA" w:rsidRPr="00B924EB">
        <w:rPr>
          <w:rFonts w:eastAsia="SimSun"/>
          <w:lang w:val="es-ES_tradnl" w:eastAsia="zh-CN"/>
        </w:rPr>
        <w:t>con</w:t>
      </w:r>
      <w:r w:rsidR="00A13BEA" w:rsidRPr="00B924EB">
        <w:rPr>
          <w:rFonts w:eastAsia="SimSun"/>
          <w:lang w:val="es-ES_tradnl" w:eastAsia="zh-CN"/>
        </w:rPr>
        <w:t xml:space="preserve"> </w:t>
      </w:r>
      <w:r w:rsidR="00443CCE">
        <w:rPr>
          <w:rFonts w:eastAsia="SimSun"/>
          <w:lang w:val="es-ES_tradnl" w:eastAsia="zh-CN"/>
        </w:rPr>
        <w:t>actores intervinientes</w:t>
      </w:r>
      <w:r w:rsidR="00A13BEA" w:rsidRPr="00B924EB">
        <w:rPr>
          <w:rFonts w:eastAsia="SimSun"/>
          <w:lang w:val="es-ES_tradnl" w:eastAsia="zh-CN"/>
        </w:rPr>
        <w:t xml:space="preserve"> </w:t>
      </w:r>
      <w:r w:rsidR="00755C5D" w:rsidRPr="00B924EB">
        <w:rPr>
          <w:rFonts w:eastAsia="SimSun"/>
          <w:lang w:val="es-ES_tradnl" w:eastAsia="zh-CN"/>
        </w:rPr>
        <w:t>y</w:t>
      </w:r>
      <w:r w:rsidR="00A13BEA" w:rsidRPr="00B924EB">
        <w:rPr>
          <w:rFonts w:eastAsia="SimSun"/>
          <w:lang w:val="es-ES_tradnl" w:eastAsia="zh-CN"/>
        </w:rPr>
        <w:t xml:space="preserve"> </w:t>
      </w:r>
      <w:r w:rsidR="00E06993">
        <w:rPr>
          <w:rFonts w:eastAsia="SimSun"/>
          <w:lang w:val="es-ES_tradnl" w:eastAsia="zh-CN"/>
        </w:rPr>
        <w:t xml:space="preserve">apoyo al </w:t>
      </w:r>
      <w:r w:rsidR="00E71C0B">
        <w:rPr>
          <w:rFonts w:eastAsia="SimSun"/>
          <w:lang w:val="es-ES_tradnl" w:eastAsia="zh-CN"/>
        </w:rPr>
        <w:t>proceso de verificación</w:t>
      </w:r>
      <w:r w:rsidR="00CE3653" w:rsidRPr="00B924EB">
        <w:rPr>
          <w:rFonts w:eastAsia="SimSun"/>
          <w:lang w:val="es-ES_tradnl" w:eastAsia="zh-CN"/>
        </w:rPr>
        <w:t>.</w:t>
      </w:r>
    </w:p>
    <w:p w14:paraId="198164EA" w14:textId="2D72982B" w:rsidR="00915176" w:rsidRPr="00B924EB" w:rsidRDefault="008D1E6F" w:rsidP="00E95157">
      <w:pPr>
        <w:pStyle w:val="Heading1"/>
        <w:rPr>
          <w:lang w:val="es-ES_tradnl"/>
        </w:rPr>
      </w:pPr>
      <w:r>
        <w:rPr>
          <w:lang w:val="es-ES_tradnl"/>
        </w:rPr>
        <w:t>Logros</w:t>
      </w:r>
      <w:r w:rsidR="00B11B2B">
        <w:rPr>
          <w:lang w:val="es-ES_tradnl"/>
        </w:rPr>
        <w:t xml:space="preserve"> tras</w:t>
      </w:r>
      <w:r w:rsidR="00A13BEA" w:rsidRPr="00B924EB">
        <w:rPr>
          <w:lang w:val="es-ES_tradnl"/>
        </w:rPr>
        <w:t xml:space="preserve"> </w:t>
      </w:r>
      <w:r w:rsidR="00E74272" w:rsidRPr="00B924EB">
        <w:rPr>
          <w:lang w:val="es-ES_tradnl"/>
        </w:rPr>
        <w:t>la</w:t>
      </w:r>
      <w:r w:rsidR="00A13BEA" w:rsidRPr="00B924EB">
        <w:rPr>
          <w:lang w:val="es-ES_tradnl"/>
        </w:rPr>
        <w:t xml:space="preserve"> </w:t>
      </w:r>
      <w:r w:rsidR="00E74272" w:rsidRPr="00B924EB">
        <w:rPr>
          <w:lang w:val="es-ES_tradnl"/>
        </w:rPr>
        <w:t>aprobación</w:t>
      </w:r>
      <w:r w:rsidR="00A13BEA" w:rsidRPr="00B924EB">
        <w:rPr>
          <w:lang w:val="es-ES_tradnl"/>
        </w:rPr>
        <w:t xml:space="preserve"> </w:t>
      </w:r>
      <w:r w:rsidR="00E26F0F" w:rsidRPr="00B924EB">
        <w:rPr>
          <w:lang w:val="es-ES_tradnl"/>
        </w:rPr>
        <w:t>del</w:t>
      </w:r>
      <w:r w:rsidR="00A13BEA" w:rsidRPr="00B924EB">
        <w:rPr>
          <w:lang w:val="es-ES_tradnl"/>
        </w:rPr>
        <w:t xml:space="preserve"> </w:t>
      </w:r>
      <w:r w:rsidR="002301A5">
        <w:rPr>
          <w:lang w:val="es-ES_tradnl"/>
        </w:rPr>
        <w:t>tercer y último</w:t>
      </w:r>
      <w:r w:rsidR="00A13BEA" w:rsidRPr="00B924EB">
        <w:rPr>
          <w:lang w:val="es-ES_tradnl"/>
        </w:rPr>
        <w:t xml:space="preserve"> </w:t>
      </w:r>
      <w:r w:rsidR="00755C5D" w:rsidRPr="00B924EB">
        <w:rPr>
          <w:lang w:val="es-ES_tradnl"/>
        </w:rPr>
        <w:t>tramo</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915176" w:rsidRPr="00B924EB">
        <w:rPr>
          <w:lang w:val="es-ES_tradnl"/>
        </w:rPr>
        <w:t>:</w:t>
      </w:r>
    </w:p>
    <w:p w14:paraId="3FD4327D" w14:textId="6A85278C" w:rsidR="00915176" w:rsidRPr="00B924EB" w:rsidRDefault="003E2ED6" w:rsidP="00E269B0">
      <w:pPr>
        <w:pStyle w:val="Heading2"/>
        <w:rPr>
          <w:lang w:val="es-ES_tradnl"/>
        </w:rPr>
      </w:pPr>
      <w:r>
        <w:rPr>
          <w:lang w:val="es-ES_tradnl"/>
        </w:rPr>
        <w:t xml:space="preserve">Se concluyó </w:t>
      </w:r>
      <w:r w:rsidR="008A4CCA">
        <w:rPr>
          <w:lang w:val="es-ES_tradnl"/>
        </w:rPr>
        <w:t xml:space="preserve">el borrador </w:t>
      </w:r>
      <w:r w:rsidR="00AA053D">
        <w:rPr>
          <w:lang w:val="es-ES_tradnl"/>
        </w:rPr>
        <w:t>final</w:t>
      </w:r>
      <w:r w:rsidR="00C5636F">
        <w:rPr>
          <w:lang w:val="es-ES_tradnl"/>
        </w:rPr>
        <w:t xml:space="preserve"> </w:t>
      </w:r>
      <w:r w:rsidR="003C2CEC">
        <w:rPr>
          <w:lang w:val="es-ES_tradnl"/>
        </w:rPr>
        <w:t xml:space="preserve">que </w:t>
      </w:r>
      <w:r w:rsidR="000A217C">
        <w:rPr>
          <w:lang w:val="es-ES_tradnl"/>
        </w:rPr>
        <w:t xml:space="preserve">agrega </w:t>
      </w:r>
      <w:r w:rsidR="002D3D0B">
        <w:rPr>
          <w:lang w:val="es-ES_tradnl"/>
        </w:rPr>
        <w:t xml:space="preserve">un </w:t>
      </w:r>
      <w:r w:rsidR="001A1006" w:rsidRPr="00B924EB">
        <w:rPr>
          <w:lang w:val="es-ES_tradnl"/>
        </w:rPr>
        <w:t>texto</w:t>
      </w:r>
      <w:r w:rsidR="00A13BEA" w:rsidRPr="00B924EB">
        <w:rPr>
          <w:lang w:val="es-ES_tradnl"/>
        </w:rPr>
        <w:t xml:space="preserve"> </w:t>
      </w:r>
      <w:r w:rsidR="002D3D0B">
        <w:rPr>
          <w:lang w:val="es-ES_tradnl"/>
        </w:rPr>
        <w:t xml:space="preserve">sobre </w:t>
      </w:r>
      <w:r w:rsidR="00D4642A">
        <w:rPr>
          <w:lang w:val="es-ES_tradnl"/>
        </w:rPr>
        <w:t xml:space="preserve">HFC </w:t>
      </w:r>
      <w:r w:rsidR="003C2CEC">
        <w:rPr>
          <w:lang w:val="es-ES_tradnl"/>
        </w:rPr>
        <w:t xml:space="preserve">a </w:t>
      </w:r>
      <w:r w:rsidR="003C2CEC" w:rsidRPr="003C2CEC">
        <w:rPr>
          <w:lang w:val="es-ES_tradnl"/>
        </w:rPr>
        <w:t>la norma legal</w:t>
      </w:r>
      <w:r w:rsidR="002620C3" w:rsidRPr="00B924EB">
        <w:rPr>
          <w:lang w:val="es-ES_tradnl"/>
        </w:rPr>
        <w:t>,</w:t>
      </w:r>
      <w:r w:rsidR="00A13BEA" w:rsidRPr="00B924EB">
        <w:rPr>
          <w:lang w:val="es-ES_tradnl"/>
        </w:rPr>
        <w:t xml:space="preserve"> </w:t>
      </w:r>
      <w:r w:rsidR="008440F0">
        <w:rPr>
          <w:lang w:val="es-ES_tradnl"/>
        </w:rPr>
        <w:t xml:space="preserve">se presentó </w:t>
      </w:r>
      <w:r w:rsidR="004C1EEF">
        <w:rPr>
          <w:lang w:val="es-ES_tradnl"/>
        </w:rPr>
        <w:t xml:space="preserve">a los cuerpos </w:t>
      </w:r>
      <w:r w:rsidR="003E1055">
        <w:rPr>
          <w:lang w:val="es-ES_tradnl"/>
        </w:rPr>
        <w:t>legislativos</w:t>
      </w:r>
      <w:r w:rsidR="00A13BEA" w:rsidRPr="00B924EB">
        <w:rPr>
          <w:lang w:val="es-ES_tradnl"/>
        </w:rPr>
        <w:t xml:space="preserve"> </w:t>
      </w:r>
      <w:r w:rsidR="004135A5" w:rsidRPr="00B924EB">
        <w:rPr>
          <w:lang w:val="es-ES_tradnl"/>
        </w:rPr>
        <w:t xml:space="preserve">para </w:t>
      </w:r>
      <w:r w:rsidR="003E1055">
        <w:rPr>
          <w:lang w:val="es-ES_tradnl"/>
        </w:rPr>
        <w:t xml:space="preserve">su </w:t>
      </w:r>
      <w:r w:rsidR="00DB3D7B" w:rsidRPr="00B924EB">
        <w:rPr>
          <w:lang w:val="es-ES_tradnl"/>
        </w:rPr>
        <w:t>adopción</w:t>
      </w:r>
      <w:r w:rsidR="00A13BEA" w:rsidRPr="00B924EB">
        <w:rPr>
          <w:lang w:val="es-ES_tradnl"/>
        </w:rPr>
        <w:t xml:space="preserve"> </w:t>
      </w:r>
      <w:r w:rsidR="00755C5D" w:rsidRPr="00B924EB">
        <w:rPr>
          <w:lang w:val="es-ES_tradnl"/>
        </w:rPr>
        <w:t>y</w:t>
      </w:r>
      <w:r w:rsidR="00A13BEA" w:rsidRPr="00B924EB">
        <w:rPr>
          <w:lang w:val="es-ES_tradnl"/>
        </w:rPr>
        <w:t xml:space="preserve"> </w:t>
      </w:r>
      <w:r w:rsidR="004B32E7">
        <w:rPr>
          <w:lang w:val="es-ES_tradnl"/>
        </w:rPr>
        <w:t xml:space="preserve">se </w:t>
      </w:r>
      <w:r w:rsidR="003F3621">
        <w:rPr>
          <w:lang w:val="es-ES_tradnl"/>
        </w:rPr>
        <w:t xml:space="preserve">elaboró </w:t>
      </w:r>
      <w:r w:rsidR="00DA4850">
        <w:rPr>
          <w:lang w:val="es-ES_tradnl"/>
        </w:rPr>
        <w:t xml:space="preserve">un formulario </w:t>
      </w:r>
      <w:r w:rsidR="001A7749">
        <w:rPr>
          <w:lang w:val="es-ES_tradnl"/>
        </w:rPr>
        <w:t xml:space="preserve">en línea </w:t>
      </w:r>
      <w:r w:rsidR="00934B9B">
        <w:rPr>
          <w:lang w:val="es-ES_tradnl"/>
        </w:rPr>
        <w:t>para e</w:t>
      </w:r>
      <w:r w:rsidR="0018715B">
        <w:rPr>
          <w:lang w:val="es-ES_tradnl"/>
        </w:rPr>
        <w:t xml:space="preserve">l </w:t>
      </w:r>
      <w:r w:rsidR="008B307E">
        <w:rPr>
          <w:lang w:val="es-ES_tradnl" w:bidi="ar-IQ"/>
        </w:rPr>
        <w:t>sistema electrónico de licencias de importación</w:t>
      </w:r>
      <w:r w:rsidR="00A13BEA" w:rsidRPr="00B924EB">
        <w:rPr>
          <w:lang w:val="es-ES_tradnl" w:bidi="ar-IQ"/>
        </w:rPr>
        <w:t xml:space="preserve"> </w:t>
      </w:r>
      <w:r w:rsidR="003208A7" w:rsidRPr="00B924EB">
        <w:rPr>
          <w:lang w:val="es-ES_tradnl" w:bidi="ar-IQ"/>
        </w:rPr>
        <w:t>de</w:t>
      </w:r>
      <w:r w:rsidR="00A13BEA" w:rsidRPr="00B924EB">
        <w:rPr>
          <w:lang w:val="es-ES_tradnl" w:bidi="ar-IQ"/>
        </w:rPr>
        <w:t xml:space="preserve"> </w:t>
      </w:r>
      <w:r w:rsidR="003208A7" w:rsidRPr="00B924EB">
        <w:rPr>
          <w:lang w:val="es-ES_tradnl" w:bidi="ar-IQ"/>
        </w:rPr>
        <w:t>SAO</w:t>
      </w:r>
      <w:r w:rsidR="00BE689A" w:rsidRPr="00B924EB">
        <w:rPr>
          <w:lang w:val="es-ES_tradnl" w:bidi="ar-IQ"/>
        </w:rPr>
        <w:t>;</w:t>
      </w:r>
    </w:p>
    <w:p w14:paraId="4AA1C8D7" w14:textId="29F2BD4E" w:rsidR="00232333" w:rsidRPr="00B924EB" w:rsidRDefault="00DE08B5" w:rsidP="00930DB7">
      <w:pPr>
        <w:pStyle w:val="Heading2"/>
        <w:rPr>
          <w:lang w:val="es-ES_tradnl"/>
        </w:rPr>
      </w:pPr>
      <w:r>
        <w:rPr>
          <w:lang w:val="es-ES_tradnl"/>
        </w:rPr>
        <w:t xml:space="preserve">Se actualizaron </w:t>
      </w:r>
      <w:r w:rsidR="00A820E5">
        <w:rPr>
          <w:lang w:val="es-ES_tradnl"/>
        </w:rPr>
        <w:t xml:space="preserve">los </w:t>
      </w:r>
      <w:r w:rsidR="00363607" w:rsidRPr="00B924EB">
        <w:rPr>
          <w:lang w:val="es-ES_tradnl"/>
        </w:rPr>
        <w:t>códigos</w:t>
      </w:r>
      <w:r w:rsidR="00A13BEA" w:rsidRPr="00B924EB">
        <w:rPr>
          <w:lang w:val="es-ES_tradnl"/>
        </w:rPr>
        <w:t xml:space="preserve"> </w:t>
      </w:r>
      <w:r w:rsidR="009F41F8">
        <w:rPr>
          <w:lang w:val="es-ES_tradnl"/>
        </w:rPr>
        <w:t xml:space="preserve">en materia de </w:t>
      </w:r>
      <w:r w:rsidR="00755C5D" w:rsidRPr="00B924EB">
        <w:rPr>
          <w:lang w:val="es-ES_tradnl"/>
        </w:rPr>
        <w:t>refrigeración</w:t>
      </w:r>
      <w:r w:rsidR="00232333" w:rsidRPr="00B924EB">
        <w:rPr>
          <w:lang w:val="es-ES_tradnl"/>
        </w:rPr>
        <w:t>,</w:t>
      </w:r>
      <w:r w:rsidR="00A13BEA" w:rsidRPr="00B924EB">
        <w:rPr>
          <w:lang w:val="es-ES_tradnl"/>
        </w:rPr>
        <w:t xml:space="preserve"> </w:t>
      </w:r>
      <w:r w:rsidR="00D01DC2" w:rsidRPr="00B924EB">
        <w:rPr>
          <w:lang w:val="es-ES_tradnl"/>
        </w:rPr>
        <w:t>climatización</w:t>
      </w:r>
      <w:r w:rsidR="00232333" w:rsidRPr="00B924EB">
        <w:rPr>
          <w:lang w:val="es-ES_tradnl"/>
        </w:rPr>
        <w:t>,</w:t>
      </w:r>
      <w:r w:rsidR="00A13BEA" w:rsidRPr="00B924EB">
        <w:rPr>
          <w:lang w:val="es-ES_tradnl"/>
        </w:rPr>
        <w:t xml:space="preserve"> </w:t>
      </w:r>
      <w:r w:rsidR="00551FAF">
        <w:rPr>
          <w:lang w:val="es-ES_tradnl"/>
        </w:rPr>
        <w:t>aislamiento térmico</w:t>
      </w:r>
      <w:r w:rsidR="00A13BEA" w:rsidRPr="00B924EB">
        <w:rPr>
          <w:lang w:val="es-ES_tradnl"/>
        </w:rPr>
        <w:t xml:space="preserve"> </w:t>
      </w:r>
      <w:r w:rsidR="00755C5D" w:rsidRPr="00B924EB">
        <w:rPr>
          <w:lang w:val="es-ES_tradnl"/>
        </w:rPr>
        <w:t>y</w:t>
      </w:r>
      <w:r w:rsidR="00A13BEA" w:rsidRPr="00B924EB">
        <w:rPr>
          <w:lang w:val="es-ES_tradnl"/>
        </w:rPr>
        <w:t xml:space="preserve"> </w:t>
      </w:r>
      <w:r w:rsidR="00A771E6">
        <w:rPr>
          <w:lang w:val="es-ES_tradnl"/>
        </w:rPr>
        <w:t>calefacción central</w:t>
      </w:r>
      <w:r w:rsidR="00232333" w:rsidRPr="00B924EB">
        <w:rPr>
          <w:lang w:val="es-ES_tradnl"/>
        </w:rPr>
        <w:t>,</w:t>
      </w:r>
      <w:r w:rsidR="00AA5908" w:rsidRPr="00B924EB">
        <w:rPr>
          <w:rStyle w:val="FootnoteReference"/>
          <w:lang w:val="es-ES_tradnl"/>
        </w:rPr>
        <w:footnoteReference w:id="8"/>
      </w:r>
      <w:r w:rsidR="00A13BEA" w:rsidRPr="00B924EB">
        <w:rPr>
          <w:lang w:val="es-ES_tradnl"/>
        </w:rPr>
        <w:t xml:space="preserve"> </w:t>
      </w:r>
      <w:r w:rsidR="00FA36F4">
        <w:rPr>
          <w:lang w:val="es-ES_tradnl"/>
        </w:rPr>
        <w:t xml:space="preserve">los </w:t>
      </w:r>
      <w:r w:rsidR="00BF250E">
        <w:rPr>
          <w:lang w:val="es-ES_tradnl"/>
        </w:rPr>
        <w:t xml:space="preserve">que </w:t>
      </w:r>
      <w:r w:rsidR="00637A91">
        <w:rPr>
          <w:lang w:val="es-ES_tradnl"/>
        </w:rPr>
        <w:t xml:space="preserve">hoy </w:t>
      </w:r>
      <w:r w:rsidR="00ED7C25">
        <w:rPr>
          <w:lang w:val="es-ES_tradnl"/>
        </w:rPr>
        <w:t xml:space="preserve">están a la espera de ser </w:t>
      </w:r>
      <w:r w:rsidR="00755C5D" w:rsidRPr="00B924EB">
        <w:rPr>
          <w:lang w:val="es-ES_tradnl"/>
        </w:rPr>
        <w:t>aprobado</w:t>
      </w:r>
      <w:r w:rsidR="00ED7C25">
        <w:rPr>
          <w:lang w:val="es-ES_tradnl"/>
        </w:rPr>
        <w:t>s</w:t>
      </w:r>
      <w:r w:rsidR="00A13BEA" w:rsidRPr="00B924EB">
        <w:rPr>
          <w:lang w:val="es-ES_tradnl"/>
        </w:rPr>
        <w:t xml:space="preserve"> </w:t>
      </w:r>
      <w:r w:rsidR="004135A5" w:rsidRPr="00B924EB">
        <w:rPr>
          <w:lang w:val="es-ES_tradnl"/>
        </w:rPr>
        <w:t>por</w:t>
      </w:r>
      <w:r w:rsidR="00A13BEA" w:rsidRPr="00B924EB">
        <w:rPr>
          <w:lang w:val="es-ES_tradnl"/>
        </w:rPr>
        <w:t xml:space="preserve"> </w:t>
      </w:r>
      <w:r w:rsidR="00ED7C25">
        <w:rPr>
          <w:lang w:val="es-ES_tradnl"/>
        </w:rPr>
        <w:t xml:space="preserve">el </w:t>
      </w:r>
      <w:r w:rsidR="00C700EA">
        <w:rPr>
          <w:lang w:val="es-ES_tradnl"/>
        </w:rPr>
        <w:t>Comité Nacional</w:t>
      </w:r>
      <w:r w:rsidR="00A13BEA" w:rsidRPr="00B924EB">
        <w:rPr>
          <w:lang w:val="es-ES_tradnl"/>
        </w:rPr>
        <w:t xml:space="preserve"> </w:t>
      </w:r>
      <w:r w:rsidR="008B4BB5">
        <w:rPr>
          <w:lang w:val="es-ES_tradnl"/>
        </w:rPr>
        <w:t xml:space="preserve">de </w:t>
      </w:r>
      <w:r w:rsidR="004B0CA3" w:rsidRPr="00B924EB">
        <w:rPr>
          <w:lang w:val="es-ES_tradnl"/>
        </w:rPr>
        <w:t>Normas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244A3A" w:rsidRPr="00244A3A">
        <w:rPr>
          <w:lang w:val="es-ES_tradnl"/>
        </w:rPr>
        <w:t xml:space="preserve">Códigos </w:t>
      </w:r>
      <w:r w:rsidR="00244A3A">
        <w:rPr>
          <w:lang w:val="es-ES_tradnl"/>
        </w:rPr>
        <w:t>para su aplicación obligatoria</w:t>
      </w:r>
      <w:r w:rsidR="00432F44" w:rsidRPr="00B924EB">
        <w:rPr>
          <w:lang w:val="es-ES_tradnl"/>
        </w:rPr>
        <w:t>;</w:t>
      </w:r>
    </w:p>
    <w:p w14:paraId="3BA2BB5E" w14:textId="1DFC597C" w:rsidR="00432F44" w:rsidRPr="00B924EB" w:rsidRDefault="00436F6D" w:rsidP="00697D05">
      <w:pPr>
        <w:pStyle w:val="Heading2"/>
        <w:rPr>
          <w:lang w:val="es-ES_tradnl"/>
        </w:rPr>
      </w:pPr>
      <w:r>
        <w:rPr>
          <w:lang w:val="es-ES_tradnl"/>
        </w:rPr>
        <w:t xml:space="preserve">Se concluyó y adoptó un código </w:t>
      </w:r>
      <w:r w:rsidRPr="00436F6D">
        <w:rPr>
          <w:lang w:val="es-ES_tradnl"/>
        </w:rPr>
        <w:t xml:space="preserve">nacional </w:t>
      </w:r>
      <w:r>
        <w:rPr>
          <w:lang w:val="es-ES_tradnl"/>
        </w:rPr>
        <w:t>de prácticas</w:t>
      </w:r>
      <w:r w:rsidR="00A13BEA" w:rsidRPr="00B924EB">
        <w:rPr>
          <w:lang w:val="es-ES_tradnl"/>
        </w:rPr>
        <w:t xml:space="preserve"> </w:t>
      </w:r>
      <w:r w:rsidR="00D52225">
        <w:rPr>
          <w:lang w:val="es-ES_tradnl"/>
        </w:rPr>
        <w:t xml:space="preserve">de </w:t>
      </w:r>
      <w:r w:rsidR="000521A3" w:rsidRPr="00B924EB">
        <w:rPr>
          <w:lang w:val="es-ES_tradnl"/>
        </w:rPr>
        <w:t>servicio</w:t>
      </w:r>
      <w:r w:rsidR="00A13BEA" w:rsidRPr="00B924EB">
        <w:rPr>
          <w:lang w:val="es-ES_tradnl"/>
        </w:rPr>
        <w:t xml:space="preserve"> </w:t>
      </w:r>
      <w:r w:rsidR="000521A3" w:rsidRPr="00B924EB">
        <w:rPr>
          <w:lang w:val="es-ES_tradnl"/>
        </w:rPr>
        <w:t>de</w:t>
      </w:r>
      <w:r w:rsidR="00A13BEA" w:rsidRPr="00B924EB">
        <w:rPr>
          <w:lang w:val="es-ES_tradnl"/>
        </w:rPr>
        <w:t xml:space="preserve"> </w:t>
      </w:r>
      <w:r w:rsidR="000521A3" w:rsidRPr="00B924EB">
        <w:rPr>
          <w:lang w:val="es-ES_tradnl"/>
        </w:rPr>
        <w:t>equipos</w:t>
      </w:r>
      <w:r w:rsidR="00A13BEA" w:rsidRPr="00B924EB">
        <w:rPr>
          <w:lang w:val="es-ES_tradnl"/>
        </w:rPr>
        <w:t xml:space="preserve"> </w:t>
      </w:r>
      <w:r w:rsidR="000521A3" w:rsidRPr="00B924EB">
        <w:rPr>
          <w:lang w:val="es-ES_tradnl"/>
        </w:rPr>
        <w:t>de</w:t>
      </w:r>
      <w:r w:rsidR="00A13BEA" w:rsidRPr="00B924EB">
        <w:rPr>
          <w:lang w:val="es-ES_tradnl"/>
        </w:rPr>
        <w:t xml:space="preserve"> </w:t>
      </w:r>
      <w:r w:rsidR="000521A3" w:rsidRPr="00B924EB">
        <w:rPr>
          <w:lang w:val="es-ES_tradnl"/>
        </w:rPr>
        <w:t>refrigeración</w:t>
      </w:r>
      <w:r w:rsidR="00930DB7" w:rsidRPr="00B924EB">
        <w:rPr>
          <w:lang w:val="es-ES_tradnl"/>
        </w:rPr>
        <w:t>,</w:t>
      </w:r>
      <w:r w:rsidR="00A13BEA" w:rsidRPr="00B924EB">
        <w:rPr>
          <w:lang w:val="es-ES_tradnl"/>
        </w:rPr>
        <w:t xml:space="preserve"> </w:t>
      </w:r>
      <w:r w:rsidR="000668FD">
        <w:rPr>
          <w:lang w:val="es-ES_tradnl"/>
        </w:rPr>
        <w:t xml:space="preserve">se capacitó a </w:t>
      </w:r>
      <w:r w:rsidR="009A2D9C" w:rsidRPr="00B924EB">
        <w:rPr>
          <w:lang w:val="es-ES_tradnl"/>
        </w:rPr>
        <w:t>25</w:t>
      </w:r>
      <w:r w:rsidR="00A13BEA" w:rsidRPr="00B924EB">
        <w:rPr>
          <w:lang w:val="es-ES_tradnl"/>
        </w:rPr>
        <w:t xml:space="preserve"> </w:t>
      </w:r>
      <w:r w:rsidR="006670DD">
        <w:rPr>
          <w:lang w:val="es-ES_tradnl"/>
        </w:rPr>
        <w:t xml:space="preserve">instructores del Ministerio del Trabajo </w:t>
      </w:r>
      <w:r w:rsidR="00755C5D" w:rsidRPr="00B924EB">
        <w:rPr>
          <w:lang w:val="es-ES_tradnl"/>
        </w:rPr>
        <w:t>y</w:t>
      </w:r>
      <w:r w:rsidR="00A13BEA" w:rsidRPr="00B924EB">
        <w:rPr>
          <w:lang w:val="es-ES_tradnl"/>
        </w:rPr>
        <w:t xml:space="preserve"> </w:t>
      </w:r>
      <w:r w:rsidR="007A011A">
        <w:rPr>
          <w:lang w:val="es-ES_tradnl"/>
        </w:rPr>
        <w:t xml:space="preserve">Asuntos </w:t>
      </w:r>
      <w:r w:rsidR="009A2D9C" w:rsidRPr="00B924EB">
        <w:rPr>
          <w:lang w:val="es-ES_tradnl"/>
        </w:rPr>
        <w:t>Social</w:t>
      </w:r>
      <w:r w:rsidR="007A011A">
        <w:rPr>
          <w:lang w:val="es-ES_tradnl"/>
        </w:rPr>
        <w:t>es</w:t>
      </w:r>
      <w:r w:rsidR="00A13BEA" w:rsidRPr="00B924EB">
        <w:rPr>
          <w:lang w:val="es-ES_tradnl"/>
        </w:rPr>
        <w:t xml:space="preserve"> </w:t>
      </w:r>
      <w:r w:rsidR="00047CC9">
        <w:rPr>
          <w:lang w:val="es-ES_tradnl"/>
        </w:rPr>
        <w:t xml:space="preserve">sobre el </w:t>
      </w:r>
      <w:r w:rsidR="00C048F7">
        <w:rPr>
          <w:lang w:val="es-ES_tradnl"/>
        </w:rPr>
        <w:t>currículum actualizado de capacitación</w:t>
      </w:r>
      <w:r w:rsidR="00C9773A">
        <w:rPr>
          <w:lang w:val="es-ES_tradnl"/>
        </w:rPr>
        <w:t xml:space="preserve"> </w:t>
      </w:r>
      <w:r w:rsidR="00755C5D" w:rsidRPr="00B924EB">
        <w:rPr>
          <w:lang w:val="es-ES_tradnl"/>
        </w:rPr>
        <w:t>y</w:t>
      </w:r>
      <w:r w:rsidR="00A13BEA" w:rsidRPr="00B924EB">
        <w:rPr>
          <w:lang w:val="es-ES_tradnl"/>
        </w:rPr>
        <w:t xml:space="preserve"> </w:t>
      </w:r>
      <w:r w:rsidR="00387A67">
        <w:rPr>
          <w:lang w:val="es-ES_tradnl"/>
        </w:rPr>
        <w:t xml:space="preserve">se desarrolló un </w:t>
      </w:r>
      <w:r w:rsidR="00E26F0F" w:rsidRPr="00B924EB">
        <w:rPr>
          <w:lang w:val="es-ES_tradnl"/>
        </w:rPr>
        <w:t>programa</w:t>
      </w:r>
      <w:r w:rsidR="00A13BEA" w:rsidRPr="00B924EB">
        <w:rPr>
          <w:lang w:val="es-ES_tradnl"/>
        </w:rPr>
        <w:t xml:space="preserve"> </w:t>
      </w:r>
      <w:r w:rsidR="00E26F0F" w:rsidRPr="00B924EB">
        <w:rPr>
          <w:lang w:val="es-ES_tradnl"/>
        </w:rPr>
        <w:t>de</w:t>
      </w:r>
      <w:r w:rsidR="00A13BEA" w:rsidRPr="00B924EB">
        <w:rPr>
          <w:lang w:val="es-ES_tradnl"/>
        </w:rPr>
        <w:t xml:space="preserve"> </w:t>
      </w:r>
      <w:r w:rsidR="00E26F0F" w:rsidRPr="00B924EB">
        <w:rPr>
          <w:lang w:val="es-ES_tradnl"/>
        </w:rPr>
        <w:t>capacitación</w:t>
      </w:r>
      <w:r w:rsidR="00A13BEA" w:rsidRPr="00B924EB">
        <w:rPr>
          <w:lang w:val="es-ES_tradnl"/>
        </w:rPr>
        <w:t xml:space="preserve"> </w:t>
      </w:r>
      <w:r w:rsidR="004002F6">
        <w:rPr>
          <w:lang w:val="es-ES_tradnl"/>
        </w:rPr>
        <w:t xml:space="preserve">para promover </w:t>
      </w:r>
      <w:r w:rsidR="004908CA">
        <w:rPr>
          <w:lang w:val="es-ES_tradnl"/>
        </w:rPr>
        <w:t xml:space="preserve">la adopción de </w:t>
      </w:r>
      <w:r w:rsidR="004002F6">
        <w:rPr>
          <w:lang w:val="es-ES_tradnl"/>
        </w:rPr>
        <w:t xml:space="preserve">los códigos </w:t>
      </w:r>
      <w:r w:rsidR="00755C5D" w:rsidRPr="00B924EB">
        <w:rPr>
          <w:lang w:val="es-ES_tradnl"/>
        </w:rPr>
        <w:t>de</w:t>
      </w:r>
      <w:r w:rsidR="00A13BEA" w:rsidRPr="00B924EB">
        <w:rPr>
          <w:lang w:val="es-ES_tradnl"/>
        </w:rPr>
        <w:t xml:space="preserve"> </w:t>
      </w:r>
      <w:r>
        <w:rPr>
          <w:lang w:val="es-ES_tradnl"/>
        </w:rPr>
        <w:t>práctica</w:t>
      </w:r>
      <w:r w:rsidR="004002F6">
        <w:rPr>
          <w:lang w:val="es-ES_tradnl"/>
        </w:rPr>
        <w:t>s</w:t>
      </w:r>
      <w:r w:rsidR="00A13BEA" w:rsidRPr="00B924EB">
        <w:rPr>
          <w:lang w:val="es-ES_tradnl"/>
        </w:rPr>
        <w:t xml:space="preserve"> </w:t>
      </w:r>
      <w:r w:rsidR="00EE7823">
        <w:rPr>
          <w:lang w:val="es-ES_tradnl"/>
        </w:rPr>
        <w:t>en</w:t>
      </w:r>
      <w:r w:rsidR="00652A5B">
        <w:rPr>
          <w:lang w:val="es-ES_tradnl"/>
        </w:rPr>
        <w:t xml:space="preserve"> </w:t>
      </w:r>
      <w:r w:rsidR="00EE7823">
        <w:rPr>
          <w:lang w:val="es-ES_tradnl"/>
        </w:rPr>
        <w:t xml:space="preserve">un universo </w:t>
      </w:r>
      <w:r w:rsidR="006D155C">
        <w:rPr>
          <w:lang w:val="es-ES_tradnl"/>
        </w:rPr>
        <w:t xml:space="preserve">más amplio </w:t>
      </w:r>
      <w:r w:rsidR="00F2044A">
        <w:rPr>
          <w:lang w:val="es-ES_tradnl"/>
        </w:rPr>
        <w:t>que solamente el personal técnico</w:t>
      </w:r>
      <w:r w:rsidR="00907665" w:rsidRPr="00B924EB">
        <w:rPr>
          <w:lang w:val="es-ES_tradnl"/>
        </w:rPr>
        <w:t>;</w:t>
      </w:r>
      <w:r w:rsidR="00A13BEA" w:rsidRPr="00B924EB">
        <w:rPr>
          <w:lang w:val="es-ES_tradnl"/>
        </w:rPr>
        <w:t xml:space="preserve"> </w:t>
      </w:r>
      <w:r w:rsidR="00755C5D" w:rsidRPr="00B924EB">
        <w:rPr>
          <w:lang w:val="es-ES_tradnl"/>
        </w:rPr>
        <w:t>y</w:t>
      </w:r>
    </w:p>
    <w:p w14:paraId="6CFAE820" w14:textId="0E37491E" w:rsidR="00D64769" w:rsidRPr="00B924EB" w:rsidRDefault="00EE77A0" w:rsidP="00432F44">
      <w:pPr>
        <w:pStyle w:val="Heading2"/>
        <w:rPr>
          <w:i/>
          <w:lang w:val="es-ES_tradnl"/>
        </w:rPr>
      </w:pPr>
      <w:r>
        <w:rPr>
          <w:lang w:val="es-ES_tradnl" w:bidi="ar-IQ"/>
        </w:rPr>
        <w:t xml:space="preserve">Se </w:t>
      </w:r>
      <w:r w:rsidR="007C5D89">
        <w:rPr>
          <w:lang w:val="es-ES_tradnl" w:bidi="ar-IQ"/>
        </w:rPr>
        <w:t xml:space="preserve">imprimieron </w:t>
      </w:r>
      <w:r w:rsidR="00755C5D" w:rsidRPr="00B924EB">
        <w:rPr>
          <w:lang w:val="es-ES_tradnl" w:bidi="ar-IQ"/>
        </w:rPr>
        <w:t>y</w:t>
      </w:r>
      <w:r w:rsidR="00A13BEA" w:rsidRPr="00B924EB">
        <w:rPr>
          <w:lang w:val="es-ES_tradnl" w:bidi="ar-IQ"/>
        </w:rPr>
        <w:t xml:space="preserve"> </w:t>
      </w:r>
      <w:r w:rsidR="007C5D89">
        <w:rPr>
          <w:lang w:val="es-ES_tradnl" w:bidi="ar-IQ"/>
        </w:rPr>
        <w:t>distribuyeron</w:t>
      </w:r>
      <w:r w:rsidR="00A13BEA" w:rsidRPr="00B924EB">
        <w:rPr>
          <w:lang w:val="es-ES_tradnl" w:bidi="ar-IQ"/>
        </w:rPr>
        <w:t xml:space="preserve"> </w:t>
      </w:r>
      <w:r w:rsidR="003C6F9C">
        <w:rPr>
          <w:lang w:val="es-ES_tradnl" w:bidi="ar-IQ"/>
        </w:rPr>
        <w:t>folleto</w:t>
      </w:r>
      <w:r w:rsidR="00D64769" w:rsidRPr="00B924EB">
        <w:rPr>
          <w:lang w:val="es-ES_tradnl" w:bidi="ar-IQ"/>
        </w:rPr>
        <w:t>s</w:t>
      </w:r>
      <w:r w:rsidR="00A13BEA" w:rsidRPr="00B924EB">
        <w:rPr>
          <w:lang w:val="es-ES_tradnl" w:bidi="ar-IQ"/>
        </w:rPr>
        <w:t xml:space="preserve"> </w:t>
      </w:r>
      <w:r w:rsidR="005A7BD9">
        <w:rPr>
          <w:lang w:val="es-ES_tradnl" w:bidi="ar-IQ"/>
        </w:rPr>
        <w:t xml:space="preserve">sobre </w:t>
      </w:r>
      <w:r w:rsidR="00A66CFD">
        <w:rPr>
          <w:lang w:val="es-ES_tradnl" w:bidi="ar-IQ"/>
        </w:rPr>
        <w:t>el currículum actualizado</w:t>
      </w:r>
      <w:r w:rsidR="00E74C7A" w:rsidRPr="00E74C7A">
        <w:rPr>
          <w:lang w:val="es-ES_tradnl" w:bidi="ar-IQ"/>
        </w:rPr>
        <w:t xml:space="preserve"> </w:t>
      </w:r>
      <w:r w:rsidR="00E74C7A">
        <w:rPr>
          <w:lang w:val="es-ES_tradnl" w:bidi="ar-IQ"/>
        </w:rPr>
        <w:t xml:space="preserve">de </w:t>
      </w:r>
      <w:r w:rsidR="00E26F0F" w:rsidRPr="00B924EB">
        <w:rPr>
          <w:lang w:val="es-ES_tradnl" w:bidi="ar-IQ"/>
        </w:rPr>
        <w:t>refrigeración</w:t>
      </w:r>
      <w:r w:rsidR="00A13BEA" w:rsidRPr="00B924EB">
        <w:rPr>
          <w:lang w:val="es-ES_tradnl" w:bidi="ar-IQ"/>
        </w:rPr>
        <w:t xml:space="preserve"> </w:t>
      </w:r>
      <w:r w:rsidR="00E26F0F" w:rsidRPr="00B924EB">
        <w:rPr>
          <w:lang w:val="es-ES_tradnl" w:bidi="ar-IQ"/>
        </w:rPr>
        <w:t>y</w:t>
      </w:r>
      <w:r w:rsidR="00A13BEA" w:rsidRPr="00B924EB">
        <w:rPr>
          <w:lang w:val="es-ES_tradnl" w:bidi="ar-IQ"/>
        </w:rPr>
        <w:t xml:space="preserve"> </w:t>
      </w:r>
      <w:r w:rsidR="00E26F0F" w:rsidRPr="00B924EB">
        <w:rPr>
          <w:lang w:val="es-ES_tradnl" w:bidi="ar-IQ"/>
        </w:rPr>
        <w:t>climatización</w:t>
      </w:r>
      <w:r w:rsidR="00570BC4">
        <w:rPr>
          <w:lang w:val="es-ES_tradnl" w:bidi="ar-IQ"/>
        </w:rPr>
        <w:t xml:space="preserve"> y </w:t>
      </w:r>
      <w:r w:rsidR="00935DC4">
        <w:rPr>
          <w:lang w:val="es-ES_tradnl" w:bidi="ar-IQ"/>
        </w:rPr>
        <w:t xml:space="preserve">se efectuaron </w:t>
      </w:r>
      <w:r w:rsidR="00755C5D" w:rsidRPr="00B924EB">
        <w:rPr>
          <w:lang w:val="es-ES_tradnl" w:bidi="ar-IQ"/>
        </w:rPr>
        <w:t>dos</w:t>
      </w:r>
      <w:r w:rsidR="00A13BEA" w:rsidRPr="00B924EB">
        <w:rPr>
          <w:rFonts w:cs="Calibri"/>
          <w:lang w:val="es-ES_tradnl" w:bidi="ar-IQ"/>
        </w:rPr>
        <w:t xml:space="preserve"> </w:t>
      </w:r>
      <w:r w:rsidR="009374DA" w:rsidRPr="00B924EB">
        <w:rPr>
          <w:rFonts w:cs="Calibri"/>
          <w:lang w:val="es-ES_tradnl" w:bidi="ar-IQ"/>
        </w:rPr>
        <w:t>talleres</w:t>
      </w:r>
      <w:r w:rsidR="00A13BEA" w:rsidRPr="00B924EB">
        <w:rPr>
          <w:rFonts w:cs="Calibri"/>
          <w:lang w:val="es-ES_tradnl" w:bidi="ar-IQ"/>
        </w:rPr>
        <w:t xml:space="preserve"> </w:t>
      </w:r>
      <w:r w:rsidR="00350C2A">
        <w:rPr>
          <w:rFonts w:cs="Calibri"/>
          <w:lang w:val="es-ES_tradnl" w:bidi="ar-IQ"/>
        </w:rPr>
        <w:t xml:space="preserve">para promover </w:t>
      </w:r>
      <w:r w:rsidR="00A66CFD">
        <w:rPr>
          <w:rFonts w:cs="Calibri"/>
          <w:lang w:val="es-ES_tradnl" w:bidi="ar-IQ"/>
        </w:rPr>
        <w:t xml:space="preserve">el currículum </w:t>
      </w:r>
      <w:r w:rsidR="008E36BB">
        <w:rPr>
          <w:rFonts w:cs="Calibri"/>
          <w:lang w:val="es-ES_tradnl" w:bidi="ar-IQ"/>
        </w:rPr>
        <w:t xml:space="preserve">entre </w:t>
      </w:r>
      <w:r w:rsidR="00E26F0F" w:rsidRPr="00B924EB">
        <w:rPr>
          <w:rFonts w:cs="Calibri"/>
          <w:lang w:val="es-ES_tradnl" w:bidi="ar-IQ"/>
        </w:rPr>
        <w:t>técnico</w:t>
      </w:r>
      <w:r w:rsidR="000D7777" w:rsidRPr="00B924EB">
        <w:rPr>
          <w:rFonts w:cs="Calibri"/>
          <w:lang w:val="es-ES_tradnl" w:bidi="ar-IQ"/>
        </w:rPr>
        <w:t>s</w:t>
      </w:r>
      <w:r w:rsidR="00A13BEA" w:rsidRPr="00B924EB">
        <w:rPr>
          <w:rFonts w:cs="Calibri"/>
          <w:lang w:val="es-ES_tradnl" w:bidi="ar-IQ"/>
        </w:rPr>
        <w:t xml:space="preserve"> </w:t>
      </w:r>
      <w:r w:rsidR="00A55E0D">
        <w:rPr>
          <w:rFonts w:cs="Calibri"/>
          <w:lang w:val="es-ES_tradnl" w:bidi="ar-IQ"/>
        </w:rPr>
        <w:t xml:space="preserve">de la </w:t>
      </w:r>
      <w:r w:rsidR="0021605C">
        <w:rPr>
          <w:rFonts w:cs="Calibri"/>
          <w:lang w:val="es-ES_tradnl" w:bidi="ar-IQ"/>
        </w:rPr>
        <w:t>Universidad</w:t>
      </w:r>
      <w:r w:rsidR="00A13BEA" w:rsidRPr="00B924EB">
        <w:rPr>
          <w:rFonts w:cs="Calibri"/>
          <w:lang w:val="es-ES_tradnl" w:bidi="ar-IQ"/>
        </w:rPr>
        <w:t xml:space="preserve"> </w:t>
      </w:r>
      <w:r w:rsidR="00755C5D" w:rsidRPr="00B924EB">
        <w:rPr>
          <w:rFonts w:cs="Calibri"/>
          <w:lang w:val="es-ES_tradnl" w:bidi="ar-IQ"/>
        </w:rPr>
        <w:t>de</w:t>
      </w:r>
      <w:r w:rsidR="00A13BEA" w:rsidRPr="00B924EB">
        <w:rPr>
          <w:rFonts w:cs="Calibri"/>
          <w:lang w:val="es-ES_tradnl" w:bidi="ar-IQ"/>
        </w:rPr>
        <w:t xml:space="preserve"> </w:t>
      </w:r>
      <w:r w:rsidR="009374DA" w:rsidRPr="00B924EB">
        <w:rPr>
          <w:rFonts w:cs="Calibri"/>
          <w:lang w:val="es-ES_tradnl" w:bidi="ar-IQ"/>
        </w:rPr>
        <w:t>Tecnología</w:t>
      </w:r>
      <w:r w:rsidR="00A13BEA" w:rsidRPr="00B924EB">
        <w:rPr>
          <w:rFonts w:cs="Calibri"/>
          <w:lang w:val="es-ES_tradnl" w:bidi="ar-IQ"/>
        </w:rPr>
        <w:t xml:space="preserve"> </w:t>
      </w:r>
      <w:r w:rsidR="00755C5D" w:rsidRPr="00B924EB">
        <w:rPr>
          <w:rFonts w:cs="Calibri"/>
          <w:lang w:val="es-ES_tradnl" w:bidi="ar-IQ"/>
        </w:rPr>
        <w:t>y</w:t>
      </w:r>
      <w:r w:rsidR="00A13BEA" w:rsidRPr="00B924EB">
        <w:rPr>
          <w:rFonts w:cs="Calibri"/>
          <w:lang w:val="es-ES_tradnl" w:bidi="ar-IQ"/>
        </w:rPr>
        <w:t xml:space="preserve"> </w:t>
      </w:r>
      <w:r w:rsidR="0013383C">
        <w:rPr>
          <w:rFonts w:cs="Calibri"/>
          <w:lang w:val="es-ES_tradnl" w:bidi="ar-IQ"/>
        </w:rPr>
        <w:t>d</w:t>
      </w:r>
      <w:r w:rsidR="00D04C70">
        <w:rPr>
          <w:rFonts w:cs="Calibri"/>
          <w:lang w:val="es-ES_tradnl" w:bidi="ar-IQ"/>
        </w:rPr>
        <w:t>el</w:t>
      </w:r>
      <w:r w:rsidR="00A13BEA" w:rsidRPr="00B924EB">
        <w:rPr>
          <w:rFonts w:cs="Calibri"/>
          <w:lang w:val="es-ES_tradnl" w:bidi="ar-IQ"/>
        </w:rPr>
        <w:t xml:space="preserve"> </w:t>
      </w:r>
      <w:r w:rsidR="00D45652">
        <w:rPr>
          <w:rFonts w:cs="Calibri"/>
          <w:lang w:val="es-ES_tradnl" w:bidi="ar-IQ"/>
        </w:rPr>
        <w:t>Colegio Técnico</w:t>
      </w:r>
      <w:r w:rsidR="00A13BEA" w:rsidRPr="00B924EB">
        <w:rPr>
          <w:rFonts w:cs="Calibri"/>
          <w:lang w:val="es-ES_tradnl" w:bidi="ar-IQ"/>
        </w:rPr>
        <w:t xml:space="preserve"> </w:t>
      </w:r>
      <w:r w:rsidR="00755C5D" w:rsidRPr="00B924EB">
        <w:rPr>
          <w:rFonts w:cs="Calibri"/>
          <w:lang w:val="es-ES_tradnl" w:bidi="ar-IQ"/>
        </w:rPr>
        <w:t>de</w:t>
      </w:r>
      <w:r w:rsidR="00A13BEA" w:rsidRPr="00B924EB">
        <w:rPr>
          <w:rFonts w:cs="Calibri"/>
          <w:lang w:val="es-ES_tradnl" w:bidi="ar-IQ"/>
        </w:rPr>
        <w:t xml:space="preserve"> </w:t>
      </w:r>
      <w:r w:rsidR="00D45652">
        <w:rPr>
          <w:rFonts w:cs="Calibri"/>
          <w:lang w:val="es-ES_tradnl" w:bidi="ar-IQ"/>
        </w:rPr>
        <w:t>Ingeniería</w:t>
      </w:r>
      <w:r w:rsidR="00A13BEA" w:rsidRPr="00B924EB">
        <w:rPr>
          <w:rFonts w:cs="Calibri"/>
          <w:lang w:val="es-ES_tradnl" w:bidi="ar-IQ"/>
        </w:rPr>
        <w:t xml:space="preserve"> </w:t>
      </w:r>
      <w:r w:rsidR="0017425F">
        <w:rPr>
          <w:rFonts w:cs="Calibri"/>
          <w:lang w:val="es-ES_tradnl" w:bidi="ar-IQ"/>
        </w:rPr>
        <w:t xml:space="preserve">de </w:t>
      </w:r>
      <w:r w:rsidR="00F1408A">
        <w:rPr>
          <w:rFonts w:cs="Calibri"/>
          <w:lang w:val="es-ES_tradnl" w:bidi="ar-IQ"/>
        </w:rPr>
        <w:t>Bagdad</w:t>
      </w:r>
      <w:r w:rsidR="00F24270" w:rsidRPr="00B924EB">
        <w:rPr>
          <w:rFonts w:cs="Calibri"/>
          <w:lang w:val="es-ES_tradnl" w:bidi="ar-IQ"/>
        </w:rPr>
        <w:t>.</w:t>
      </w:r>
      <w:r w:rsidR="00A13BEA" w:rsidRPr="00B924EB">
        <w:rPr>
          <w:rFonts w:cs="Calibri"/>
          <w:lang w:val="es-ES_tradnl" w:bidi="ar-IQ"/>
        </w:rPr>
        <w:t xml:space="preserve"> </w:t>
      </w:r>
      <w:r w:rsidR="00EC065B">
        <w:rPr>
          <w:rFonts w:cs="Calibri"/>
          <w:lang w:val="es-ES_tradnl" w:bidi="ar-IQ"/>
        </w:rPr>
        <w:t>Aunque l</w:t>
      </w:r>
      <w:r w:rsidR="00C7778F">
        <w:rPr>
          <w:rFonts w:cs="Calibri"/>
          <w:lang w:val="es-ES_tradnl" w:bidi="ar-IQ"/>
        </w:rPr>
        <w:t xml:space="preserve">a capacitación </w:t>
      </w:r>
      <w:r w:rsidR="00A9510F">
        <w:rPr>
          <w:rFonts w:cs="Calibri"/>
          <w:lang w:val="es-ES_tradnl" w:bidi="ar-IQ"/>
        </w:rPr>
        <w:t xml:space="preserve">técnica </w:t>
      </w:r>
      <w:r w:rsidR="007D72DC">
        <w:rPr>
          <w:lang w:val="es-ES_tradnl"/>
        </w:rPr>
        <w:t xml:space="preserve">se </w:t>
      </w:r>
      <w:r w:rsidR="005D1DEB">
        <w:rPr>
          <w:lang w:val="es-ES_tradnl"/>
        </w:rPr>
        <w:t xml:space="preserve">debió suspender </w:t>
      </w:r>
      <w:r w:rsidR="007D72DC">
        <w:rPr>
          <w:lang w:val="es-ES_tradnl"/>
        </w:rPr>
        <w:t xml:space="preserve">debido a </w:t>
      </w:r>
      <w:r w:rsidR="00AD5C87">
        <w:rPr>
          <w:lang w:val="es-ES_tradnl"/>
        </w:rPr>
        <w:t>la pandemia</w:t>
      </w:r>
      <w:r w:rsidR="00691EF6">
        <w:rPr>
          <w:lang w:val="es-ES_tradnl"/>
        </w:rPr>
        <w:t>,</w:t>
      </w:r>
      <w:r w:rsidR="00A13BEA" w:rsidRPr="00B924EB">
        <w:rPr>
          <w:lang w:val="es-ES_tradnl"/>
        </w:rPr>
        <w:t xml:space="preserve"> </w:t>
      </w:r>
      <w:r w:rsidR="006C1C22">
        <w:rPr>
          <w:lang w:val="es-ES_tradnl"/>
        </w:rPr>
        <w:t xml:space="preserve">se espera </w:t>
      </w:r>
      <w:r w:rsidR="001309D5">
        <w:rPr>
          <w:lang w:val="es-ES_tradnl"/>
        </w:rPr>
        <w:t xml:space="preserve">terminarla a </w:t>
      </w:r>
      <w:r w:rsidR="004135A5" w:rsidRPr="00B924EB">
        <w:rPr>
          <w:lang w:val="es-ES_tradnl"/>
        </w:rPr>
        <w:t>fines de</w:t>
      </w:r>
      <w:r w:rsidR="00A13BEA" w:rsidRPr="00B924EB">
        <w:rPr>
          <w:lang w:val="es-ES_tradnl"/>
        </w:rPr>
        <w:t xml:space="preserve"> </w:t>
      </w:r>
      <w:r w:rsidR="00755C5D" w:rsidRPr="00B924EB">
        <w:rPr>
          <w:lang w:val="es-ES_tradnl"/>
        </w:rPr>
        <w:t>junio</w:t>
      </w:r>
      <w:r w:rsidR="00A13BEA" w:rsidRPr="00B924EB">
        <w:rPr>
          <w:lang w:val="es-ES_tradnl"/>
        </w:rPr>
        <w:t xml:space="preserve"> </w:t>
      </w:r>
      <w:r w:rsidR="00755C5D" w:rsidRPr="00B924EB">
        <w:rPr>
          <w:lang w:val="es-ES_tradnl"/>
        </w:rPr>
        <w:t>de</w:t>
      </w:r>
      <w:r w:rsidR="00691EF6">
        <w:rPr>
          <w:lang w:val="es-ES_tradnl"/>
        </w:rPr>
        <w:t>l</w:t>
      </w:r>
      <w:r w:rsidR="00A13BEA" w:rsidRPr="00B924EB">
        <w:rPr>
          <w:lang w:val="es-ES_tradnl"/>
        </w:rPr>
        <w:t xml:space="preserve"> </w:t>
      </w:r>
      <w:r w:rsidR="00F24270" w:rsidRPr="00B924EB">
        <w:rPr>
          <w:lang w:val="es-ES_tradnl"/>
        </w:rPr>
        <w:t>2021</w:t>
      </w:r>
      <w:r w:rsidR="00C57CFF" w:rsidRPr="00B924EB">
        <w:rPr>
          <w:lang w:val="es-ES_tradnl"/>
        </w:rPr>
        <w:t>.</w:t>
      </w:r>
    </w:p>
    <w:p w14:paraId="70A811CD" w14:textId="5A553D5C" w:rsidR="003D752A" w:rsidRPr="00B924EB" w:rsidRDefault="008A3847" w:rsidP="00C57CFF">
      <w:pPr>
        <w:pStyle w:val="Heading1"/>
        <w:widowControl w:val="0"/>
        <w:rPr>
          <w:rFonts w:eastAsia="SimSun"/>
          <w:lang w:val="es-ES_tradnl" w:eastAsia="zh-CN"/>
        </w:rPr>
      </w:pPr>
      <w:r w:rsidRPr="008A3847">
        <w:rPr>
          <w:rFonts w:eastAsia="SimSun"/>
          <w:lang w:val="es-ES_tradnl" w:eastAsia="zh-CN"/>
        </w:rPr>
        <w:t>Según se muestra en el Cuadro 2</w:t>
      </w:r>
      <w:r>
        <w:rPr>
          <w:rFonts w:eastAsia="SimSun"/>
          <w:lang w:val="es-ES_tradnl" w:eastAsia="zh-CN"/>
        </w:rPr>
        <w:t xml:space="preserve">, a </w:t>
      </w:r>
      <w:r w:rsidR="00755C5D" w:rsidRPr="00B924EB">
        <w:rPr>
          <w:rFonts w:eastAsia="SimSun"/>
          <w:lang w:val="es-ES_tradnl" w:eastAsia="zh-CN"/>
        </w:rPr>
        <w:t>mayo</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887106" w:rsidRPr="00B924EB">
        <w:rPr>
          <w:rFonts w:eastAsia="SimSun"/>
          <w:lang w:val="es-ES_tradnl" w:eastAsia="zh-CN"/>
        </w:rPr>
        <w:t>202</w:t>
      </w:r>
      <w:r w:rsidR="00C05CC2">
        <w:rPr>
          <w:rFonts w:eastAsia="SimSun"/>
          <w:lang w:val="es-ES_tradnl" w:eastAsia="zh-CN"/>
        </w:rPr>
        <w:t>1,</w:t>
      </w:r>
      <w:r w:rsidR="00A670F2">
        <w:rPr>
          <w:rFonts w:eastAsia="SimSun"/>
          <w:lang w:val="es-ES_tradnl" w:eastAsia="zh-CN"/>
        </w:rPr>
        <w:t xml:space="preserve"> </w:t>
      </w:r>
      <w:r w:rsidR="00292447">
        <w:rPr>
          <w:rFonts w:eastAsia="SimSun"/>
          <w:lang w:val="es-ES_tradnl" w:eastAsia="zh-CN"/>
        </w:rPr>
        <w:t>de la suma de</w:t>
      </w:r>
      <w:r w:rsidR="00A670F2">
        <w:rPr>
          <w:rFonts w:eastAsia="SimSun"/>
          <w:lang w:val="es-ES_tradnl" w:eastAsia="zh-CN"/>
        </w:rPr>
        <w:t xml:space="preserve"> </w:t>
      </w:r>
      <w:r w:rsidR="00755C5D" w:rsidRPr="00B924EB">
        <w:rPr>
          <w:rFonts w:eastAsia="SimSun"/>
          <w:lang w:val="es-ES_tradnl" w:eastAsia="zh-CN"/>
        </w:rPr>
        <w:t>1.</w:t>
      </w:r>
      <w:r w:rsidR="00887106" w:rsidRPr="00B924EB">
        <w:rPr>
          <w:rFonts w:eastAsia="SimSun"/>
          <w:lang w:val="es-ES_tradnl" w:eastAsia="zh-CN"/>
        </w:rPr>
        <w:t>18</w:t>
      </w:r>
      <w:r w:rsidR="00755C5D" w:rsidRPr="00B924EB">
        <w:rPr>
          <w:rFonts w:eastAsia="SimSun"/>
          <w:lang w:val="es-ES_tradnl" w:eastAsia="zh-CN"/>
        </w:rPr>
        <w:t>0.</w:t>
      </w:r>
      <w:r w:rsidR="00887106" w:rsidRPr="00B924EB">
        <w:rPr>
          <w:rFonts w:eastAsia="SimSun"/>
          <w:lang w:val="es-ES_tradnl" w:eastAsia="zh-CN"/>
        </w:rPr>
        <w:t>000</w:t>
      </w:r>
      <w:r w:rsidR="00825E2C" w:rsidRPr="00825E2C">
        <w:rPr>
          <w:rFonts w:eastAsia="SimSun"/>
          <w:lang w:val="es-ES_tradnl" w:eastAsia="zh-CN"/>
        </w:rPr>
        <w:t xml:space="preserve"> $EUA</w:t>
      </w:r>
      <w:r w:rsidR="00A13BEA" w:rsidRPr="00B924EB">
        <w:rPr>
          <w:rFonts w:eastAsia="SimSun"/>
          <w:lang w:val="es-ES_tradnl" w:eastAsia="zh-CN"/>
        </w:rPr>
        <w:t xml:space="preserve"> </w:t>
      </w:r>
      <w:r w:rsidR="00292447">
        <w:rPr>
          <w:rFonts w:eastAsia="SimSun"/>
          <w:lang w:val="es-ES_tradnl" w:eastAsia="zh-CN"/>
        </w:rPr>
        <w:t>aprobada</w:t>
      </w:r>
      <w:r w:rsidR="00A13BEA" w:rsidRPr="00B924EB">
        <w:rPr>
          <w:rFonts w:eastAsia="SimSun"/>
          <w:lang w:val="es-ES_tradnl" w:eastAsia="zh-CN"/>
        </w:rPr>
        <w:t xml:space="preserve"> </w:t>
      </w:r>
      <w:r w:rsidR="001A1006" w:rsidRPr="00B924EB">
        <w:rPr>
          <w:rFonts w:eastAsia="SimSun"/>
          <w:lang w:val="es-ES_tradnl" w:eastAsia="zh-CN"/>
        </w:rPr>
        <w:t>en</w:t>
      </w:r>
      <w:r w:rsidR="00A13BEA" w:rsidRPr="00B924EB">
        <w:rPr>
          <w:rFonts w:eastAsia="SimSun"/>
          <w:lang w:val="es-ES_tradnl" w:eastAsia="zh-CN"/>
        </w:rPr>
        <w:t xml:space="preserve"> </w:t>
      </w:r>
      <w:r w:rsidR="001A1006" w:rsidRPr="00B924EB">
        <w:rPr>
          <w:rFonts w:eastAsia="SimSun"/>
          <w:lang w:val="es-ES_tradnl" w:eastAsia="zh-CN"/>
        </w:rPr>
        <w:t>la</w:t>
      </w:r>
      <w:r w:rsidR="00A13BEA" w:rsidRPr="00B924EB">
        <w:rPr>
          <w:rFonts w:eastAsia="SimSun"/>
          <w:lang w:val="es-ES_tradnl" w:eastAsia="zh-CN"/>
        </w:rPr>
        <w:t xml:space="preserve"> </w:t>
      </w:r>
      <w:r w:rsidR="001A1006" w:rsidRPr="00B924EB">
        <w:rPr>
          <w:rFonts w:eastAsia="SimSun"/>
          <w:lang w:val="es-ES_tradnl" w:eastAsia="zh-CN"/>
        </w:rPr>
        <w:t>etapa</w:t>
      </w:r>
      <w:r w:rsidR="00A13BEA" w:rsidRPr="00B924EB">
        <w:rPr>
          <w:rFonts w:eastAsia="SimSun"/>
          <w:lang w:val="es-ES_tradnl" w:eastAsia="zh-CN"/>
        </w:rPr>
        <w:t xml:space="preserve"> </w:t>
      </w:r>
      <w:r w:rsidR="003208A7" w:rsidRPr="00B924EB">
        <w:rPr>
          <w:rFonts w:eastAsia="SimSun"/>
          <w:lang w:val="es-ES_tradnl" w:eastAsia="zh-CN"/>
        </w:rPr>
        <w:t>I</w:t>
      </w:r>
      <w:r w:rsidR="00A13BEA" w:rsidRPr="00B924EB">
        <w:rPr>
          <w:rFonts w:eastAsia="SimSun"/>
          <w:lang w:val="es-ES_tradnl" w:eastAsia="zh-CN"/>
        </w:rPr>
        <w:t xml:space="preserve"> </w:t>
      </w:r>
      <w:r w:rsidR="007629C6">
        <w:rPr>
          <w:rFonts w:eastAsia="SimSun"/>
          <w:lang w:val="es-ES_tradnl" w:eastAsia="zh-CN"/>
        </w:rPr>
        <w:t>se han desembolsado</w:t>
      </w:r>
      <w:r w:rsidR="007629C6" w:rsidRPr="007629C6">
        <w:rPr>
          <w:rFonts w:eastAsia="SimSun"/>
          <w:lang w:val="es-ES_tradnl" w:eastAsia="zh-CN"/>
        </w:rPr>
        <w:t xml:space="preserve"> </w:t>
      </w:r>
      <w:r w:rsidR="00A03676" w:rsidRPr="00B924EB">
        <w:rPr>
          <w:rFonts w:eastAsia="SimSun"/>
          <w:lang w:val="es-ES_tradnl" w:eastAsia="zh-CN"/>
        </w:rPr>
        <w:t>52</w:t>
      </w:r>
      <w:r w:rsidR="009374DA" w:rsidRPr="00B924EB">
        <w:rPr>
          <w:rFonts w:eastAsia="SimSun"/>
          <w:lang w:val="es-ES_tradnl" w:eastAsia="zh-CN"/>
        </w:rPr>
        <w:t>5.</w:t>
      </w:r>
      <w:r w:rsidR="00A03676" w:rsidRPr="00B924EB">
        <w:rPr>
          <w:rFonts w:eastAsia="SimSun"/>
          <w:lang w:val="es-ES_tradnl" w:eastAsia="zh-CN"/>
        </w:rPr>
        <w:t>367</w:t>
      </w:r>
      <w:r w:rsidR="00825E2C" w:rsidRPr="00825E2C">
        <w:rPr>
          <w:rFonts w:eastAsia="SimSun"/>
          <w:lang w:val="es-ES_tradnl" w:eastAsia="zh-CN"/>
        </w:rPr>
        <w:t xml:space="preserve"> $EUA</w:t>
      </w:r>
      <w:r w:rsidR="00FA432F">
        <w:rPr>
          <w:rFonts w:eastAsia="SimSun"/>
          <w:lang w:val="es-ES_tradnl" w:eastAsia="zh-CN"/>
        </w:rPr>
        <w:t>. E</w:t>
      </w:r>
      <w:r w:rsidR="00DB3D7B" w:rsidRPr="00B924EB">
        <w:rPr>
          <w:rFonts w:eastAsia="SimSun"/>
          <w:lang w:val="es-ES_tradnl" w:eastAsia="zh-CN"/>
        </w:rPr>
        <w:t>l</w:t>
      </w:r>
      <w:r w:rsidR="00A13BEA" w:rsidRPr="00B924EB">
        <w:rPr>
          <w:rFonts w:eastAsia="SimSun"/>
          <w:lang w:val="es-ES_tradnl" w:eastAsia="zh-CN"/>
        </w:rPr>
        <w:t xml:space="preserve"> </w:t>
      </w:r>
      <w:r w:rsidR="00DB3D7B" w:rsidRPr="00B924EB">
        <w:rPr>
          <w:rFonts w:eastAsia="SimSun"/>
          <w:lang w:val="es-ES_tradnl" w:eastAsia="zh-CN"/>
        </w:rPr>
        <w:t>saldo</w:t>
      </w:r>
      <w:r w:rsidR="00A13BEA" w:rsidRPr="00B924EB">
        <w:rPr>
          <w:rFonts w:eastAsia="SimSun"/>
          <w:lang w:val="es-ES_tradnl" w:eastAsia="zh-CN"/>
        </w:rPr>
        <w:t xml:space="preserve"> </w:t>
      </w:r>
      <w:r w:rsidR="00755C5D" w:rsidRPr="00B924EB">
        <w:rPr>
          <w:rFonts w:eastAsia="SimSun"/>
          <w:lang w:val="es-ES_tradnl" w:eastAsia="zh-CN"/>
        </w:rPr>
        <w:t>de</w:t>
      </w:r>
      <w:r w:rsidR="00A13BEA" w:rsidRPr="00B924EB">
        <w:rPr>
          <w:rFonts w:eastAsia="SimSun"/>
          <w:lang w:val="es-ES_tradnl" w:eastAsia="zh-CN"/>
        </w:rPr>
        <w:t xml:space="preserve"> </w:t>
      </w:r>
      <w:r w:rsidR="00A03676" w:rsidRPr="00B924EB">
        <w:rPr>
          <w:rFonts w:eastAsia="SimSun"/>
          <w:lang w:val="es-ES_tradnl" w:eastAsia="zh-CN"/>
        </w:rPr>
        <w:t>65</w:t>
      </w:r>
      <w:r w:rsidR="00755C5D" w:rsidRPr="00B924EB">
        <w:rPr>
          <w:rFonts w:eastAsia="SimSun"/>
          <w:lang w:val="es-ES_tradnl" w:eastAsia="zh-CN"/>
        </w:rPr>
        <w:t>4.</w:t>
      </w:r>
      <w:r w:rsidR="00887106" w:rsidRPr="00B924EB">
        <w:rPr>
          <w:rFonts w:eastAsia="SimSun"/>
          <w:lang w:val="es-ES_tradnl" w:eastAsia="zh-CN"/>
        </w:rPr>
        <w:t>633</w:t>
      </w:r>
      <w:r w:rsidR="007061BB" w:rsidRPr="007061BB">
        <w:rPr>
          <w:rFonts w:eastAsia="SimSun"/>
          <w:lang w:val="es-ES_tradnl" w:eastAsia="zh-CN"/>
        </w:rPr>
        <w:t xml:space="preserve"> $EUA</w:t>
      </w:r>
      <w:r w:rsidR="00A13BEA" w:rsidRPr="00B924EB">
        <w:rPr>
          <w:rFonts w:eastAsia="SimSun"/>
          <w:lang w:val="es-ES_tradnl" w:eastAsia="zh-CN"/>
        </w:rPr>
        <w:t xml:space="preserve"> </w:t>
      </w:r>
      <w:r w:rsidR="00687627">
        <w:rPr>
          <w:rFonts w:eastAsia="SimSun"/>
          <w:lang w:val="es-ES_tradnl" w:eastAsia="zh-CN"/>
        </w:rPr>
        <w:t xml:space="preserve">se desembolsará </w:t>
      </w:r>
      <w:r w:rsidR="00E26F0F" w:rsidRPr="00B924EB">
        <w:rPr>
          <w:rFonts w:eastAsia="SimSun"/>
          <w:lang w:val="es-ES_tradnl" w:eastAsia="zh-CN"/>
        </w:rPr>
        <w:t>durante</w:t>
      </w:r>
      <w:r w:rsidR="00A13BEA" w:rsidRPr="00B924EB">
        <w:rPr>
          <w:rFonts w:eastAsia="SimSun"/>
          <w:lang w:val="es-ES_tradnl" w:eastAsia="zh-CN"/>
        </w:rPr>
        <w:t xml:space="preserve"> </w:t>
      </w:r>
      <w:r w:rsidR="00687627">
        <w:rPr>
          <w:rFonts w:eastAsia="SimSun"/>
          <w:lang w:val="es-ES_tradnl" w:eastAsia="zh-CN"/>
        </w:rPr>
        <w:t xml:space="preserve">el </w:t>
      </w:r>
      <w:r w:rsidR="005906B1">
        <w:rPr>
          <w:rFonts w:eastAsia="SimSun"/>
          <w:lang w:val="es-ES_tradnl" w:eastAsia="zh-CN"/>
        </w:rPr>
        <w:t>ejercicio</w:t>
      </w:r>
      <w:r w:rsidR="00687627">
        <w:rPr>
          <w:rFonts w:eastAsia="SimSun"/>
          <w:lang w:val="es-ES_tradnl" w:eastAsia="zh-CN"/>
        </w:rPr>
        <w:t xml:space="preserve"> </w:t>
      </w:r>
      <w:r w:rsidR="00887106" w:rsidRPr="00B924EB">
        <w:rPr>
          <w:rFonts w:eastAsia="SimSun"/>
          <w:lang w:val="es-ES_tradnl" w:eastAsia="zh-CN"/>
        </w:rPr>
        <w:t>202</w:t>
      </w:r>
      <w:r w:rsidR="000E2972">
        <w:rPr>
          <w:rFonts w:eastAsia="SimSun"/>
          <w:lang w:val="es-ES_tradnl" w:eastAsia="zh-CN"/>
        </w:rPr>
        <w:t>1</w:t>
      </w:r>
      <w:r w:rsidR="008F23FE">
        <w:rPr>
          <w:rFonts w:eastAsia="SimSun"/>
          <w:lang w:val="es-ES_tradnl" w:eastAsia="zh-CN"/>
        </w:rPr>
        <w:t>.</w:t>
      </w:r>
    </w:p>
    <w:p w14:paraId="7ABFE12D" w14:textId="1985F852" w:rsidR="00432F44" w:rsidRPr="00B924EB" w:rsidRDefault="00755C5D" w:rsidP="00F93F74">
      <w:pPr>
        <w:keepNext/>
        <w:spacing w:after="40"/>
        <w:rPr>
          <w:rFonts w:eastAsia="SimSun"/>
          <w:b/>
          <w:lang w:val="es-ES_tradnl" w:eastAsia="zh-CN"/>
        </w:rPr>
      </w:pPr>
      <w:r w:rsidRPr="00B924EB">
        <w:rPr>
          <w:rFonts w:eastAsia="SimSun"/>
          <w:b/>
          <w:lang w:val="es-ES_tradnl" w:eastAsia="zh-CN"/>
        </w:rPr>
        <w:lastRenderedPageBreak/>
        <w:t>Cuadro</w:t>
      </w:r>
      <w:r w:rsidR="00A13BEA" w:rsidRPr="00B924EB">
        <w:rPr>
          <w:rFonts w:eastAsia="SimSun"/>
          <w:b/>
          <w:lang w:val="es-ES_tradnl" w:eastAsia="zh-CN"/>
        </w:rPr>
        <w:t xml:space="preserve"> </w:t>
      </w:r>
      <w:r w:rsidR="003D752A" w:rsidRPr="00B924EB">
        <w:rPr>
          <w:rFonts w:eastAsia="SimSun"/>
          <w:b/>
          <w:lang w:val="es-ES_tradnl" w:eastAsia="zh-CN"/>
        </w:rPr>
        <w:t>2.</w:t>
      </w:r>
      <w:r w:rsidR="00A13BEA" w:rsidRPr="00B924EB">
        <w:rPr>
          <w:rFonts w:eastAsia="SimSun"/>
          <w:b/>
          <w:lang w:val="es-ES_tradnl" w:eastAsia="zh-CN"/>
        </w:rPr>
        <w:t xml:space="preserve"> </w:t>
      </w:r>
      <w:r w:rsidR="002A0E74">
        <w:rPr>
          <w:rFonts w:eastAsia="SimSun"/>
          <w:b/>
          <w:lang w:val="es-ES_tradnl" w:eastAsia="zh-CN"/>
        </w:rPr>
        <w:t>Informe de avance financiero</w:t>
      </w:r>
      <w:r w:rsidR="009C70CE">
        <w:rPr>
          <w:rFonts w:eastAsia="SimSun"/>
          <w:b/>
          <w:lang w:val="es-ES_tradnl" w:eastAsia="zh-CN"/>
        </w:rPr>
        <w:t xml:space="preserve">, </w:t>
      </w:r>
      <w:r w:rsidR="003208A7" w:rsidRPr="00B924EB">
        <w:rPr>
          <w:rFonts w:eastAsia="SimSun"/>
          <w:b/>
          <w:lang w:val="es-ES_tradnl" w:eastAsia="zh-CN"/>
        </w:rPr>
        <w:t>etapa</w:t>
      </w:r>
      <w:r w:rsidR="00A13BEA" w:rsidRPr="00B924EB">
        <w:rPr>
          <w:rFonts w:eastAsia="SimSun"/>
          <w:b/>
          <w:lang w:val="es-ES_tradnl" w:eastAsia="zh-CN"/>
        </w:rPr>
        <w:t xml:space="preserve"> </w:t>
      </w:r>
      <w:r w:rsidR="003208A7" w:rsidRPr="00B924EB">
        <w:rPr>
          <w:rFonts w:eastAsia="SimSun"/>
          <w:b/>
          <w:lang w:val="es-ES_tradnl" w:eastAsia="zh-CN"/>
        </w:rPr>
        <w:t>I</w:t>
      </w:r>
      <w:r w:rsidR="00A13BEA" w:rsidRPr="00B924EB">
        <w:rPr>
          <w:rFonts w:eastAsia="SimSun"/>
          <w:b/>
          <w:lang w:val="es-ES_tradnl" w:eastAsia="zh-CN"/>
        </w:rPr>
        <w:t xml:space="preserve"> </w:t>
      </w:r>
      <w:r w:rsidRPr="00B924EB">
        <w:rPr>
          <w:rFonts w:eastAsia="SimSun"/>
          <w:b/>
          <w:lang w:val="es-ES_tradnl" w:eastAsia="zh-CN"/>
        </w:rPr>
        <w:t>del</w:t>
      </w:r>
      <w:r w:rsidR="00A13BEA" w:rsidRPr="00B924EB">
        <w:rPr>
          <w:rFonts w:eastAsia="SimSun"/>
          <w:b/>
          <w:lang w:val="es-ES_tradnl" w:eastAsia="zh-CN"/>
        </w:rPr>
        <w:t xml:space="preserve"> </w:t>
      </w:r>
      <w:r w:rsidRPr="00B924EB">
        <w:rPr>
          <w:rFonts w:eastAsia="SimSun"/>
          <w:b/>
          <w:lang w:val="es-ES_tradnl" w:eastAsia="zh-CN"/>
        </w:rPr>
        <w:t>PGEH</w:t>
      </w:r>
      <w:r w:rsidR="00A13BEA" w:rsidRPr="00B924EB">
        <w:rPr>
          <w:rFonts w:eastAsia="SimSun"/>
          <w:b/>
          <w:lang w:val="es-ES_tradnl" w:eastAsia="zh-CN"/>
        </w:rPr>
        <w:t xml:space="preserve"> </w:t>
      </w:r>
      <w:r w:rsidR="009374DA" w:rsidRPr="00B924EB">
        <w:rPr>
          <w:rFonts w:eastAsia="SimSun"/>
          <w:b/>
          <w:lang w:val="es-ES_tradnl" w:eastAsia="zh-CN"/>
        </w:rPr>
        <w:t>en</w:t>
      </w:r>
      <w:r w:rsidR="00A13BEA" w:rsidRPr="00B924EB">
        <w:rPr>
          <w:rFonts w:eastAsia="SimSun"/>
          <w:b/>
          <w:lang w:val="es-ES_tradnl" w:eastAsia="zh-CN"/>
        </w:rPr>
        <w:t xml:space="preserve"> </w:t>
      </w:r>
      <w:r w:rsidR="003D752A" w:rsidRPr="00B924EB">
        <w:rPr>
          <w:rFonts w:eastAsia="SimSun"/>
          <w:b/>
          <w:lang w:val="es-ES_tradnl" w:eastAsia="zh-CN"/>
        </w:rPr>
        <w:t>Iraq</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244"/>
        <w:gridCol w:w="1659"/>
        <w:gridCol w:w="1775"/>
      </w:tblGrid>
      <w:tr w:rsidR="004B3B20" w:rsidRPr="00B924EB" w14:paraId="5ADCE345" w14:textId="77777777" w:rsidTr="004B3B20">
        <w:trPr>
          <w:tblHeader/>
        </w:trPr>
        <w:tc>
          <w:tcPr>
            <w:tcW w:w="2499" w:type="pct"/>
            <w:tcMar>
              <w:top w:w="14" w:type="dxa"/>
              <w:left w:w="115" w:type="dxa"/>
              <w:bottom w:w="14" w:type="dxa"/>
              <w:right w:w="115" w:type="dxa"/>
            </w:tcMar>
            <w:vAlign w:val="center"/>
          </w:tcPr>
          <w:p w14:paraId="2E2E775B" w14:textId="4CB8B8AE" w:rsidR="004617F8" w:rsidRPr="00B924EB" w:rsidRDefault="009374DA" w:rsidP="003C5535">
            <w:pPr>
              <w:keepNext/>
              <w:jc w:val="center"/>
              <w:rPr>
                <w:b/>
                <w:bCs/>
                <w:color w:val="000000"/>
                <w:sz w:val="20"/>
                <w:szCs w:val="20"/>
                <w:lang w:val="es-ES_tradnl"/>
              </w:rPr>
            </w:pPr>
            <w:r w:rsidRPr="00B924EB">
              <w:rPr>
                <w:b/>
                <w:bCs/>
                <w:color w:val="000000"/>
                <w:sz w:val="20"/>
                <w:szCs w:val="20"/>
                <w:lang w:val="es-ES_tradnl"/>
              </w:rPr>
              <w:t>Componente</w:t>
            </w:r>
          </w:p>
        </w:tc>
        <w:tc>
          <w:tcPr>
            <w:tcW w:w="665" w:type="pct"/>
          </w:tcPr>
          <w:p w14:paraId="47A5A936" w14:textId="2B6FAF44" w:rsidR="004617F8" w:rsidRPr="00B924EB" w:rsidRDefault="00472E20" w:rsidP="003C5535">
            <w:pPr>
              <w:keepNext/>
              <w:jc w:val="center"/>
              <w:rPr>
                <w:b/>
                <w:bCs/>
                <w:color w:val="000000"/>
                <w:sz w:val="20"/>
                <w:szCs w:val="20"/>
                <w:lang w:val="es-ES_tradnl"/>
              </w:rPr>
            </w:pPr>
            <w:r>
              <w:rPr>
                <w:b/>
                <w:bCs/>
                <w:color w:val="000000"/>
                <w:sz w:val="20"/>
                <w:szCs w:val="20"/>
                <w:lang w:val="es-ES_tradnl"/>
              </w:rPr>
              <w:t>O</w:t>
            </w:r>
            <w:r w:rsidR="00755C5D" w:rsidRPr="00B924EB">
              <w:rPr>
                <w:b/>
                <w:bCs/>
                <w:color w:val="000000"/>
                <w:sz w:val="20"/>
                <w:szCs w:val="20"/>
                <w:lang w:val="es-ES_tradnl"/>
              </w:rPr>
              <w:t>rganismo</w:t>
            </w:r>
            <w:r w:rsidR="00A13BEA" w:rsidRPr="00B924EB">
              <w:rPr>
                <w:b/>
                <w:bCs/>
                <w:color w:val="000000"/>
                <w:sz w:val="20"/>
                <w:szCs w:val="20"/>
                <w:lang w:val="es-ES_tradnl"/>
              </w:rPr>
              <w:t xml:space="preserve"> </w:t>
            </w:r>
            <w:r w:rsidR="00755C5D" w:rsidRPr="00B924EB">
              <w:rPr>
                <w:b/>
                <w:bCs/>
                <w:color w:val="000000"/>
                <w:sz w:val="20"/>
                <w:szCs w:val="20"/>
                <w:lang w:val="es-ES_tradnl"/>
              </w:rPr>
              <w:t>de</w:t>
            </w:r>
            <w:r w:rsidR="00A13BEA" w:rsidRPr="00B924EB">
              <w:rPr>
                <w:b/>
                <w:bCs/>
                <w:color w:val="000000"/>
                <w:sz w:val="20"/>
                <w:szCs w:val="20"/>
                <w:lang w:val="es-ES_tradnl"/>
              </w:rPr>
              <w:t xml:space="preserve"> </w:t>
            </w:r>
            <w:r w:rsidR="00755C5D" w:rsidRPr="00B924EB">
              <w:rPr>
                <w:b/>
                <w:bCs/>
                <w:color w:val="000000"/>
                <w:sz w:val="20"/>
                <w:szCs w:val="20"/>
                <w:lang w:val="es-ES_tradnl"/>
              </w:rPr>
              <w:t>ejecución</w:t>
            </w:r>
          </w:p>
        </w:tc>
        <w:tc>
          <w:tcPr>
            <w:tcW w:w="887" w:type="pct"/>
            <w:shd w:val="clear" w:color="auto" w:fill="auto"/>
            <w:noWrap/>
            <w:tcMar>
              <w:top w:w="14" w:type="dxa"/>
              <w:left w:w="115" w:type="dxa"/>
              <w:bottom w:w="14" w:type="dxa"/>
              <w:right w:w="115" w:type="dxa"/>
            </w:tcMar>
            <w:vAlign w:val="center"/>
            <w:hideMark/>
          </w:tcPr>
          <w:p w14:paraId="3467ABE4" w14:textId="5B314C25" w:rsidR="004617F8" w:rsidRPr="00B924EB" w:rsidRDefault="00767632" w:rsidP="003C5535">
            <w:pPr>
              <w:keepNext/>
              <w:jc w:val="center"/>
              <w:rPr>
                <w:b/>
                <w:bCs/>
                <w:color w:val="000000"/>
                <w:sz w:val="20"/>
                <w:szCs w:val="20"/>
                <w:lang w:val="es-ES_tradnl"/>
              </w:rPr>
            </w:pPr>
            <w:r>
              <w:rPr>
                <w:b/>
                <w:bCs/>
                <w:color w:val="000000"/>
                <w:sz w:val="20"/>
                <w:szCs w:val="20"/>
                <w:lang w:val="es-ES_tradnl"/>
              </w:rPr>
              <w:t>A</w:t>
            </w:r>
            <w:r w:rsidR="00755C5D" w:rsidRPr="00B924EB">
              <w:rPr>
                <w:b/>
                <w:bCs/>
                <w:color w:val="000000"/>
                <w:sz w:val="20"/>
                <w:szCs w:val="20"/>
                <w:lang w:val="es-ES_tradnl"/>
              </w:rPr>
              <w:t>probado</w:t>
            </w:r>
            <w:r w:rsidR="00A13BEA" w:rsidRPr="00B924EB">
              <w:rPr>
                <w:b/>
                <w:bCs/>
                <w:color w:val="000000"/>
                <w:sz w:val="20"/>
                <w:szCs w:val="20"/>
                <w:lang w:val="es-ES_tradnl"/>
              </w:rPr>
              <w:t xml:space="preserve"> </w:t>
            </w:r>
            <w:r w:rsidR="00E26F0F" w:rsidRPr="00B924EB">
              <w:rPr>
                <w:b/>
                <w:bCs/>
                <w:color w:val="000000"/>
                <w:sz w:val="20"/>
                <w:szCs w:val="20"/>
                <w:lang w:val="es-ES_tradnl"/>
              </w:rPr>
              <w:t>($EUA)</w:t>
            </w:r>
          </w:p>
        </w:tc>
        <w:tc>
          <w:tcPr>
            <w:tcW w:w="949" w:type="pct"/>
            <w:shd w:val="clear" w:color="auto" w:fill="auto"/>
            <w:noWrap/>
            <w:tcMar>
              <w:top w:w="14" w:type="dxa"/>
              <w:left w:w="115" w:type="dxa"/>
              <w:bottom w:w="14" w:type="dxa"/>
              <w:right w:w="115" w:type="dxa"/>
            </w:tcMar>
            <w:vAlign w:val="center"/>
            <w:hideMark/>
          </w:tcPr>
          <w:p w14:paraId="38381726" w14:textId="49593E54" w:rsidR="004617F8" w:rsidRPr="00B924EB" w:rsidRDefault="00A76E45" w:rsidP="003C5535">
            <w:pPr>
              <w:keepNext/>
              <w:jc w:val="center"/>
              <w:rPr>
                <w:b/>
                <w:bCs/>
                <w:color w:val="000000"/>
                <w:sz w:val="20"/>
                <w:szCs w:val="20"/>
                <w:lang w:val="es-ES_tradnl"/>
              </w:rPr>
            </w:pPr>
            <w:r>
              <w:rPr>
                <w:b/>
                <w:bCs/>
                <w:color w:val="000000"/>
                <w:sz w:val="20"/>
                <w:szCs w:val="20"/>
                <w:lang w:val="es-ES_tradnl"/>
              </w:rPr>
              <w:t>D</w:t>
            </w:r>
            <w:r w:rsidR="00755C5D" w:rsidRPr="00B924EB">
              <w:rPr>
                <w:b/>
                <w:bCs/>
                <w:color w:val="000000"/>
                <w:sz w:val="20"/>
                <w:szCs w:val="20"/>
                <w:lang w:val="es-ES_tradnl"/>
              </w:rPr>
              <w:t>esembolsado</w:t>
            </w:r>
            <w:r>
              <w:rPr>
                <w:b/>
                <w:bCs/>
                <w:color w:val="000000"/>
                <w:sz w:val="20"/>
                <w:szCs w:val="20"/>
                <w:lang w:val="es-ES_tradnl"/>
              </w:rPr>
              <w:t xml:space="preserve"> </w:t>
            </w:r>
            <w:r w:rsidR="00E26F0F" w:rsidRPr="00B924EB">
              <w:rPr>
                <w:b/>
                <w:bCs/>
                <w:color w:val="000000"/>
                <w:sz w:val="20"/>
                <w:szCs w:val="20"/>
                <w:lang w:val="es-ES_tradnl"/>
              </w:rPr>
              <w:t>($EUA)</w:t>
            </w:r>
          </w:p>
        </w:tc>
      </w:tr>
      <w:tr w:rsidR="004B3B20" w:rsidRPr="00B924EB" w14:paraId="246AE51F" w14:textId="77777777" w:rsidTr="004B3B20">
        <w:tc>
          <w:tcPr>
            <w:tcW w:w="2499" w:type="pct"/>
            <w:shd w:val="clear" w:color="auto" w:fill="auto"/>
            <w:tcMar>
              <w:top w:w="14" w:type="dxa"/>
              <w:left w:w="115" w:type="dxa"/>
              <w:bottom w:w="14" w:type="dxa"/>
              <w:right w:w="115" w:type="dxa"/>
            </w:tcMar>
          </w:tcPr>
          <w:p w14:paraId="6707BF6E" w14:textId="2FB41BD0" w:rsidR="004617F8" w:rsidRPr="00B924EB" w:rsidRDefault="00F61BD7" w:rsidP="004617F8">
            <w:pPr>
              <w:jc w:val="left"/>
              <w:rPr>
                <w:bCs/>
                <w:color w:val="000000"/>
                <w:sz w:val="20"/>
                <w:szCs w:val="20"/>
                <w:lang w:val="es-ES_tradnl"/>
              </w:rPr>
            </w:pPr>
            <w:r>
              <w:rPr>
                <w:bCs/>
                <w:color w:val="000000"/>
                <w:sz w:val="20"/>
                <w:szCs w:val="20"/>
                <w:lang w:val="es-ES_tradnl"/>
              </w:rPr>
              <w:t xml:space="preserve">Fiscalización de </w:t>
            </w:r>
            <w:r w:rsidR="00E27D0D">
              <w:rPr>
                <w:bCs/>
                <w:color w:val="000000"/>
                <w:sz w:val="20"/>
                <w:szCs w:val="20"/>
                <w:lang w:val="es-ES_tradnl"/>
              </w:rPr>
              <w:t>medidas y políticas regulatorias</w:t>
            </w:r>
          </w:p>
        </w:tc>
        <w:tc>
          <w:tcPr>
            <w:tcW w:w="665" w:type="pct"/>
          </w:tcPr>
          <w:p w14:paraId="2F47D859" w14:textId="37920BD9" w:rsidR="004617F8" w:rsidRPr="00B924EB" w:rsidRDefault="001A4F35" w:rsidP="006C3E18">
            <w:pPr>
              <w:jc w:val="center"/>
              <w:rPr>
                <w:bCs/>
                <w:color w:val="000000"/>
                <w:sz w:val="20"/>
                <w:szCs w:val="20"/>
                <w:lang w:val="es-ES_tradnl"/>
              </w:rPr>
            </w:pPr>
            <w:r>
              <w:rPr>
                <w:bCs/>
                <w:color w:val="000000"/>
                <w:sz w:val="20"/>
                <w:szCs w:val="20"/>
                <w:lang w:val="es-ES_tradnl"/>
              </w:rPr>
              <w:t>PNUMA</w:t>
            </w:r>
          </w:p>
        </w:tc>
        <w:tc>
          <w:tcPr>
            <w:tcW w:w="887" w:type="pct"/>
            <w:shd w:val="clear" w:color="auto" w:fill="auto"/>
            <w:tcMar>
              <w:top w:w="14" w:type="dxa"/>
              <w:left w:w="115" w:type="dxa"/>
              <w:bottom w:w="14" w:type="dxa"/>
              <w:right w:w="115" w:type="dxa"/>
            </w:tcMar>
          </w:tcPr>
          <w:p w14:paraId="72438BB2" w14:textId="4FFDDBA1" w:rsidR="004617F8" w:rsidRPr="00B924EB" w:rsidRDefault="004617F8" w:rsidP="00930DB7">
            <w:pPr>
              <w:jc w:val="right"/>
              <w:rPr>
                <w:bCs/>
                <w:color w:val="000000"/>
                <w:sz w:val="20"/>
                <w:szCs w:val="20"/>
                <w:lang w:val="es-ES_tradnl"/>
              </w:rPr>
            </w:pPr>
            <w:r w:rsidRPr="00B924EB">
              <w:rPr>
                <w:bCs/>
                <w:color w:val="000000"/>
                <w:sz w:val="20"/>
                <w:szCs w:val="20"/>
                <w:lang w:val="es-ES_tradnl"/>
              </w:rPr>
              <w:t>12</w:t>
            </w:r>
            <w:r w:rsidR="009374DA" w:rsidRPr="00B924EB">
              <w:rPr>
                <w:bCs/>
                <w:color w:val="000000"/>
                <w:sz w:val="20"/>
                <w:szCs w:val="20"/>
                <w:lang w:val="es-ES_tradnl"/>
              </w:rPr>
              <w:t>5.</w:t>
            </w:r>
            <w:r w:rsidRPr="00B924EB">
              <w:rPr>
                <w:bCs/>
                <w:color w:val="000000"/>
                <w:sz w:val="20"/>
                <w:szCs w:val="20"/>
                <w:lang w:val="es-ES_tradnl"/>
              </w:rPr>
              <w:t>000</w:t>
            </w:r>
          </w:p>
        </w:tc>
        <w:tc>
          <w:tcPr>
            <w:tcW w:w="949" w:type="pct"/>
            <w:shd w:val="clear" w:color="auto" w:fill="auto"/>
            <w:noWrap/>
            <w:tcMar>
              <w:top w:w="14" w:type="dxa"/>
              <w:left w:w="115" w:type="dxa"/>
              <w:bottom w:w="14" w:type="dxa"/>
              <w:right w:w="115" w:type="dxa"/>
            </w:tcMar>
          </w:tcPr>
          <w:p w14:paraId="245322CD" w14:textId="59F478EA" w:rsidR="004617F8" w:rsidRPr="00B924EB" w:rsidRDefault="004617F8" w:rsidP="00930DB7">
            <w:pPr>
              <w:jc w:val="right"/>
              <w:rPr>
                <w:bCs/>
                <w:color w:val="000000"/>
                <w:sz w:val="20"/>
                <w:szCs w:val="20"/>
                <w:lang w:val="es-ES_tradnl"/>
              </w:rPr>
            </w:pPr>
            <w:r w:rsidRPr="00B924EB">
              <w:rPr>
                <w:bCs/>
                <w:color w:val="000000"/>
                <w:sz w:val="20"/>
                <w:szCs w:val="20"/>
                <w:lang w:val="es-ES_tradnl"/>
              </w:rPr>
              <w:t>9</w:t>
            </w:r>
            <w:r w:rsidR="00755C5D" w:rsidRPr="00B924EB">
              <w:rPr>
                <w:bCs/>
                <w:color w:val="000000"/>
                <w:sz w:val="20"/>
                <w:szCs w:val="20"/>
                <w:lang w:val="es-ES_tradnl"/>
              </w:rPr>
              <w:t>2.</w:t>
            </w:r>
            <w:r w:rsidRPr="00B924EB">
              <w:rPr>
                <w:bCs/>
                <w:color w:val="000000"/>
                <w:sz w:val="20"/>
                <w:szCs w:val="20"/>
                <w:lang w:val="es-ES_tradnl"/>
              </w:rPr>
              <w:t>467</w:t>
            </w:r>
          </w:p>
        </w:tc>
      </w:tr>
      <w:tr w:rsidR="004B3B20" w:rsidRPr="00B924EB" w14:paraId="61EA640C" w14:textId="77777777" w:rsidTr="004B3B20">
        <w:tc>
          <w:tcPr>
            <w:tcW w:w="2499" w:type="pct"/>
            <w:shd w:val="clear" w:color="auto" w:fill="auto"/>
            <w:tcMar>
              <w:top w:w="14" w:type="dxa"/>
              <w:left w:w="115" w:type="dxa"/>
              <w:bottom w:w="14" w:type="dxa"/>
              <w:right w:w="115" w:type="dxa"/>
            </w:tcMar>
          </w:tcPr>
          <w:p w14:paraId="33E49727" w14:textId="4DC2ACB8" w:rsidR="004617F8" w:rsidRPr="00B924EB" w:rsidRDefault="009374DA" w:rsidP="004617F8">
            <w:pPr>
              <w:jc w:val="left"/>
              <w:rPr>
                <w:bCs/>
                <w:color w:val="000000"/>
                <w:sz w:val="20"/>
                <w:szCs w:val="20"/>
                <w:lang w:val="es-ES_tradnl"/>
              </w:rPr>
            </w:pPr>
            <w:r w:rsidRPr="00B924EB">
              <w:rPr>
                <w:bCs/>
                <w:color w:val="000000"/>
                <w:sz w:val="20"/>
                <w:szCs w:val="20"/>
                <w:lang w:val="es-ES_tradnl"/>
              </w:rPr>
              <w:t>Capacitación</w:t>
            </w:r>
            <w:r w:rsidR="004617F8" w:rsidRPr="00B924EB">
              <w:rPr>
                <w:bCs/>
                <w:color w:val="000000"/>
                <w:sz w:val="20"/>
                <w:szCs w:val="20"/>
                <w:lang w:val="es-ES_tradnl"/>
              </w:rPr>
              <w:t>,</w:t>
            </w:r>
            <w:r w:rsidR="00A13BEA" w:rsidRPr="00B924EB">
              <w:rPr>
                <w:bCs/>
                <w:color w:val="000000"/>
                <w:sz w:val="20"/>
                <w:szCs w:val="20"/>
                <w:lang w:val="es-ES_tradnl"/>
              </w:rPr>
              <w:t xml:space="preserve"> </w:t>
            </w:r>
            <w:r w:rsidR="00E26F0F" w:rsidRPr="00B924EB">
              <w:rPr>
                <w:bCs/>
                <w:color w:val="000000"/>
                <w:sz w:val="20"/>
                <w:szCs w:val="20"/>
                <w:lang w:val="es-ES_tradnl"/>
              </w:rPr>
              <w:t>acreditación</w:t>
            </w:r>
            <w:r w:rsidR="00A13BEA" w:rsidRPr="00B924EB">
              <w:rPr>
                <w:bCs/>
                <w:color w:val="000000"/>
                <w:sz w:val="20"/>
                <w:szCs w:val="20"/>
                <w:lang w:val="es-ES_tradnl"/>
              </w:rPr>
              <w:t xml:space="preserve"> </w:t>
            </w:r>
            <w:r w:rsidR="00755C5D" w:rsidRPr="00B924EB">
              <w:rPr>
                <w:bCs/>
                <w:color w:val="000000"/>
                <w:sz w:val="20"/>
                <w:szCs w:val="20"/>
                <w:lang w:val="es-ES_tradnl"/>
              </w:rPr>
              <w:t>y</w:t>
            </w:r>
            <w:r w:rsidR="00A13BEA" w:rsidRPr="00B924EB">
              <w:rPr>
                <w:bCs/>
                <w:color w:val="000000"/>
                <w:sz w:val="20"/>
                <w:szCs w:val="20"/>
                <w:lang w:val="es-ES_tradnl"/>
              </w:rPr>
              <w:t xml:space="preserve"> </w:t>
            </w:r>
            <w:r w:rsidR="004B0CA3" w:rsidRPr="00B924EB">
              <w:rPr>
                <w:bCs/>
                <w:color w:val="000000"/>
                <w:sz w:val="20"/>
                <w:szCs w:val="20"/>
                <w:lang w:val="es-ES_tradnl"/>
              </w:rPr>
              <w:t>normas</w:t>
            </w:r>
          </w:p>
        </w:tc>
        <w:tc>
          <w:tcPr>
            <w:tcW w:w="665" w:type="pct"/>
          </w:tcPr>
          <w:p w14:paraId="6387722E" w14:textId="5CAAA053" w:rsidR="004617F8" w:rsidRPr="00B924EB" w:rsidRDefault="001A4F35" w:rsidP="006C3E18">
            <w:pPr>
              <w:jc w:val="center"/>
              <w:rPr>
                <w:bCs/>
                <w:color w:val="000000"/>
                <w:sz w:val="20"/>
                <w:szCs w:val="20"/>
                <w:lang w:val="es-ES_tradnl"/>
              </w:rPr>
            </w:pPr>
            <w:r>
              <w:rPr>
                <w:bCs/>
                <w:color w:val="000000"/>
                <w:sz w:val="20"/>
                <w:szCs w:val="20"/>
                <w:lang w:val="es-ES_tradnl"/>
              </w:rPr>
              <w:t>PNUMA</w:t>
            </w:r>
          </w:p>
        </w:tc>
        <w:tc>
          <w:tcPr>
            <w:tcW w:w="887" w:type="pct"/>
            <w:shd w:val="clear" w:color="auto" w:fill="auto"/>
            <w:tcMar>
              <w:top w:w="14" w:type="dxa"/>
              <w:bottom w:w="14" w:type="dxa"/>
            </w:tcMar>
          </w:tcPr>
          <w:p w14:paraId="5E3445B2" w14:textId="130BA889" w:rsidR="004617F8" w:rsidRPr="00B924EB" w:rsidRDefault="004617F8" w:rsidP="00930DB7">
            <w:pPr>
              <w:jc w:val="right"/>
              <w:rPr>
                <w:bCs/>
                <w:color w:val="000000"/>
                <w:sz w:val="20"/>
                <w:szCs w:val="20"/>
                <w:lang w:val="es-ES_tradnl"/>
              </w:rPr>
            </w:pPr>
            <w:r w:rsidRPr="00B924EB">
              <w:rPr>
                <w:bCs/>
                <w:color w:val="000000"/>
                <w:sz w:val="20"/>
                <w:szCs w:val="20"/>
                <w:lang w:val="es-ES_tradnl"/>
              </w:rPr>
              <w:t>34</w:t>
            </w:r>
            <w:r w:rsidR="009374DA" w:rsidRPr="00B924EB">
              <w:rPr>
                <w:bCs/>
                <w:color w:val="000000"/>
                <w:sz w:val="20"/>
                <w:szCs w:val="20"/>
                <w:lang w:val="es-ES_tradnl"/>
              </w:rPr>
              <w:t>5.</w:t>
            </w:r>
            <w:r w:rsidRPr="00B924EB">
              <w:rPr>
                <w:bCs/>
                <w:color w:val="000000"/>
                <w:sz w:val="20"/>
                <w:szCs w:val="20"/>
                <w:lang w:val="es-ES_tradnl"/>
              </w:rPr>
              <w:t>000</w:t>
            </w:r>
          </w:p>
        </w:tc>
        <w:tc>
          <w:tcPr>
            <w:tcW w:w="949" w:type="pct"/>
            <w:shd w:val="clear" w:color="auto" w:fill="auto"/>
            <w:noWrap/>
            <w:tcMar>
              <w:top w:w="14" w:type="dxa"/>
              <w:left w:w="115" w:type="dxa"/>
              <w:bottom w:w="14" w:type="dxa"/>
              <w:right w:w="115" w:type="dxa"/>
            </w:tcMar>
          </w:tcPr>
          <w:p w14:paraId="1662A897" w14:textId="599648AA" w:rsidR="004617F8" w:rsidRPr="00B924EB" w:rsidRDefault="00A03676" w:rsidP="00A03676">
            <w:pPr>
              <w:jc w:val="right"/>
              <w:rPr>
                <w:bCs/>
                <w:color w:val="000000"/>
                <w:sz w:val="20"/>
                <w:szCs w:val="20"/>
                <w:lang w:val="es-ES_tradnl"/>
              </w:rPr>
            </w:pPr>
            <w:r w:rsidRPr="00B924EB">
              <w:rPr>
                <w:bCs/>
                <w:color w:val="000000"/>
                <w:sz w:val="20"/>
                <w:szCs w:val="20"/>
                <w:lang w:val="es-ES_tradnl"/>
              </w:rPr>
              <w:t>21</w:t>
            </w:r>
            <w:r w:rsidR="00755C5D" w:rsidRPr="00B924EB">
              <w:rPr>
                <w:bCs/>
                <w:color w:val="000000"/>
                <w:sz w:val="20"/>
                <w:szCs w:val="20"/>
                <w:lang w:val="es-ES_tradnl"/>
              </w:rPr>
              <w:t>3.</w:t>
            </w:r>
            <w:r w:rsidRPr="00B924EB">
              <w:rPr>
                <w:bCs/>
                <w:color w:val="000000"/>
                <w:sz w:val="20"/>
                <w:szCs w:val="20"/>
                <w:lang w:val="es-ES_tradnl"/>
              </w:rPr>
              <w:t>4</w:t>
            </w:r>
            <w:r w:rsidR="004617F8" w:rsidRPr="00B924EB">
              <w:rPr>
                <w:bCs/>
                <w:color w:val="000000"/>
                <w:sz w:val="20"/>
                <w:szCs w:val="20"/>
                <w:lang w:val="es-ES_tradnl"/>
              </w:rPr>
              <w:t>00</w:t>
            </w:r>
          </w:p>
        </w:tc>
      </w:tr>
      <w:tr w:rsidR="004B3B20" w:rsidRPr="00B924EB" w14:paraId="170CC710" w14:textId="77777777" w:rsidTr="004B3B20">
        <w:tc>
          <w:tcPr>
            <w:tcW w:w="2499" w:type="pct"/>
            <w:tcMar>
              <w:top w:w="14" w:type="dxa"/>
              <w:left w:w="115" w:type="dxa"/>
              <w:bottom w:w="14" w:type="dxa"/>
              <w:right w:w="115" w:type="dxa"/>
            </w:tcMar>
            <w:vAlign w:val="center"/>
          </w:tcPr>
          <w:p w14:paraId="780D0D3A" w14:textId="07CE606C" w:rsidR="004617F8" w:rsidRPr="00B924EB" w:rsidRDefault="00D06EB9" w:rsidP="004617F8">
            <w:pPr>
              <w:jc w:val="left"/>
              <w:rPr>
                <w:color w:val="000000"/>
                <w:sz w:val="20"/>
                <w:szCs w:val="20"/>
                <w:lang w:val="es-ES_tradnl"/>
              </w:rPr>
            </w:pPr>
            <w:r>
              <w:rPr>
                <w:rFonts w:eastAsia="SimSun"/>
                <w:sz w:val="20"/>
                <w:szCs w:val="20"/>
                <w:lang w:val="es-ES_tradnl" w:eastAsia="zh-CN"/>
              </w:rPr>
              <w:t>Asistencia a sector de servicio técnico</w:t>
            </w:r>
          </w:p>
        </w:tc>
        <w:tc>
          <w:tcPr>
            <w:tcW w:w="665" w:type="pct"/>
          </w:tcPr>
          <w:p w14:paraId="27C1675A" w14:textId="667F5BD1" w:rsidR="004617F8" w:rsidRPr="00B924EB" w:rsidRDefault="001A4F35" w:rsidP="006C3E18">
            <w:pPr>
              <w:jc w:val="center"/>
              <w:rPr>
                <w:bCs/>
                <w:color w:val="000000"/>
                <w:sz w:val="20"/>
                <w:szCs w:val="20"/>
                <w:lang w:val="es-ES_tradnl"/>
              </w:rPr>
            </w:pPr>
            <w:r>
              <w:rPr>
                <w:bCs/>
                <w:color w:val="000000"/>
                <w:sz w:val="20"/>
                <w:szCs w:val="20"/>
                <w:lang w:val="es-ES_tradnl"/>
              </w:rPr>
              <w:t>ONUDI</w:t>
            </w:r>
          </w:p>
        </w:tc>
        <w:tc>
          <w:tcPr>
            <w:tcW w:w="887" w:type="pct"/>
            <w:shd w:val="clear" w:color="auto" w:fill="auto"/>
            <w:tcMar>
              <w:top w:w="14" w:type="dxa"/>
              <w:left w:w="115" w:type="dxa"/>
              <w:bottom w:w="14" w:type="dxa"/>
              <w:right w:w="115" w:type="dxa"/>
            </w:tcMar>
          </w:tcPr>
          <w:p w14:paraId="41A6B625" w14:textId="18FA05F7" w:rsidR="004617F8" w:rsidRPr="00B924EB" w:rsidRDefault="004617F8" w:rsidP="004617F8">
            <w:pPr>
              <w:jc w:val="right"/>
              <w:rPr>
                <w:color w:val="000000"/>
                <w:sz w:val="20"/>
                <w:szCs w:val="20"/>
                <w:lang w:val="es-ES_tradnl"/>
              </w:rPr>
            </w:pPr>
            <w:r w:rsidRPr="00B924EB">
              <w:rPr>
                <w:bCs/>
                <w:color w:val="000000"/>
                <w:sz w:val="20"/>
                <w:szCs w:val="20"/>
                <w:lang w:val="es-ES_tradnl"/>
              </w:rPr>
              <w:t>52</w:t>
            </w:r>
            <w:r w:rsidR="00755C5D" w:rsidRPr="00B924EB">
              <w:rPr>
                <w:bCs/>
                <w:color w:val="000000"/>
                <w:sz w:val="20"/>
                <w:szCs w:val="20"/>
                <w:lang w:val="es-ES_tradnl"/>
              </w:rPr>
              <w:t>0.</w:t>
            </w:r>
            <w:r w:rsidRPr="00B924EB">
              <w:rPr>
                <w:bCs/>
                <w:color w:val="000000"/>
                <w:sz w:val="20"/>
                <w:szCs w:val="20"/>
                <w:lang w:val="es-ES_tradnl"/>
              </w:rPr>
              <w:t>000</w:t>
            </w:r>
          </w:p>
        </w:tc>
        <w:tc>
          <w:tcPr>
            <w:tcW w:w="949" w:type="pct"/>
            <w:shd w:val="clear" w:color="auto" w:fill="auto"/>
            <w:tcMar>
              <w:top w:w="14" w:type="dxa"/>
              <w:left w:w="115" w:type="dxa"/>
              <w:bottom w:w="14" w:type="dxa"/>
              <w:right w:w="115" w:type="dxa"/>
            </w:tcMar>
          </w:tcPr>
          <w:p w14:paraId="33A68A1A" w14:textId="4AFF62E8" w:rsidR="004617F8" w:rsidRPr="00B924EB" w:rsidRDefault="004617F8" w:rsidP="004617F8">
            <w:pPr>
              <w:jc w:val="right"/>
              <w:rPr>
                <w:color w:val="000000"/>
                <w:sz w:val="20"/>
                <w:szCs w:val="20"/>
                <w:lang w:val="es-ES_tradnl"/>
              </w:rPr>
            </w:pPr>
            <w:r w:rsidRPr="00B924EB">
              <w:rPr>
                <w:bCs/>
                <w:color w:val="000000"/>
                <w:sz w:val="20"/>
                <w:szCs w:val="20"/>
                <w:lang w:val="es-ES_tradnl"/>
              </w:rPr>
              <w:t>8</w:t>
            </w:r>
            <w:r w:rsidR="00755C5D" w:rsidRPr="00B924EB">
              <w:rPr>
                <w:bCs/>
                <w:color w:val="000000"/>
                <w:sz w:val="20"/>
                <w:szCs w:val="20"/>
                <w:lang w:val="es-ES_tradnl"/>
              </w:rPr>
              <w:t>0.</w:t>
            </w:r>
            <w:r w:rsidRPr="00B924EB">
              <w:rPr>
                <w:bCs/>
                <w:color w:val="000000"/>
                <w:sz w:val="20"/>
                <w:szCs w:val="20"/>
                <w:lang w:val="es-ES_tradnl"/>
              </w:rPr>
              <w:t>000</w:t>
            </w:r>
          </w:p>
        </w:tc>
      </w:tr>
      <w:tr w:rsidR="004B3B20" w:rsidRPr="00B924EB" w14:paraId="5688A868" w14:textId="77777777" w:rsidTr="004B3B20">
        <w:tc>
          <w:tcPr>
            <w:tcW w:w="2499" w:type="pct"/>
            <w:shd w:val="clear" w:color="auto" w:fill="auto"/>
            <w:tcMar>
              <w:top w:w="14" w:type="dxa"/>
              <w:left w:w="115" w:type="dxa"/>
              <w:bottom w:w="14" w:type="dxa"/>
              <w:right w:w="115" w:type="dxa"/>
            </w:tcMar>
          </w:tcPr>
          <w:p w14:paraId="603D6C74" w14:textId="1C03E6C7" w:rsidR="004617F8" w:rsidRPr="00B924EB" w:rsidRDefault="00346138" w:rsidP="004617F8">
            <w:pPr>
              <w:jc w:val="left"/>
              <w:rPr>
                <w:bCs/>
                <w:color w:val="000000"/>
                <w:sz w:val="20"/>
                <w:szCs w:val="20"/>
                <w:lang w:val="es-ES_tradnl"/>
              </w:rPr>
            </w:pPr>
            <w:r>
              <w:rPr>
                <w:bCs/>
                <w:color w:val="000000"/>
                <w:sz w:val="20"/>
                <w:szCs w:val="20"/>
                <w:lang w:val="es-ES_tradnl"/>
              </w:rPr>
              <w:t>Gestión y supervisión del proyecto</w:t>
            </w:r>
          </w:p>
        </w:tc>
        <w:tc>
          <w:tcPr>
            <w:tcW w:w="665" w:type="pct"/>
          </w:tcPr>
          <w:p w14:paraId="2F768E76" w14:textId="4D9DCEF7" w:rsidR="004617F8" w:rsidRPr="00B924EB" w:rsidRDefault="001A4F35" w:rsidP="006C3E18">
            <w:pPr>
              <w:jc w:val="center"/>
              <w:rPr>
                <w:bCs/>
                <w:color w:val="000000"/>
                <w:sz w:val="20"/>
                <w:szCs w:val="20"/>
                <w:lang w:val="es-ES_tradnl"/>
              </w:rPr>
            </w:pPr>
            <w:r>
              <w:rPr>
                <w:bCs/>
                <w:color w:val="000000"/>
                <w:sz w:val="20"/>
                <w:szCs w:val="20"/>
                <w:lang w:val="es-ES_tradnl"/>
              </w:rPr>
              <w:t>PNUMA</w:t>
            </w:r>
          </w:p>
        </w:tc>
        <w:tc>
          <w:tcPr>
            <w:tcW w:w="887" w:type="pct"/>
            <w:shd w:val="clear" w:color="auto" w:fill="auto"/>
            <w:tcMar>
              <w:top w:w="14" w:type="dxa"/>
              <w:bottom w:w="14" w:type="dxa"/>
            </w:tcMar>
          </w:tcPr>
          <w:p w14:paraId="7244030E" w14:textId="1A92B936" w:rsidR="004617F8" w:rsidRPr="00B924EB" w:rsidRDefault="004617F8" w:rsidP="004617F8">
            <w:pPr>
              <w:jc w:val="right"/>
              <w:rPr>
                <w:bCs/>
                <w:color w:val="000000"/>
                <w:sz w:val="20"/>
                <w:szCs w:val="20"/>
                <w:lang w:val="es-ES_tradnl"/>
              </w:rPr>
            </w:pPr>
            <w:r w:rsidRPr="00B924EB">
              <w:rPr>
                <w:bCs/>
                <w:color w:val="000000"/>
                <w:sz w:val="20"/>
                <w:szCs w:val="20"/>
                <w:lang w:val="es-ES_tradnl"/>
              </w:rPr>
              <w:t>19</w:t>
            </w:r>
            <w:r w:rsidR="00755C5D" w:rsidRPr="00B924EB">
              <w:rPr>
                <w:bCs/>
                <w:color w:val="000000"/>
                <w:sz w:val="20"/>
                <w:szCs w:val="20"/>
                <w:lang w:val="es-ES_tradnl"/>
              </w:rPr>
              <w:t>0.</w:t>
            </w:r>
            <w:r w:rsidRPr="00B924EB">
              <w:rPr>
                <w:bCs/>
                <w:color w:val="000000"/>
                <w:sz w:val="20"/>
                <w:szCs w:val="20"/>
                <w:lang w:val="es-ES_tradnl"/>
              </w:rPr>
              <w:t>000</w:t>
            </w:r>
          </w:p>
        </w:tc>
        <w:tc>
          <w:tcPr>
            <w:tcW w:w="949" w:type="pct"/>
            <w:shd w:val="clear" w:color="auto" w:fill="auto"/>
            <w:tcMar>
              <w:top w:w="14" w:type="dxa"/>
              <w:left w:w="115" w:type="dxa"/>
              <w:bottom w:w="14" w:type="dxa"/>
              <w:right w:w="115" w:type="dxa"/>
            </w:tcMar>
          </w:tcPr>
          <w:p w14:paraId="36362726" w14:textId="1FB43FDA" w:rsidR="004617F8" w:rsidRPr="00B924EB" w:rsidRDefault="00A03676" w:rsidP="004617F8">
            <w:pPr>
              <w:jc w:val="right"/>
              <w:rPr>
                <w:bCs/>
                <w:color w:val="000000"/>
                <w:sz w:val="20"/>
                <w:szCs w:val="20"/>
                <w:lang w:val="es-ES_tradnl"/>
              </w:rPr>
            </w:pPr>
            <w:r w:rsidRPr="00B924EB">
              <w:rPr>
                <w:bCs/>
                <w:color w:val="000000"/>
                <w:sz w:val="20"/>
                <w:szCs w:val="20"/>
                <w:lang w:val="es-ES_tradnl"/>
              </w:rPr>
              <w:t>13</w:t>
            </w:r>
            <w:r w:rsidR="009374DA" w:rsidRPr="00B924EB">
              <w:rPr>
                <w:bCs/>
                <w:color w:val="000000"/>
                <w:sz w:val="20"/>
                <w:szCs w:val="20"/>
                <w:lang w:val="es-ES_tradnl"/>
              </w:rPr>
              <w:t>9.</w:t>
            </w:r>
            <w:r w:rsidR="004617F8" w:rsidRPr="00B924EB">
              <w:rPr>
                <w:bCs/>
                <w:color w:val="000000"/>
                <w:sz w:val="20"/>
                <w:szCs w:val="20"/>
                <w:lang w:val="es-ES_tradnl"/>
              </w:rPr>
              <w:t>500</w:t>
            </w:r>
          </w:p>
        </w:tc>
      </w:tr>
      <w:tr w:rsidR="004B3B20" w:rsidRPr="00B924EB" w14:paraId="2D4E8F89" w14:textId="77777777" w:rsidTr="004B3B20">
        <w:tc>
          <w:tcPr>
            <w:tcW w:w="2499" w:type="pct"/>
            <w:shd w:val="clear" w:color="auto" w:fill="FFFFFF" w:themeFill="background1"/>
            <w:tcMar>
              <w:top w:w="14" w:type="dxa"/>
              <w:left w:w="115" w:type="dxa"/>
              <w:bottom w:w="14" w:type="dxa"/>
              <w:right w:w="115" w:type="dxa"/>
            </w:tcMar>
            <w:vAlign w:val="center"/>
          </w:tcPr>
          <w:p w14:paraId="53B1822F" w14:textId="77777777" w:rsidR="004617F8" w:rsidRPr="00B924EB" w:rsidRDefault="004617F8" w:rsidP="004617F8">
            <w:pPr>
              <w:jc w:val="left"/>
              <w:rPr>
                <w:b/>
                <w:bCs/>
                <w:color w:val="000000"/>
                <w:sz w:val="20"/>
                <w:szCs w:val="20"/>
                <w:lang w:val="es-ES_tradnl"/>
              </w:rPr>
            </w:pPr>
            <w:r w:rsidRPr="00B924EB">
              <w:rPr>
                <w:b/>
                <w:bCs/>
                <w:color w:val="000000"/>
                <w:sz w:val="20"/>
                <w:szCs w:val="20"/>
                <w:lang w:val="es-ES_tradnl"/>
              </w:rPr>
              <w:t>Total</w:t>
            </w:r>
          </w:p>
        </w:tc>
        <w:tc>
          <w:tcPr>
            <w:tcW w:w="665" w:type="pct"/>
            <w:shd w:val="clear" w:color="auto" w:fill="FFFFFF" w:themeFill="background1"/>
          </w:tcPr>
          <w:p w14:paraId="5BDC2E32" w14:textId="77777777" w:rsidR="004617F8" w:rsidRPr="00B924EB" w:rsidRDefault="004617F8" w:rsidP="006C3E18">
            <w:pPr>
              <w:jc w:val="center"/>
              <w:rPr>
                <w:b/>
                <w:bCs/>
                <w:color w:val="000000"/>
                <w:sz w:val="20"/>
                <w:szCs w:val="20"/>
                <w:lang w:val="es-ES_tradnl"/>
              </w:rPr>
            </w:pPr>
          </w:p>
        </w:tc>
        <w:tc>
          <w:tcPr>
            <w:tcW w:w="887" w:type="pct"/>
            <w:shd w:val="clear" w:color="auto" w:fill="FFFFFF" w:themeFill="background1"/>
            <w:noWrap/>
            <w:tcMar>
              <w:top w:w="14" w:type="dxa"/>
              <w:left w:w="115" w:type="dxa"/>
              <w:bottom w:w="14" w:type="dxa"/>
              <w:right w:w="115" w:type="dxa"/>
            </w:tcMar>
            <w:hideMark/>
          </w:tcPr>
          <w:p w14:paraId="28E52E4D" w14:textId="6404C80D" w:rsidR="004617F8" w:rsidRPr="00B924EB" w:rsidRDefault="00755C5D" w:rsidP="004617F8">
            <w:pPr>
              <w:jc w:val="right"/>
              <w:rPr>
                <w:b/>
                <w:bCs/>
                <w:color w:val="000000"/>
                <w:sz w:val="20"/>
                <w:szCs w:val="20"/>
                <w:lang w:val="es-ES_tradnl"/>
              </w:rPr>
            </w:pPr>
            <w:r w:rsidRPr="00B924EB">
              <w:rPr>
                <w:b/>
                <w:bCs/>
                <w:color w:val="000000"/>
                <w:sz w:val="20"/>
                <w:szCs w:val="20"/>
                <w:lang w:val="es-ES_tradnl"/>
              </w:rPr>
              <w:t>1.</w:t>
            </w:r>
            <w:r w:rsidR="004617F8" w:rsidRPr="00B924EB">
              <w:rPr>
                <w:b/>
                <w:bCs/>
                <w:color w:val="000000"/>
                <w:sz w:val="20"/>
                <w:szCs w:val="20"/>
                <w:lang w:val="es-ES_tradnl"/>
              </w:rPr>
              <w:t>18</w:t>
            </w:r>
            <w:r w:rsidRPr="00B924EB">
              <w:rPr>
                <w:b/>
                <w:bCs/>
                <w:color w:val="000000"/>
                <w:sz w:val="20"/>
                <w:szCs w:val="20"/>
                <w:lang w:val="es-ES_tradnl"/>
              </w:rPr>
              <w:t>0.</w:t>
            </w:r>
            <w:r w:rsidR="004617F8" w:rsidRPr="00B924EB">
              <w:rPr>
                <w:b/>
                <w:bCs/>
                <w:color w:val="000000"/>
                <w:sz w:val="20"/>
                <w:szCs w:val="20"/>
                <w:lang w:val="es-ES_tradnl"/>
              </w:rPr>
              <w:t>000</w:t>
            </w:r>
          </w:p>
        </w:tc>
        <w:tc>
          <w:tcPr>
            <w:tcW w:w="949" w:type="pct"/>
            <w:shd w:val="clear" w:color="auto" w:fill="auto"/>
            <w:noWrap/>
            <w:tcMar>
              <w:top w:w="14" w:type="dxa"/>
              <w:left w:w="115" w:type="dxa"/>
              <w:bottom w:w="14" w:type="dxa"/>
              <w:right w:w="115" w:type="dxa"/>
            </w:tcMar>
            <w:hideMark/>
          </w:tcPr>
          <w:p w14:paraId="7B2DF64B" w14:textId="4CCBD18A" w:rsidR="004617F8" w:rsidRPr="00B924EB" w:rsidRDefault="00A03676" w:rsidP="004617F8">
            <w:pPr>
              <w:jc w:val="right"/>
              <w:rPr>
                <w:b/>
                <w:bCs/>
                <w:color w:val="000000"/>
                <w:sz w:val="20"/>
                <w:szCs w:val="20"/>
                <w:lang w:val="es-ES_tradnl"/>
              </w:rPr>
            </w:pPr>
            <w:r w:rsidRPr="00B924EB">
              <w:rPr>
                <w:b/>
                <w:bCs/>
                <w:color w:val="000000"/>
                <w:sz w:val="20"/>
                <w:szCs w:val="20"/>
                <w:lang w:val="es-ES_tradnl"/>
              </w:rPr>
              <w:t>52</w:t>
            </w:r>
            <w:r w:rsidR="009374DA" w:rsidRPr="00B924EB">
              <w:rPr>
                <w:b/>
                <w:bCs/>
                <w:color w:val="000000"/>
                <w:sz w:val="20"/>
                <w:szCs w:val="20"/>
                <w:lang w:val="es-ES_tradnl"/>
              </w:rPr>
              <w:t>5.</w:t>
            </w:r>
            <w:r w:rsidR="004617F8" w:rsidRPr="00B924EB">
              <w:rPr>
                <w:b/>
                <w:bCs/>
                <w:color w:val="000000"/>
                <w:sz w:val="20"/>
                <w:szCs w:val="20"/>
                <w:lang w:val="es-ES_tradnl"/>
              </w:rPr>
              <w:t>367</w:t>
            </w:r>
          </w:p>
        </w:tc>
      </w:tr>
    </w:tbl>
    <w:p w14:paraId="7027F396" w14:textId="345BCCC7" w:rsidR="008064CE" w:rsidRPr="00B924EB" w:rsidRDefault="008064CE" w:rsidP="008064CE">
      <w:pPr>
        <w:spacing w:after="240"/>
        <w:rPr>
          <w:rFonts w:eastAsia="SimSun"/>
          <w:lang w:val="es-ES_tradnl" w:eastAsia="zh-CN"/>
        </w:rPr>
      </w:pPr>
    </w:p>
    <w:p w14:paraId="2D61BC8E" w14:textId="7B0C0561" w:rsidR="00C679D6" w:rsidRPr="00B924EB" w:rsidRDefault="002865E6" w:rsidP="005C63C5">
      <w:pPr>
        <w:pStyle w:val="Heading1"/>
        <w:numPr>
          <w:ilvl w:val="0"/>
          <w:numId w:val="0"/>
        </w:numPr>
        <w:rPr>
          <w:b/>
          <w:bCs/>
          <w:lang w:val="es-ES_tradnl"/>
        </w:rPr>
      </w:pPr>
      <w:r w:rsidRPr="002865E6">
        <w:rPr>
          <w:b/>
          <w:bCs/>
          <w:lang w:val="es-ES_tradnl"/>
        </w:rPr>
        <w:t>Etapa II del PGEH</w:t>
      </w:r>
    </w:p>
    <w:p w14:paraId="198B4C9C" w14:textId="2A117ED0" w:rsidR="000A2B72" w:rsidRPr="00B924EB" w:rsidRDefault="001322D3" w:rsidP="000A2B72">
      <w:pPr>
        <w:pStyle w:val="Heading1"/>
        <w:numPr>
          <w:ilvl w:val="0"/>
          <w:numId w:val="0"/>
        </w:numPr>
        <w:rPr>
          <w:u w:val="single"/>
          <w:lang w:val="es-ES_tradnl"/>
        </w:rPr>
      </w:pPr>
      <w:r w:rsidRPr="001322D3">
        <w:rPr>
          <w:u w:val="single"/>
          <w:lang w:val="es-ES_tradnl"/>
        </w:rPr>
        <w:t>Consumo admisible remanente para financiamiento</w:t>
      </w:r>
    </w:p>
    <w:p w14:paraId="1006B8EB" w14:textId="60C5EEB5" w:rsidR="000A2B72" w:rsidRPr="00B924EB" w:rsidRDefault="006C42AD" w:rsidP="00E371C9">
      <w:pPr>
        <w:pStyle w:val="Heading1"/>
        <w:rPr>
          <w:lang w:val="es-ES_tradnl"/>
        </w:rPr>
      </w:pPr>
      <w:r>
        <w:rPr>
          <w:lang w:val="es-ES_tradnl"/>
        </w:rPr>
        <w:t>Tras descontarse</w:t>
      </w:r>
      <w:r w:rsidR="00A13BEA" w:rsidRPr="00B924EB">
        <w:rPr>
          <w:lang w:val="es-ES_tradnl"/>
        </w:rPr>
        <w:t xml:space="preserve"> </w:t>
      </w:r>
      <w:r w:rsidR="00DD7874" w:rsidRPr="00B924EB">
        <w:rPr>
          <w:lang w:val="es-ES_tradnl"/>
        </w:rPr>
        <w:t>14.98</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E26F0F" w:rsidRPr="00B924EB">
        <w:rPr>
          <w:lang w:val="es-ES_tradnl"/>
        </w:rPr>
        <w:t>HCFC</w:t>
      </w:r>
      <w:r w:rsidR="00A13BEA" w:rsidRPr="00B924EB">
        <w:rPr>
          <w:lang w:val="es-ES_tradnl"/>
        </w:rPr>
        <w:t xml:space="preserve"> </w:t>
      </w:r>
      <w:r w:rsidR="00B924EB">
        <w:rPr>
          <w:lang w:val="es-ES_tradnl"/>
        </w:rPr>
        <w:t>asociadas a</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0A2B72" w:rsidRPr="00B924EB">
        <w:rPr>
          <w:lang w:val="es-ES_tradnl"/>
        </w:rPr>
        <w:t>,</w:t>
      </w:r>
      <w:r w:rsidR="00A13BEA" w:rsidRPr="00B924EB">
        <w:rPr>
          <w:lang w:val="es-ES_tradnl"/>
        </w:rPr>
        <w:t xml:space="preserve"> </w:t>
      </w:r>
      <w:r w:rsidR="00982592">
        <w:rPr>
          <w:lang w:val="es-ES_tradnl"/>
        </w:rPr>
        <w:t xml:space="preserve">más </w:t>
      </w:r>
      <w:r w:rsidR="00984337" w:rsidRPr="00B924EB">
        <w:rPr>
          <w:lang w:val="es-ES_tradnl"/>
        </w:rPr>
        <w:t>27.01</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A13BEA" w:rsidRPr="00B924EB">
        <w:rPr>
          <w:lang w:val="es-ES_tradnl"/>
        </w:rPr>
        <w:t xml:space="preserve"> </w:t>
      </w:r>
      <w:r w:rsidR="00D8667D">
        <w:rPr>
          <w:lang w:val="es-ES_tradnl"/>
        </w:rPr>
        <w:t xml:space="preserve">adicionales </w:t>
      </w:r>
      <w:r w:rsidR="001C09D0">
        <w:rPr>
          <w:lang w:val="es-ES_tradnl"/>
        </w:rPr>
        <w:t>eliminadas</w:t>
      </w:r>
      <w:r w:rsidR="00A13BEA" w:rsidRPr="00B924EB">
        <w:rPr>
          <w:lang w:val="es-ES_tradnl"/>
        </w:rPr>
        <w:t xml:space="preserve"> </w:t>
      </w:r>
      <w:r w:rsidR="00363607" w:rsidRPr="00B924EB">
        <w:rPr>
          <w:lang w:val="es-ES_tradnl"/>
        </w:rPr>
        <w:t>por</w:t>
      </w:r>
      <w:r w:rsidR="00A13BEA" w:rsidRPr="00B924EB">
        <w:rPr>
          <w:lang w:val="es-ES_tradnl"/>
        </w:rPr>
        <w:t xml:space="preserve"> </w:t>
      </w:r>
      <w:r w:rsidR="00363607" w:rsidRPr="00B924EB">
        <w:rPr>
          <w:lang w:val="es-ES_tradnl"/>
        </w:rPr>
        <w:t>el</w:t>
      </w:r>
      <w:r w:rsidR="00A13BEA" w:rsidRPr="00B924EB">
        <w:rPr>
          <w:lang w:val="es-ES_tradnl"/>
        </w:rPr>
        <w:t xml:space="preserve"> </w:t>
      </w:r>
      <w:r w:rsidR="00C86987">
        <w:rPr>
          <w:lang w:val="es-ES_tradnl"/>
        </w:rPr>
        <w:t>Gobierno</w:t>
      </w:r>
      <w:r w:rsidR="00A13BEA" w:rsidRPr="00B924EB">
        <w:rPr>
          <w:lang w:val="es-ES_tradnl"/>
        </w:rPr>
        <w:t xml:space="preserve"> </w:t>
      </w:r>
      <w:r w:rsidR="009374DA" w:rsidRPr="00B924EB">
        <w:rPr>
          <w:lang w:val="es-ES_tradnl"/>
        </w:rPr>
        <w:t>sin</w:t>
      </w:r>
      <w:r w:rsidR="00A13BEA" w:rsidRPr="00B924EB">
        <w:rPr>
          <w:lang w:val="es-ES_tradnl"/>
        </w:rPr>
        <w:t xml:space="preserve"> </w:t>
      </w:r>
      <w:r w:rsidR="00363607" w:rsidRPr="00B924EB">
        <w:rPr>
          <w:lang w:val="es-ES_tradnl"/>
        </w:rPr>
        <w:t>asistencia</w:t>
      </w:r>
      <w:r w:rsidR="00A13BEA" w:rsidRPr="00B924EB">
        <w:rPr>
          <w:lang w:val="es-ES_tradnl"/>
        </w:rPr>
        <w:t xml:space="preserve"> </w:t>
      </w:r>
      <w:r w:rsidR="00363607" w:rsidRPr="00B924EB">
        <w:rPr>
          <w:lang w:val="es-ES_tradnl"/>
        </w:rPr>
        <w:t>del</w:t>
      </w:r>
      <w:r w:rsidR="00A13BEA" w:rsidRPr="00B924EB">
        <w:rPr>
          <w:lang w:val="es-ES_tradnl"/>
        </w:rPr>
        <w:t xml:space="preserve"> </w:t>
      </w:r>
      <w:r w:rsidR="00363607" w:rsidRPr="00B924EB">
        <w:rPr>
          <w:lang w:val="es-ES_tradnl"/>
        </w:rPr>
        <w:t>Fondo</w:t>
      </w:r>
      <w:r w:rsidR="00A13BEA" w:rsidRPr="00B924EB">
        <w:rPr>
          <w:lang w:val="es-ES_tradnl"/>
        </w:rPr>
        <w:t xml:space="preserve"> </w:t>
      </w:r>
      <w:r w:rsidR="00363607" w:rsidRPr="00B924EB">
        <w:rPr>
          <w:lang w:val="es-ES_tradnl"/>
        </w:rPr>
        <w:t>Multilateral</w:t>
      </w:r>
      <w:r w:rsidR="003A182C" w:rsidRPr="00B924EB">
        <w:rPr>
          <w:lang w:val="es-ES_tradnl"/>
        </w:rPr>
        <w:t>,</w:t>
      </w:r>
      <w:r w:rsidR="00A13BEA" w:rsidRPr="00B924EB">
        <w:rPr>
          <w:lang w:val="es-ES_tradnl"/>
        </w:rPr>
        <w:t xml:space="preserve"> </w:t>
      </w:r>
      <w:r w:rsidR="00E43E1D">
        <w:rPr>
          <w:lang w:val="es-ES_tradnl"/>
        </w:rPr>
        <w:t>el consumo</w:t>
      </w:r>
      <w:r w:rsidR="00B924EB">
        <w:rPr>
          <w:lang w:val="es-ES_tradnl"/>
        </w:rPr>
        <w:t xml:space="preserve"> admisible </w:t>
      </w:r>
      <w:r w:rsidR="00C221DF">
        <w:rPr>
          <w:lang w:val="es-ES_tradnl"/>
        </w:rPr>
        <w:t>remanente para financiamiento</w:t>
      </w:r>
      <w:r w:rsidR="00A13BEA" w:rsidRPr="00B924EB">
        <w:rPr>
          <w:lang w:val="es-ES_tradnl"/>
        </w:rPr>
        <w:t xml:space="preserve"> </w:t>
      </w:r>
      <w:r w:rsidR="008E1CC9">
        <w:rPr>
          <w:lang w:val="es-ES_tradnl"/>
        </w:rPr>
        <w:t xml:space="preserve">queda en </w:t>
      </w:r>
      <w:r w:rsidR="00984337" w:rsidRPr="00B924EB">
        <w:rPr>
          <w:lang w:val="es-ES_tradnl"/>
        </w:rPr>
        <w:t>66.39</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DD7874" w:rsidRPr="00B924EB">
        <w:rPr>
          <w:lang w:val="es-ES_tradnl"/>
        </w:rPr>
        <w:t>HCFC</w:t>
      </w:r>
      <w:r w:rsidR="00755C5D" w:rsidRPr="00B924EB">
        <w:rPr>
          <w:lang w:val="es-ES_tradnl"/>
        </w:rPr>
        <w:t>-</w:t>
      </w:r>
      <w:r w:rsidR="00DD7874" w:rsidRPr="00B924EB">
        <w:rPr>
          <w:lang w:val="es-ES_tradnl"/>
        </w:rPr>
        <w:t>22</w:t>
      </w:r>
      <w:r w:rsidR="00984337" w:rsidRPr="00B924EB">
        <w:rPr>
          <w:lang w:val="es-ES_tradnl"/>
        </w:rPr>
        <w:t>.</w:t>
      </w:r>
      <w:r w:rsidR="00A13BEA" w:rsidRPr="00B924EB">
        <w:rPr>
          <w:lang w:val="es-ES_tradnl"/>
        </w:rPr>
        <w:t xml:space="preserve"> </w:t>
      </w:r>
      <w:r w:rsidR="001D74BE">
        <w:rPr>
          <w:lang w:val="es-ES_tradnl"/>
        </w:rPr>
        <w:t>De este monto</w:t>
      </w:r>
      <w:r w:rsidR="00984337" w:rsidRPr="00B924EB">
        <w:rPr>
          <w:lang w:val="es-ES_tradnl"/>
        </w:rPr>
        <w:t>,</w:t>
      </w:r>
      <w:r w:rsidR="00A13BEA" w:rsidRPr="00B924EB">
        <w:rPr>
          <w:lang w:val="es-ES_tradnl"/>
        </w:rPr>
        <w:t xml:space="preserve"> </w:t>
      </w:r>
      <w:r w:rsidR="003A6B31" w:rsidRPr="003A6B31">
        <w:rPr>
          <w:lang w:val="es-ES_tradnl"/>
        </w:rPr>
        <w:t xml:space="preserve">en la etapa II </w:t>
      </w:r>
      <w:r w:rsidR="00452F79" w:rsidRPr="00B924EB">
        <w:rPr>
          <w:lang w:val="es-ES_tradnl"/>
        </w:rPr>
        <w:t>se</w:t>
      </w:r>
      <w:r w:rsidR="00A13BEA" w:rsidRPr="00B924EB">
        <w:rPr>
          <w:lang w:val="es-ES_tradnl"/>
        </w:rPr>
        <w:t xml:space="preserve"> </w:t>
      </w:r>
      <w:r w:rsidR="00452F79" w:rsidRPr="00B924EB">
        <w:rPr>
          <w:lang w:val="es-ES_tradnl"/>
        </w:rPr>
        <w:t>eliminará</w:t>
      </w:r>
      <w:r w:rsidR="003A6B31">
        <w:rPr>
          <w:lang w:val="es-ES_tradnl"/>
        </w:rPr>
        <w:t>n</w:t>
      </w:r>
      <w:r w:rsidR="00A13BEA" w:rsidRPr="00B924EB">
        <w:rPr>
          <w:lang w:val="es-ES_tradnl"/>
        </w:rPr>
        <w:t xml:space="preserve"> </w:t>
      </w:r>
      <w:r w:rsidR="003A6B31" w:rsidRPr="003A6B31">
        <w:rPr>
          <w:lang w:val="es-ES_tradnl"/>
        </w:rPr>
        <w:t xml:space="preserve">32.79 toneladas PAO </w:t>
      </w:r>
      <w:r w:rsidR="003A6B31">
        <w:rPr>
          <w:lang w:val="es-ES_tradnl"/>
        </w:rPr>
        <w:t xml:space="preserve">para lograr una </w:t>
      </w:r>
      <w:r w:rsidR="009374DA" w:rsidRPr="00B924EB">
        <w:rPr>
          <w:lang w:val="es-ES_tradnl"/>
        </w:rPr>
        <w:t>reducción</w:t>
      </w:r>
      <w:r w:rsidR="00A13BEA" w:rsidRPr="00B924EB">
        <w:rPr>
          <w:lang w:val="es-ES_tradnl"/>
        </w:rPr>
        <w:t xml:space="preserve"> </w:t>
      </w:r>
      <w:r w:rsidR="003A6B31">
        <w:rPr>
          <w:lang w:val="es-ES_tradnl"/>
        </w:rPr>
        <w:t xml:space="preserve">del </w:t>
      </w:r>
      <w:r w:rsidR="003A6B31" w:rsidRPr="003A6B31">
        <w:rPr>
          <w:lang w:val="es-ES_tradnl"/>
        </w:rPr>
        <w:t xml:space="preserve">69 por ciento </w:t>
      </w:r>
      <w:r w:rsidR="00C92BED">
        <w:rPr>
          <w:lang w:val="es-ES_tradnl"/>
        </w:rPr>
        <w:t xml:space="preserve">al año </w:t>
      </w:r>
      <w:r w:rsidR="00150031" w:rsidRPr="00B924EB">
        <w:rPr>
          <w:lang w:val="es-ES_tradnl"/>
        </w:rPr>
        <w:t>2025</w:t>
      </w:r>
      <w:r w:rsidR="00402D64" w:rsidRPr="00B924EB">
        <w:rPr>
          <w:lang w:val="es-ES_tradnl"/>
        </w:rPr>
        <w:t>.</w:t>
      </w:r>
      <w:r w:rsidR="00A13BEA" w:rsidRPr="00B924EB">
        <w:rPr>
          <w:lang w:val="es-ES_tradnl"/>
        </w:rPr>
        <w:t xml:space="preserve"> </w:t>
      </w:r>
      <w:r w:rsidR="001C3D60">
        <w:rPr>
          <w:lang w:val="es-ES_tradnl"/>
        </w:rPr>
        <w:t xml:space="preserve">Las </w:t>
      </w:r>
      <w:r w:rsidR="00984337" w:rsidRPr="00B924EB">
        <w:rPr>
          <w:lang w:val="es-ES_tradnl"/>
        </w:rPr>
        <w:t>3</w:t>
      </w:r>
      <w:r w:rsidR="00FB2F91" w:rsidRPr="00B924EB">
        <w:rPr>
          <w:lang w:val="es-ES_tradnl"/>
        </w:rPr>
        <w:t>3.</w:t>
      </w:r>
      <w:r w:rsidR="001758FE" w:rsidRPr="00B924EB">
        <w:rPr>
          <w:lang w:val="es-ES_tradnl"/>
        </w:rPr>
        <w:t>6</w:t>
      </w:r>
      <w:r w:rsidR="00FB2F91" w:rsidRPr="00B924EB">
        <w:rPr>
          <w:lang w:val="es-ES_tradnl"/>
        </w:rPr>
        <w:t>0</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A13BEA" w:rsidRPr="00B924EB">
        <w:rPr>
          <w:lang w:val="es-ES_tradnl"/>
        </w:rPr>
        <w:t xml:space="preserve"> </w:t>
      </w:r>
      <w:r w:rsidR="001C3D60">
        <w:rPr>
          <w:lang w:val="es-ES_tradnl"/>
        </w:rPr>
        <w:t xml:space="preserve">de </w:t>
      </w:r>
      <w:r w:rsidR="001C3D60" w:rsidRPr="001C3D60">
        <w:rPr>
          <w:lang w:val="es-ES_tradnl"/>
        </w:rPr>
        <w:t xml:space="preserve">consumo remanente </w:t>
      </w:r>
      <w:r w:rsidR="00452F79" w:rsidRPr="00B924EB">
        <w:rPr>
          <w:lang w:val="es-ES_tradnl"/>
        </w:rPr>
        <w:t>admisible</w:t>
      </w:r>
      <w:r w:rsidR="00A13BEA" w:rsidRPr="00B924EB">
        <w:rPr>
          <w:lang w:val="es-ES_tradnl"/>
        </w:rPr>
        <w:t xml:space="preserve"> </w:t>
      </w:r>
      <w:r w:rsidR="00452F79" w:rsidRPr="00B924EB">
        <w:rPr>
          <w:lang w:val="es-ES_tradnl"/>
        </w:rPr>
        <w:t>para</w:t>
      </w:r>
      <w:r w:rsidR="00A13BEA" w:rsidRPr="00B924EB">
        <w:rPr>
          <w:lang w:val="es-ES_tradnl"/>
        </w:rPr>
        <w:t xml:space="preserve"> </w:t>
      </w:r>
      <w:r w:rsidR="00452F79" w:rsidRPr="00B924EB">
        <w:rPr>
          <w:lang w:val="es-ES_tradnl"/>
        </w:rPr>
        <w:t>financiamiento</w:t>
      </w:r>
      <w:r w:rsidR="00A13BEA" w:rsidRPr="00B924EB">
        <w:rPr>
          <w:lang w:val="es-ES_tradnl"/>
        </w:rPr>
        <w:t xml:space="preserve"> </w:t>
      </w:r>
      <w:r w:rsidR="00150031" w:rsidRPr="00B924EB">
        <w:rPr>
          <w:lang w:val="es-ES_tradnl"/>
        </w:rPr>
        <w:t>(3</w:t>
      </w:r>
      <w:r w:rsidR="00FB2F91" w:rsidRPr="00B924EB">
        <w:rPr>
          <w:lang w:val="es-ES_tradnl"/>
        </w:rPr>
        <w:t>1</w:t>
      </w:r>
      <w:r w:rsidR="00A13BEA" w:rsidRPr="00B924EB">
        <w:rPr>
          <w:lang w:val="es-ES_tradnl"/>
        </w:rPr>
        <w:t xml:space="preserve"> </w:t>
      </w:r>
      <w:r w:rsidR="00755C5D" w:rsidRPr="00B924EB">
        <w:rPr>
          <w:lang w:val="es-ES_tradnl"/>
        </w:rPr>
        <w:t>por</w:t>
      </w:r>
      <w:r w:rsidR="00A13BEA" w:rsidRPr="00B924EB">
        <w:rPr>
          <w:lang w:val="es-ES_tradnl"/>
        </w:rPr>
        <w:t xml:space="preserve"> </w:t>
      </w:r>
      <w:r w:rsidR="00755C5D" w:rsidRPr="00B924EB">
        <w:rPr>
          <w:lang w:val="es-ES_tradnl"/>
        </w:rPr>
        <w:t>ciento</w:t>
      </w:r>
      <w:r w:rsidR="00A13BEA" w:rsidRPr="00B924EB">
        <w:rPr>
          <w:lang w:val="es-ES_tradnl"/>
        </w:rPr>
        <w:t xml:space="preserve"> </w:t>
      </w:r>
      <w:r w:rsidR="007E2D48">
        <w:rPr>
          <w:lang w:val="es-ES_tradnl"/>
        </w:rPr>
        <w:t>de la base</w:t>
      </w:r>
      <w:r w:rsidR="00A13BEA" w:rsidRPr="00B924EB">
        <w:rPr>
          <w:lang w:val="es-ES_tradnl"/>
        </w:rPr>
        <w:t xml:space="preserve"> </w:t>
      </w:r>
      <w:r w:rsidR="000521A3" w:rsidRPr="00B924EB">
        <w:rPr>
          <w:lang w:val="es-ES_tradnl"/>
        </w:rPr>
        <w:t>de</w:t>
      </w:r>
      <w:r w:rsidR="00A13BEA" w:rsidRPr="00B924EB">
        <w:rPr>
          <w:lang w:val="es-ES_tradnl"/>
        </w:rPr>
        <w:t xml:space="preserve"> </w:t>
      </w:r>
      <w:r w:rsidR="000521A3" w:rsidRPr="00B924EB">
        <w:rPr>
          <w:lang w:val="es-ES_tradnl"/>
        </w:rPr>
        <w:t>comparación</w:t>
      </w:r>
      <w:r w:rsidR="00150031" w:rsidRPr="00B924EB">
        <w:rPr>
          <w:lang w:val="es-ES_tradnl"/>
        </w:rPr>
        <w:t>)</w:t>
      </w:r>
      <w:r w:rsidR="00A13BEA" w:rsidRPr="00B924EB">
        <w:rPr>
          <w:lang w:val="es-ES_tradnl"/>
        </w:rPr>
        <w:t xml:space="preserve"> </w:t>
      </w:r>
      <w:r w:rsidR="00D439E2">
        <w:rPr>
          <w:lang w:val="es-ES_tradnl"/>
        </w:rPr>
        <w:t>se</w:t>
      </w:r>
      <w:r w:rsidR="00A13BEA" w:rsidRPr="00B924EB">
        <w:rPr>
          <w:lang w:val="es-ES_tradnl"/>
        </w:rPr>
        <w:t xml:space="preserve"> </w:t>
      </w:r>
      <w:r w:rsidR="00D439E2">
        <w:rPr>
          <w:lang w:val="es-ES_tradnl"/>
        </w:rPr>
        <w:t>considerarán</w:t>
      </w:r>
      <w:r w:rsidR="00D128DE">
        <w:rPr>
          <w:lang w:val="es-ES_tradnl"/>
        </w:rPr>
        <w:t xml:space="preserve"> </w:t>
      </w:r>
      <w:r w:rsidR="009374DA" w:rsidRPr="00B924EB">
        <w:rPr>
          <w:lang w:val="es-ES_tradnl"/>
        </w:rPr>
        <w:t>en</w:t>
      </w:r>
      <w:r w:rsidR="00A13BEA" w:rsidRPr="00B924EB">
        <w:rPr>
          <w:lang w:val="es-ES_tradnl"/>
        </w:rPr>
        <w:t xml:space="preserve"> </w:t>
      </w:r>
      <w:r w:rsidR="003C3290">
        <w:rPr>
          <w:lang w:val="es-ES_tradnl"/>
        </w:rPr>
        <w:t>un</w:t>
      </w:r>
      <w:r w:rsidR="00402D64" w:rsidRPr="00B924EB">
        <w:rPr>
          <w:lang w:val="es-ES_tradnl"/>
        </w:rPr>
        <w:t>a</w:t>
      </w:r>
      <w:r w:rsidR="00A13BEA" w:rsidRPr="00B924EB">
        <w:rPr>
          <w:lang w:val="es-ES_tradnl"/>
        </w:rPr>
        <w:t xml:space="preserve"> </w:t>
      </w:r>
      <w:r w:rsidR="004446A6">
        <w:rPr>
          <w:lang w:val="es-ES_tradnl"/>
        </w:rPr>
        <w:t>futura</w:t>
      </w:r>
      <w:r w:rsidR="00A13BEA" w:rsidRPr="00B924EB">
        <w:rPr>
          <w:lang w:val="es-ES_tradnl"/>
        </w:rPr>
        <w:t xml:space="preserve"> </w:t>
      </w:r>
      <w:r w:rsidR="00755C5D" w:rsidRPr="00B924EB">
        <w:rPr>
          <w:lang w:val="es-ES_tradnl"/>
        </w:rPr>
        <w:t>etapa</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402D64" w:rsidRPr="00B924EB">
        <w:rPr>
          <w:lang w:val="es-ES_tradnl"/>
        </w:rPr>
        <w:t>.</w:t>
      </w:r>
    </w:p>
    <w:p w14:paraId="6CF0C458" w14:textId="1465A4BD" w:rsidR="00884326" w:rsidRPr="00B924EB" w:rsidRDefault="00AA6716" w:rsidP="00777F17">
      <w:pPr>
        <w:pStyle w:val="Heading1"/>
        <w:keepNext/>
        <w:keepLines/>
        <w:numPr>
          <w:ilvl w:val="0"/>
          <w:numId w:val="0"/>
        </w:numPr>
        <w:rPr>
          <w:u w:val="single"/>
          <w:lang w:val="es-ES_tradnl" w:eastAsia="zh-CN"/>
        </w:rPr>
      </w:pPr>
      <w:r w:rsidRPr="00B924EB">
        <w:rPr>
          <w:u w:val="single"/>
          <w:lang w:val="es-ES_tradnl"/>
        </w:rPr>
        <w:t>Distribución</w:t>
      </w:r>
      <w:r w:rsidR="00A13BEA" w:rsidRPr="00B924EB">
        <w:rPr>
          <w:u w:val="single"/>
          <w:lang w:val="es-ES_tradnl"/>
        </w:rPr>
        <w:t xml:space="preserve"> </w:t>
      </w:r>
      <w:r w:rsidRPr="00B924EB">
        <w:rPr>
          <w:u w:val="single"/>
          <w:lang w:val="es-ES_tradnl"/>
        </w:rPr>
        <w:t>sectorial</w:t>
      </w:r>
      <w:r w:rsidR="00A13BEA" w:rsidRPr="00B924EB">
        <w:rPr>
          <w:u w:val="single"/>
          <w:lang w:val="es-ES_tradnl"/>
        </w:rPr>
        <w:t xml:space="preserve"> </w:t>
      </w:r>
      <w:r w:rsidR="00755C5D" w:rsidRPr="00B924EB">
        <w:rPr>
          <w:u w:val="single"/>
          <w:lang w:val="es-ES_tradnl"/>
        </w:rPr>
        <w:t>de</w:t>
      </w:r>
      <w:r w:rsidR="00A13BEA" w:rsidRPr="00B924EB">
        <w:rPr>
          <w:u w:val="single"/>
          <w:lang w:val="es-ES_tradnl"/>
        </w:rPr>
        <w:t xml:space="preserve"> </w:t>
      </w:r>
      <w:r w:rsidR="00852145">
        <w:rPr>
          <w:u w:val="single"/>
          <w:lang w:val="es-ES_tradnl"/>
        </w:rPr>
        <w:t xml:space="preserve">los </w:t>
      </w:r>
      <w:r w:rsidR="00E26F0F" w:rsidRPr="00B924EB">
        <w:rPr>
          <w:u w:val="single"/>
          <w:lang w:val="es-ES_tradnl"/>
        </w:rPr>
        <w:t>HCFC</w:t>
      </w:r>
    </w:p>
    <w:p w14:paraId="427ADB86" w14:textId="7AE84231" w:rsidR="000521A3" w:rsidRPr="00B924EB" w:rsidRDefault="00780A66" w:rsidP="00D935A9">
      <w:pPr>
        <w:pStyle w:val="Heading1"/>
        <w:rPr>
          <w:lang w:val="es-ES_tradnl"/>
        </w:rPr>
      </w:pPr>
      <w:r w:rsidRPr="00B924EB">
        <w:rPr>
          <w:lang w:val="es-ES_tradnl"/>
        </w:rPr>
        <w:t xml:space="preserve">Con 1.600 </w:t>
      </w:r>
      <w:proofErr w:type="spellStart"/>
      <w:r w:rsidRPr="00B924EB">
        <w:rPr>
          <w:lang w:val="es-ES_tradnl"/>
        </w:rPr>
        <w:t>tm</w:t>
      </w:r>
      <w:proofErr w:type="spellEnd"/>
      <w:r w:rsidRPr="00B924EB">
        <w:rPr>
          <w:lang w:val="es-ES_tradnl"/>
        </w:rPr>
        <w:t xml:space="preserve"> (88 </w:t>
      </w:r>
      <w:proofErr w:type="spellStart"/>
      <w:r w:rsidRPr="00B924EB">
        <w:rPr>
          <w:lang w:val="es-ES_tradnl"/>
        </w:rPr>
        <w:t>tons</w:t>
      </w:r>
      <w:proofErr w:type="spellEnd"/>
      <w:r w:rsidRPr="00B924EB">
        <w:rPr>
          <w:lang w:val="es-ES_tradnl"/>
        </w:rPr>
        <w:t xml:space="preserve">. PAO) y 1.140 </w:t>
      </w:r>
      <w:proofErr w:type="spellStart"/>
      <w:r w:rsidRPr="00B924EB">
        <w:rPr>
          <w:lang w:val="es-ES_tradnl"/>
        </w:rPr>
        <w:t>tm</w:t>
      </w:r>
      <w:proofErr w:type="spellEnd"/>
      <w:r w:rsidRPr="00B924EB">
        <w:rPr>
          <w:lang w:val="es-ES_tradnl"/>
        </w:rPr>
        <w:t xml:space="preserve"> (62.7 </w:t>
      </w:r>
      <w:proofErr w:type="spellStart"/>
      <w:r w:rsidRPr="00B924EB">
        <w:rPr>
          <w:lang w:val="es-ES_tradnl"/>
        </w:rPr>
        <w:t>tons</w:t>
      </w:r>
      <w:proofErr w:type="spellEnd"/>
      <w:r w:rsidRPr="00B924EB">
        <w:rPr>
          <w:lang w:val="es-ES_tradnl"/>
        </w:rPr>
        <w:t xml:space="preserve">. PAO) de HCFC-22 en </w:t>
      </w:r>
      <w:r w:rsidR="00184FC3">
        <w:rPr>
          <w:lang w:val="es-ES_tradnl"/>
        </w:rPr>
        <w:t xml:space="preserve">los años </w:t>
      </w:r>
      <w:r w:rsidRPr="00B924EB">
        <w:rPr>
          <w:lang w:val="es-ES_tradnl"/>
        </w:rPr>
        <w:t>2019 y 2020</w:t>
      </w:r>
      <w:r>
        <w:rPr>
          <w:lang w:val="es-ES_tradnl"/>
        </w:rPr>
        <w:t>, respectivamente, e</w:t>
      </w:r>
      <w:r w:rsidR="00363607" w:rsidRPr="00B924EB">
        <w:rPr>
          <w:lang w:val="es-ES_tradnl"/>
        </w:rPr>
        <w:t>l</w:t>
      </w:r>
      <w:r w:rsidR="00A13BEA" w:rsidRPr="00B924EB">
        <w:rPr>
          <w:lang w:val="es-ES_tradnl"/>
        </w:rPr>
        <w:t xml:space="preserve"> </w:t>
      </w:r>
      <w:r w:rsidR="00363607" w:rsidRPr="00B924EB">
        <w:rPr>
          <w:lang w:val="es-ES_tradnl"/>
        </w:rPr>
        <w:t>sector</w:t>
      </w:r>
      <w:r w:rsidR="00A13BEA" w:rsidRPr="00B924EB">
        <w:rPr>
          <w:lang w:val="es-ES_tradnl"/>
        </w:rPr>
        <w:t xml:space="preserve"> </w:t>
      </w:r>
      <w:r w:rsidR="00755C5D" w:rsidRPr="00B924EB">
        <w:rPr>
          <w:lang w:val="es-ES_tradnl"/>
        </w:rPr>
        <w:t>servicio</w:t>
      </w:r>
      <w:r w:rsidR="00A13BEA" w:rsidRPr="00B924EB">
        <w:rPr>
          <w:lang w:val="es-ES_tradnl"/>
        </w:rPr>
        <w:t xml:space="preserve"> </w:t>
      </w:r>
      <w:r w:rsidR="00755C5D" w:rsidRPr="00B924EB">
        <w:rPr>
          <w:lang w:val="es-ES_tradnl"/>
        </w:rPr>
        <w:t>técnico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equipos</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refrigeración</w:t>
      </w:r>
      <w:r w:rsidR="00A13BEA" w:rsidRPr="00B924EB">
        <w:rPr>
          <w:lang w:val="es-ES_tradnl"/>
        </w:rPr>
        <w:t xml:space="preserve"> </w:t>
      </w:r>
      <w:r w:rsidR="00B43BD7">
        <w:rPr>
          <w:lang w:val="es-ES_tradnl"/>
        </w:rPr>
        <w:t>representa</w:t>
      </w:r>
      <w:r w:rsidR="00353B9B">
        <w:rPr>
          <w:lang w:val="es-ES_tradnl"/>
        </w:rPr>
        <w:t xml:space="preserve"> el</w:t>
      </w:r>
      <w:r w:rsidR="00A13BEA" w:rsidRPr="00B924EB">
        <w:rPr>
          <w:lang w:val="es-ES_tradnl"/>
        </w:rPr>
        <w:t xml:space="preserve"> </w:t>
      </w:r>
      <w:r w:rsidR="00002C47" w:rsidRPr="00B924EB">
        <w:rPr>
          <w:lang w:val="es-ES_tradnl"/>
        </w:rPr>
        <w:t>94</w:t>
      </w:r>
      <w:r w:rsidR="00A13BEA" w:rsidRPr="00B924EB">
        <w:rPr>
          <w:lang w:val="es-ES_tradnl"/>
        </w:rPr>
        <w:t xml:space="preserve"> </w:t>
      </w:r>
      <w:r w:rsidR="00755C5D" w:rsidRPr="00B924EB">
        <w:rPr>
          <w:lang w:val="es-ES_tradnl"/>
        </w:rPr>
        <w:t>por</w:t>
      </w:r>
      <w:r w:rsidR="00A13BEA" w:rsidRPr="00B924EB">
        <w:rPr>
          <w:lang w:val="es-ES_tradnl"/>
        </w:rPr>
        <w:t xml:space="preserve"> </w:t>
      </w:r>
      <w:r w:rsidR="00755C5D" w:rsidRPr="00B924EB">
        <w:rPr>
          <w:lang w:val="es-ES_tradnl"/>
        </w:rPr>
        <w:t>ciento</w:t>
      </w:r>
      <w:r w:rsidR="00A13BEA" w:rsidRPr="00B924EB">
        <w:rPr>
          <w:lang w:val="es-ES_tradnl"/>
        </w:rPr>
        <w:t xml:space="preserve"> </w:t>
      </w:r>
      <w:r w:rsidR="00E26F0F" w:rsidRPr="00B924EB">
        <w:rPr>
          <w:lang w:val="es-ES_tradnl"/>
        </w:rPr>
        <w:t>del</w:t>
      </w:r>
      <w:r w:rsidR="00A13BEA" w:rsidRPr="00B924EB">
        <w:rPr>
          <w:lang w:val="es-ES_tradnl"/>
        </w:rPr>
        <w:t xml:space="preserve"> </w:t>
      </w:r>
      <w:r w:rsidR="00DB3D7B" w:rsidRPr="00B924EB">
        <w:rPr>
          <w:lang w:val="es-ES_tradnl"/>
        </w:rPr>
        <w:t>consumo</w:t>
      </w:r>
      <w:r w:rsidR="00A13BEA" w:rsidRPr="00B924EB">
        <w:rPr>
          <w:lang w:val="es-ES_tradnl"/>
        </w:rPr>
        <w:t xml:space="preserve"> </w:t>
      </w:r>
      <w:r w:rsidR="00DB3D7B" w:rsidRPr="00B924EB">
        <w:rPr>
          <w:lang w:val="es-ES_tradnl"/>
        </w:rPr>
        <w:t>total</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HCFC</w:t>
      </w:r>
      <w:r w:rsidR="00A13BEA" w:rsidRPr="00B924EB">
        <w:rPr>
          <w:lang w:val="es-ES_tradnl"/>
        </w:rPr>
        <w:t xml:space="preserve"> </w:t>
      </w:r>
      <w:r w:rsidR="00DB061C">
        <w:rPr>
          <w:lang w:val="es-ES_tradnl"/>
        </w:rPr>
        <w:t>d</w:t>
      </w:r>
      <w:r w:rsidR="000521A3" w:rsidRPr="00B924EB">
        <w:rPr>
          <w:lang w:val="es-ES_tradnl"/>
        </w:rPr>
        <w:t>el</w:t>
      </w:r>
      <w:r w:rsidR="00A13BEA" w:rsidRPr="00B924EB">
        <w:rPr>
          <w:lang w:val="es-ES_tradnl"/>
        </w:rPr>
        <w:t xml:space="preserve"> </w:t>
      </w:r>
      <w:r w:rsidR="000521A3" w:rsidRPr="00B924EB">
        <w:rPr>
          <w:lang w:val="es-ES_tradnl"/>
        </w:rPr>
        <w:t>país</w:t>
      </w:r>
      <w:r w:rsidR="005A2CF5" w:rsidRPr="00B924EB">
        <w:rPr>
          <w:lang w:val="es-ES_tradnl"/>
        </w:rPr>
        <w:t>.</w:t>
      </w:r>
      <w:r w:rsidR="00A13BEA" w:rsidRPr="00B924EB">
        <w:rPr>
          <w:lang w:val="es-ES_tradnl"/>
        </w:rPr>
        <w:t xml:space="preserve"> </w:t>
      </w:r>
      <w:r w:rsidR="004928C3">
        <w:rPr>
          <w:lang w:val="es-ES_tradnl"/>
        </w:rPr>
        <w:t>El saldo</w:t>
      </w:r>
      <w:r w:rsidR="00A13BEA" w:rsidRPr="00B924EB">
        <w:rPr>
          <w:lang w:val="es-ES_tradnl"/>
        </w:rPr>
        <w:t xml:space="preserve"> </w:t>
      </w:r>
      <w:r w:rsidR="004928C3">
        <w:rPr>
          <w:lang w:val="es-ES_tradnl"/>
        </w:rPr>
        <w:t xml:space="preserve">lo </w:t>
      </w:r>
      <w:r w:rsidR="002951E3" w:rsidRPr="002951E3">
        <w:rPr>
          <w:lang w:val="es-ES_tradnl"/>
        </w:rPr>
        <w:t>utiliza</w:t>
      </w:r>
      <w:r w:rsidR="004928C3">
        <w:rPr>
          <w:lang w:val="es-ES_tradnl"/>
        </w:rPr>
        <w:t xml:space="preserve"> </w:t>
      </w:r>
      <w:r w:rsidR="001A1006" w:rsidRPr="00B924EB">
        <w:rPr>
          <w:lang w:val="es-ES_tradnl"/>
        </w:rPr>
        <w:t>una</w:t>
      </w:r>
      <w:r w:rsidR="00A13BEA" w:rsidRPr="00B924EB">
        <w:rPr>
          <w:lang w:val="es-ES_tradnl"/>
        </w:rPr>
        <w:t xml:space="preserve"> </w:t>
      </w:r>
      <w:r w:rsidR="001A1006" w:rsidRPr="00B924EB">
        <w:rPr>
          <w:lang w:val="es-ES_tradnl"/>
        </w:rPr>
        <w:t>empresa</w:t>
      </w:r>
      <w:r w:rsidR="00A13BEA" w:rsidRPr="00B924EB">
        <w:rPr>
          <w:lang w:val="es-ES_tradnl"/>
        </w:rPr>
        <w:t xml:space="preserve"> </w:t>
      </w:r>
      <w:r w:rsidR="00103A50">
        <w:rPr>
          <w:lang w:val="es-ES_tradnl"/>
        </w:rPr>
        <w:t>que fabrica</w:t>
      </w:r>
      <w:r w:rsidR="00A13BEA" w:rsidRPr="00B924EB">
        <w:rPr>
          <w:lang w:val="es-ES_tradnl"/>
        </w:rPr>
        <w:t xml:space="preserve"> </w:t>
      </w:r>
      <w:r w:rsidR="00E41F1A">
        <w:rPr>
          <w:lang w:val="es-ES_tradnl"/>
        </w:rPr>
        <w:t xml:space="preserve">diversos </w:t>
      </w:r>
      <w:r w:rsidR="00E26F0F" w:rsidRPr="00B924EB">
        <w:rPr>
          <w:lang w:val="es-ES_tradnl"/>
        </w:rPr>
        <w:t>sistemas</w:t>
      </w:r>
      <w:r w:rsidR="00A13BEA" w:rsidRPr="00B924EB">
        <w:rPr>
          <w:lang w:val="es-ES_tradnl"/>
        </w:rPr>
        <w:t xml:space="preserve"> </w:t>
      </w:r>
      <w:r w:rsidR="00E26F0F" w:rsidRPr="00B924EB">
        <w:rPr>
          <w:lang w:val="es-ES_tradnl"/>
        </w:rPr>
        <w:t>de</w:t>
      </w:r>
      <w:r w:rsidR="00A13BEA" w:rsidRPr="00B924EB">
        <w:rPr>
          <w:lang w:val="es-ES_tradnl"/>
        </w:rPr>
        <w:t xml:space="preserve"> </w:t>
      </w:r>
      <w:r w:rsidR="00E26F0F" w:rsidRPr="00B924EB">
        <w:rPr>
          <w:lang w:val="es-ES_tradnl"/>
        </w:rPr>
        <w:t>climatización</w:t>
      </w:r>
      <w:r w:rsidR="00F75A37">
        <w:rPr>
          <w:lang w:val="es-ES_tradnl"/>
        </w:rPr>
        <w:t xml:space="preserve"> </w:t>
      </w:r>
      <w:r w:rsidR="00CF40CB">
        <w:rPr>
          <w:lang w:val="es-ES_tradnl"/>
        </w:rPr>
        <w:t xml:space="preserve">y </w:t>
      </w:r>
      <w:r w:rsidR="00F75A37">
        <w:rPr>
          <w:lang w:val="es-ES_tradnl"/>
        </w:rPr>
        <w:t xml:space="preserve">cuyo </w:t>
      </w:r>
      <w:r w:rsidR="009374DA" w:rsidRPr="00B924EB">
        <w:rPr>
          <w:lang w:val="es-ES_tradnl"/>
        </w:rPr>
        <w:t>consumo</w:t>
      </w:r>
      <w:r w:rsidR="00A13BEA" w:rsidRPr="00B924EB">
        <w:rPr>
          <w:lang w:val="es-ES_tradnl"/>
        </w:rPr>
        <w:t xml:space="preserve"> </w:t>
      </w:r>
      <w:r w:rsidR="004135A5" w:rsidRPr="00B924EB">
        <w:rPr>
          <w:lang w:val="es-ES_tradnl"/>
        </w:rPr>
        <w:t>ha</w:t>
      </w:r>
      <w:r w:rsidR="00A13BEA" w:rsidRPr="00B924EB">
        <w:rPr>
          <w:lang w:val="es-ES_tradnl"/>
        </w:rPr>
        <w:t xml:space="preserve"> </w:t>
      </w:r>
      <w:r w:rsidR="00952DCE">
        <w:rPr>
          <w:lang w:val="es-ES_tradnl"/>
        </w:rPr>
        <w:t xml:space="preserve">disminuido de </w:t>
      </w:r>
      <w:r w:rsidR="002C7E4B" w:rsidRPr="00B924EB">
        <w:rPr>
          <w:lang w:val="es-ES_tradnl"/>
        </w:rPr>
        <w:t>90</w:t>
      </w:r>
      <w:r w:rsidR="00A13BEA" w:rsidRPr="00B924EB">
        <w:rPr>
          <w:lang w:val="es-ES_tradnl"/>
        </w:rPr>
        <w:t xml:space="preserve"> </w:t>
      </w:r>
      <w:proofErr w:type="spellStart"/>
      <w:r w:rsidR="00755C5D" w:rsidRPr="00B924EB">
        <w:rPr>
          <w:lang w:val="es-ES_tradnl"/>
        </w:rPr>
        <w:t>tm</w:t>
      </w:r>
      <w:proofErr w:type="spellEnd"/>
      <w:r w:rsidR="00A13BEA" w:rsidRPr="00B924EB">
        <w:rPr>
          <w:lang w:val="es-ES_tradnl"/>
        </w:rPr>
        <w:t xml:space="preserve"> </w:t>
      </w:r>
      <w:r w:rsidR="002C7E4B" w:rsidRPr="00B924EB">
        <w:rPr>
          <w:lang w:val="es-ES_tradnl"/>
        </w:rPr>
        <w:t>(</w:t>
      </w:r>
      <w:r w:rsidR="00614FBD" w:rsidRPr="00B924EB">
        <w:rPr>
          <w:lang w:val="es-ES_tradnl"/>
        </w:rPr>
        <w:t>4.95</w:t>
      </w:r>
      <w:r w:rsidR="00A13BEA" w:rsidRPr="00B924EB">
        <w:rPr>
          <w:lang w:val="es-ES_tradnl"/>
        </w:rPr>
        <w:t xml:space="preserve"> </w:t>
      </w:r>
      <w:proofErr w:type="spellStart"/>
      <w:r w:rsidR="000521A3" w:rsidRPr="00B924EB">
        <w:rPr>
          <w:lang w:val="es-ES_tradnl"/>
        </w:rPr>
        <w:t>tons</w:t>
      </w:r>
      <w:proofErr w:type="spellEnd"/>
      <w:r w:rsidR="000521A3" w:rsidRPr="00B924EB">
        <w:rPr>
          <w:lang w:val="es-ES_tradnl"/>
        </w:rPr>
        <w:t>.</w:t>
      </w:r>
      <w:r w:rsidR="00A13BEA" w:rsidRPr="00B924EB">
        <w:rPr>
          <w:lang w:val="es-ES_tradnl"/>
        </w:rPr>
        <w:t xml:space="preserve"> </w:t>
      </w:r>
      <w:r w:rsidR="000521A3" w:rsidRPr="00B924EB">
        <w:rPr>
          <w:lang w:val="es-ES_tradnl"/>
        </w:rPr>
        <w:t>PAO)</w:t>
      </w:r>
      <w:r w:rsidR="00A13BEA" w:rsidRPr="00B924EB">
        <w:rPr>
          <w:lang w:val="es-ES_tradnl"/>
        </w:rPr>
        <w:t xml:space="preserve"> </w:t>
      </w:r>
      <w:r w:rsidR="00B15D84">
        <w:rPr>
          <w:lang w:val="es-ES_tradnl"/>
        </w:rPr>
        <w:t xml:space="preserve">durante </w:t>
      </w:r>
      <w:r w:rsidR="00952DCE">
        <w:rPr>
          <w:lang w:val="es-ES_tradnl"/>
        </w:rPr>
        <w:t>los últimos</w:t>
      </w:r>
      <w:r w:rsidR="00A13BEA" w:rsidRPr="00B924EB">
        <w:rPr>
          <w:lang w:val="es-ES_tradnl"/>
        </w:rPr>
        <w:t xml:space="preserve"> </w:t>
      </w:r>
      <w:r w:rsidR="00755C5D" w:rsidRPr="00B924EB">
        <w:rPr>
          <w:lang w:val="es-ES_tradnl"/>
        </w:rPr>
        <w:t>tres</w:t>
      </w:r>
      <w:r w:rsidR="00A13BEA" w:rsidRPr="00B924EB">
        <w:rPr>
          <w:lang w:val="es-ES_tradnl"/>
        </w:rPr>
        <w:t xml:space="preserve"> </w:t>
      </w:r>
      <w:r w:rsidR="003208A7" w:rsidRPr="00B924EB">
        <w:rPr>
          <w:lang w:val="es-ES_tradnl"/>
        </w:rPr>
        <w:t>años</w:t>
      </w:r>
      <w:r w:rsidR="00A13BEA" w:rsidRPr="00B924EB">
        <w:rPr>
          <w:lang w:val="es-ES_tradnl"/>
        </w:rPr>
        <w:t xml:space="preserve"> </w:t>
      </w:r>
      <w:r w:rsidR="00952DCE">
        <w:rPr>
          <w:lang w:val="es-ES_tradnl"/>
        </w:rPr>
        <w:t>a</w:t>
      </w:r>
      <w:r w:rsidR="00A13BEA" w:rsidRPr="00B924EB">
        <w:rPr>
          <w:lang w:val="es-ES_tradnl"/>
        </w:rPr>
        <w:t xml:space="preserve"> </w:t>
      </w:r>
      <w:r w:rsidR="002C7E4B" w:rsidRPr="00B924EB">
        <w:rPr>
          <w:lang w:val="es-ES_tradnl"/>
        </w:rPr>
        <w:t>63</w:t>
      </w:r>
      <w:r w:rsidR="00A13BEA" w:rsidRPr="00B924EB">
        <w:rPr>
          <w:lang w:val="es-ES_tradnl"/>
        </w:rPr>
        <w:t xml:space="preserve"> </w:t>
      </w:r>
      <w:proofErr w:type="spellStart"/>
      <w:r w:rsidR="00755C5D" w:rsidRPr="00B924EB">
        <w:rPr>
          <w:lang w:val="es-ES_tradnl"/>
        </w:rPr>
        <w:t>tm</w:t>
      </w:r>
      <w:proofErr w:type="spellEnd"/>
      <w:r w:rsidR="00A13BEA" w:rsidRPr="00B924EB">
        <w:rPr>
          <w:lang w:val="es-ES_tradnl"/>
        </w:rPr>
        <w:t xml:space="preserve"> </w:t>
      </w:r>
      <w:r w:rsidR="002C7E4B" w:rsidRPr="00B924EB">
        <w:rPr>
          <w:lang w:val="es-ES_tradnl"/>
        </w:rPr>
        <w:t>(</w:t>
      </w:r>
      <w:r w:rsidR="00614FBD" w:rsidRPr="00B924EB">
        <w:rPr>
          <w:lang w:val="es-ES_tradnl"/>
        </w:rPr>
        <w:t>3.52</w:t>
      </w:r>
      <w:r w:rsidR="00A13BEA" w:rsidRPr="00B924EB">
        <w:rPr>
          <w:lang w:val="es-ES_tradnl"/>
        </w:rPr>
        <w:t xml:space="preserve"> </w:t>
      </w:r>
      <w:proofErr w:type="spellStart"/>
      <w:r w:rsidR="000521A3" w:rsidRPr="00B924EB">
        <w:rPr>
          <w:lang w:val="es-ES_tradnl"/>
        </w:rPr>
        <w:t>tons</w:t>
      </w:r>
      <w:proofErr w:type="spellEnd"/>
      <w:r w:rsidR="000521A3" w:rsidRPr="00B924EB">
        <w:rPr>
          <w:lang w:val="es-ES_tradnl"/>
        </w:rPr>
        <w:t>.</w:t>
      </w:r>
      <w:r w:rsidR="00A13BEA" w:rsidRPr="00B924EB">
        <w:rPr>
          <w:lang w:val="es-ES_tradnl"/>
        </w:rPr>
        <w:t xml:space="preserve"> </w:t>
      </w:r>
      <w:r w:rsidR="000521A3" w:rsidRPr="00B924EB">
        <w:rPr>
          <w:lang w:val="es-ES_tradnl"/>
        </w:rPr>
        <w:t>PAO)</w:t>
      </w:r>
      <w:r w:rsidR="00A13BEA" w:rsidRPr="00B924EB">
        <w:rPr>
          <w:lang w:val="es-ES_tradnl"/>
        </w:rPr>
        <w:t xml:space="preserve"> </w:t>
      </w:r>
      <w:r w:rsidR="009374DA" w:rsidRPr="00B924EB">
        <w:rPr>
          <w:lang w:val="es-ES_tradnl"/>
        </w:rPr>
        <w:t>en</w:t>
      </w:r>
      <w:r w:rsidR="00A13BEA" w:rsidRPr="00B924EB">
        <w:rPr>
          <w:lang w:val="es-ES_tradnl"/>
        </w:rPr>
        <w:t xml:space="preserve"> </w:t>
      </w:r>
      <w:r w:rsidR="002C7E4B" w:rsidRPr="00B924EB">
        <w:rPr>
          <w:lang w:val="es-ES_tradnl"/>
        </w:rPr>
        <w:t>2020</w:t>
      </w:r>
      <w:r w:rsidR="00A13BEA" w:rsidRPr="00B924EB">
        <w:rPr>
          <w:lang w:val="es-ES_tradnl"/>
        </w:rPr>
        <w:t xml:space="preserve"> </w:t>
      </w:r>
      <w:r w:rsidR="00952DCE">
        <w:rPr>
          <w:lang w:val="es-ES_tradnl"/>
        </w:rPr>
        <w:t>debido a</w:t>
      </w:r>
      <w:r w:rsidR="00A13BEA" w:rsidRPr="00B924EB">
        <w:rPr>
          <w:lang w:val="es-ES_tradnl"/>
        </w:rPr>
        <w:t xml:space="preserve"> </w:t>
      </w:r>
      <w:r w:rsidR="00952DCE">
        <w:rPr>
          <w:lang w:val="es-ES_tradnl"/>
        </w:rPr>
        <w:t>la fuerte competencia</w:t>
      </w:r>
      <w:r w:rsidR="00A13BEA" w:rsidRPr="00B924EB">
        <w:rPr>
          <w:lang w:val="es-ES_tradnl"/>
        </w:rPr>
        <w:t xml:space="preserve"> </w:t>
      </w:r>
      <w:r w:rsidR="002955BC">
        <w:rPr>
          <w:lang w:val="es-ES_tradnl"/>
        </w:rPr>
        <w:t xml:space="preserve">por parte de </w:t>
      </w:r>
      <w:r w:rsidR="000E2A25">
        <w:rPr>
          <w:lang w:val="es-ES_tradnl"/>
        </w:rPr>
        <w:t xml:space="preserve">equipos </w:t>
      </w:r>
      <w:r w:rsidR="00665E3B">
        <w:rPr>
          <w:lang w:val="es-ES_tradnl"/>
        </w:rPr>
        <w:t>importado</w:t>
      </w:r>
      <w:r w:rsidR="00A64B36">
        <w:rPr>
          <w:lang w:val="es-ES_tradnl"/>
        </w:rPr>
        <w:t>s</w:t>
      </w:r>
      <w:r w:rsidR="002C7E4B" w:rsidRPr="00B924EB">
        <w:rPr>
          <w:lang w:val="es-ES_tradnl"/>
        </w:rPr>
        <w:t>.</w:t>
      </w:r>
    </w:p>
    <w:p w14:paraId="254260F9" w14:textId="4937F6E1" w:rsidR="000521A3" w:rsidRPr="00B924EB" w:rsidRDefault="00C32F59" w:rsidP="00D935A9">
      <w:pPr>
        <w:pStyle w:val="Heading1"/>
        <w:rPr>
          <w:lang w:val="es-ES_tradnl"/>
        </w:rPr>
      </w:pPr>
      <w:r>
        <w:rPr>
          <w:lang w:val="es-ES_tradnl"/>
        </w:rPr>
        <w:t xml:space="preserve">Existen </w:t>
      </w:r>
      <w:r w:rsidR="00BC3758">
        <w:rPr>
          <w:lang w:val="es-ES_tradnl"/>
        </w:rPr>
        <w:t xml:space="preserve">en </w:t>
      </w:r>
      <w:r w:rsidR="008A6FF8">
        <w:rPr>
          <w:lang w:val="es-ES_tradnl"/>
        </w:rPr>
        <w:t>Iraq</w:t>
      </w:r>
      <w:r w:rsidR="00BC3758">
        <w:rPr>
          <w:lang w:val="es-ES_tradnl"/>
        </w:rPr>
        <w:t xml:space="preserve"> </w:t>
      </w:r>
      <w:r w:rsidR="00174AE1">
        <w:rPr>
          <w:lang w:val="es-ES_tradnl"/>
        </w:rPr>
        <w:t xml:space="preserve">unos </w:t>
      </w:r>
      <w:r w:rsidR="0036161D" w:rsidRPr="00B924EB">
        <w:rPr>
          <w:lang w:val="es-ES_tradnl"/>
        </w:rPr>
        <w:t>1</w:t>
      </w:r>
      <w:r w:rsidR="00755C5D" w:rsidRPr="00B924EB">
        <w:rPr>
          <w:lang w:val="es-ES_tradnl"/>
        </w:rPr>
        <w:t>1.</w:t>
      </w:r>
      <w:r w:rsidR="0036161D" w:rsidRPr="00B924EB">
        <w:rPr>
          <w:lang w:val="es-ES_tradnl"/>
        </w:rPr>
        <w:t>035</w:t>
      </w:r>
      <w:r w:rsidR="00A13BEA" w:rsidRPr="00B924EB">
        <w:rPr>
          <w:lang w:val="es-ES_tradnl"/>
        </w:rPr>
        <w:t xml:space="preserve"> </w:t>
      </w:r>
      <w:r>
        <w:rPr>
          <w:lang w:val="es-ES_tradnl"/>
        </w:rPr>
        <w:t>técnicos independientes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55C5D" w:rsidRPr="00B924EB">
        <w:rPr>
          <w:lang w:val="es-ES_tradnl"/>
        </w:rPr>
        <w:t>4.</w:t>
      </w:r>
      <w:r w:rsidR="008C38F4" w:rsidRPr="00B924EB">
        <w:rPr>
          <w:lang w:val="es-ES_tradnl"/>
        </w:rPr>
        <w:t>062</w:t>
      </w:r>
      <w:r w:rsidR="00A13BEA" w:rsidRPr="00B924EB">
        <w:rPr>
          <w:lang w:val="es-ES_tradnl"/>
        </w:rPr>
        <w:t xml:space="preserve"> </w:t>
      </w:r>
      <w:r w:rsidR="00AB6DF3">
        <w:rPr>
          <w:lang w:val="es-ES_tradnl"/>
        </w:rPr>
        <w:t>talleres</w:t>
      </w:r>
      <w:r w:rsidR="0050007B" w:rsidRPr="00B924EB">
        <w:rPr>
          <w:lang w:val="es-ES_tradnl"/>
        </w:rPr>
        <w:t>,</w:t>
      </w:r>
      <w:r w:rsidR="00A13BEA" w:rsidRPr="00B924EB">
        <w:rPr>
          <w:lang w:val="es-ES_tradnl"/>
        </w:rPr>
        <w:t xml:space="preserve"> </w:t>
      </w:r>
      <w:r w:rsidR="00B236E6">
        <w:rPr>
          <w:lang w:val="es-ES_tradnl"/>
        </w:rPr>
        <w:t xml:space="preserve">la mayoría </w:t>
      </w:r>
      <w:r w:rsidR="00B00C5F" w:rsidRPr="00B00C5F">
        <w:rPr>
          <w:lang w:val="es-ES_tradnl"/>
        </w:rPr>
        <w:t xml:space="preserve">pequeños </w:t>
      </w:r>
      <w:r w:rsidR="00755C5D" w:rsidRPr="00B924EB">
        <w:rPr>
          <w:lang w:val="es-ES_tradnl"/>
        </w:rPr>
        <w:t>y</w:t>
      </w:r>
      <w:r w:rsidR="00A13BEA" w:rsidRPr="00B924EB">
        <w:rPr>
          <w:lang w:val="es-ES_tradnl"/>
        </w:rPr>
        <w:t xml:space="preserve"> </w:t>
      </w:r>
      <w:r w:rsidR="00FC2003">
        <w:rPr>
          <w:lang w:val="es-ES_tradnl"/>
        </w:rPr>
        <w:t>dispersos</w:t>
      </w:r>
      <w:r w:rsidR="00476BAD">
        <w:rPr>
          <w:lang w:val="es-ES_tradnl"/>
        </w:rPr>
        <w:t xml:space="preserve"> </w:t>
      </w:r>
      <w:r w:rsidR="005767D6">
        <w:rPr>
          <w:lang w:val="es-ES_tradnl"/>
        </w:rPr>
        <w:t>por</w:t>
      </w:r>
      <w:r w:rsidR="005767D6" w:rsidRPr="0083084B">
        <w:rPr>
          <w:lang w:val="es-419"/>
        </w:rPr>
        <w:t xml:space="preserve"> </w:t>
      </w:r>
      <w:r w:rsidR="005767D6" w:rsidRPr="005767D6">
        <w:rPr>
          <w:lang w:val="es-ES_tradnl"/>
        </w:rPr>
        <w:t>todo el país</w:t>
      </w:r>
      <w:r w:rsidR="0036161D" w:rsidRPr="00B924EB">
        <w:rPr>
          <w:lang w:val="es-ES_tradnl"/>
        </w:rPr>
        <w:t>,</w:t>
      </w:r>
      <w:r w:rsidR="00A13BEA" w:rsidRPr="00B924EB">
        <w:rPr>
          <w:lang w:val="es-ES_tradnl"/>
        </w:rPr>
        <w:t xml:space="preserve"> </w:t>
      </w:r>
      <w:r w:rsidR="005E33EE">
        <w:rPr>
          <w:lang w:val="es-ES_tradnl"/>
        </w:rPr>
        <w:t xml:space="preserve">que consumen </w:t>
      </w:r>
      <w:r w:rsidR="00C679D6" w:rsidRPr="00B924EB">
        <w:rPr>
          <w:lang w:val="es-ES_tradnl"/>
        </w:rPr>
        <w:t>HCFC</w:t>
      </w:r>
      <w:r w:rsidR="00755C5D" w:rsidRPr="00B924EB">
        <w:rPr>
          <w:lang w:val="es-ES_tradnl"/>
        </w:rPr>
        <w:t>-</w:t>
      </w:r>
      <w:r w:rsidR="00C679D6" w:rsidRPr="00B924EB">
        <w:rPr>
          <w:lang w:val="es-ES_tradnl"/>
        </w:rPr>
        <w:t>22</w:t>
      </w:r>
      <w:r w:rsidR="00A13BEA" w:rsidRPr="00B924EB">
        <w:rPr>
          <w:lang w:val="es-ES_tradnl"/>
        </w:rPr>
        <w:t xml:space="preserve"> </w:t>
      </w:r>
      <w:r w:rsidR="00151232">
        <w:rPr>
          <w:lang w:val="es-ES_tradnl"/>
        </w:rPr>
        <w:t xml:space="preserve">para dar </w:t>
      </w:r>
      <w:r w:rsidR="00452F79" w:rsidRPr="00B924EB">
        <w:rPr>
          <w:lang w:val="es-ES_tradnl"/>
        </w:rPr>
        <w:t>servicio</w:t>
      </w:r>
      <w:r w:rsidR="00A13BEA" w:rsidRPr="00B924EB">
        <w:rPr>
          <w:lang w:val="es-ES_tradnl"/>
        </w:rPr>
        <w:t xml:space="preserve"> </w:t>
      </w:r>
      <w:r w:rsidR="00FC4116" w:rsidRPr="00B924EB">
        <w:rPr>
          <w:lang w:val="es-ES_tradnl"/>
        </w:rPr>
        <w:t>a</w:t>
      </w:r>
      <w:r w:rsidR="00A13BEA" w:rsidRPr="00B924EB">
        <w:rPr>
          <w:lang w:val="es-ES_tradnl"/>
        </w:rPr>
        <w:t xml:space="preserve"> </w:t>
      </w:r>
      <w:r w:rsidR="00E26F0F" w:rsidRPr="00B924EB">
        <w:rPr>
          <w:lang w:val="es-ES_tradnl"/>
        </w:rPr>
        <w:t>sistemas</w:t>
      </w:r>
      <w:r w:rsidR="00A13BEA" w:rsidRPr="00B924EB">
        <w:rPr>
          <w:lang w:val="es-ES_tradnl"/>
        </w:rPr>
        <w:t xml:space="preserve"> </w:t>
      </w:r>
      <w:r w:rsidR="00E26F0F" w:rsidRPr="00B924EB">
        <w:rPr>
          <w:lang w:val="es-ES_tradnl"/>
        </w:rPr>
        <w:t>de</w:t>
      </w:r>
      <w:r w:rsidR="00A13BEA" w:rsidRPr="00B924EB">
        <w:rPr>
          <w:lang w:val="es-ES_tradnl"/>
        </w:rPr>
        <w:t xml:space="preserve"> </w:t>
      </w:r>
      <w:r w:rsidR="00E26F0F" w:rsidRPr="00B924EB">
        <w:rPr>
          <w:lang w:val="es-ES_tradnl"/>
        </w:rPr>
        <w:t>climatización</w:t>
      </w:r>
      <w:r w:rsidR="00A13BEA" w:rsidRPr="00B924EB">
        <w:rPr>
          <w:lang w:val="es-ES_tradnl"/>
        </w:rPr>
        <w:t xml:space="preserve"> </w:t>
      </w:r>
      <w:r w:rsidR="00B02D3B">
        <w:rPr>
          <w:lang w:val="es-ES_tradnl"/>
        </w:rPr>
        <w:t>de ventana</w:t>
      </w:r>
      <w:r w:rsidR="00D935A9" w:rsidRPr="00B924EB">
        <w:rPr>
          <w:lang w:val="es-ES_tradnl"/>
        </w:rPr>
        <w:t>,</w:t>
      </w:r>
      <w:r w:rsidR="00A13BEA" w:rsidRPr="00B924EB">
        <w:rPr>
          <w:lang w:val="es-ES_tradnl"/>
        </w:rPr>
        <w:t xml:space="preserve"> </w:t>
      </w:r>
      <w:r w:rsidR="00F87614" w:rsidRPr="00F87614">
        <w:rPr>
          <w:lang w:val="es-ES_tradnl"/>
        </w:rPr>
        <w:t>de condensador separado</w:t>
      </w:r>
      <w:r w:rsidR="00D935A9" w:rsidRPr="00B924EB">
        <w:rPr>
          <w:lang w:val="es-ES_tradnl"/>
        </w:rPr>
        <w:t>,</w:t>
      </w:r>
      <w:r w:rsidR="00A13BEA" w:rsidRPr="00B924EB">
        <w:rPr>
          <w:lang w:val="es-ES_tradnl"/>
        </w:rPr>
        <w:t xml:space="preserve"> </w:t>
      </w:r>
      <w:r w:rsidR="000E507F">
        <w:rPr>
          <w:lang w:val="es-ES_tradnl"/>
        </w:rPr>
        <w:t>con y sin ductos,</w:t>
      </w:r>
      <w:r w:rsidR="007C50B3">
        <w:rPr>
          <w:lang w:val="es-ES_tradnl"/>
        </w:rPr>
        <w:t xml:space="preserve"> integrados</w:t>
      </w:r>
      <w:r w:rsidR="00D935A9" w:rsidRPr="00B924EB">
        <w:rPr>
          <w:lang w:val="es-ES_tradnl"/>
        </w:rPr>
        <w:t>,</w:t>
      </w:r>
      <w:r w:rsidR="00A13BEA" w:rsidRPr="00B924EB">
        <w:rPr>
          <w:lang w:val="es-ES_tradnl"/>
        </w:rPr>
        <w:t xml:space="preserve"> </w:t>
      </w:r>
      <w:r w:rsidR="00113592">
        <w:rPr>
          <w:lang w:val="es-ES_tradnl"/>
        </w:rPr>
        <w:t xml:space="preserve">enfriadores </w:t>
      </w:r>
      <w:r w:rsidR="00755C5D" w:rsidRPr="00B924EB">
        <w:rPr>
          <w:lang w:val="es-ES_tradnl"/>
        </w:rPr>
        <w:t>y</w:t>
      </w:r>
      <w:r w:rsidR="00A13BEA" w:rsidRPr="00B924EB">
        <w:rPr>
          <w:lang w:val="es-ES_tradnl"/>
        </w:rPr>
        <w:t xml:space="preserve"> </w:t>
      </w:r>
      <w:r w:rsidR="005E1320" w:rsidRPr="00B924EB">
        <w:rPr>
          <w:lang w:val="es-ES_tradnl"/>
        </w:rPr>
        <w:t>sistemas</w:t>
      </w:r>
      <w:r w:rsidR="00A13BEA" w:rsidRPr="00B924EB">
        <w:rPr>
          <w:lang w:val="es-ES_tradnl"/>
        </w:rPr>
        <w:t xml:space="preserve"> </w:t>
      </w:r>
      <w:r w:rsidR="005E1320" w:rsidRPr="00B924EB">
        <w:rPr>
          <w:lang w:val="es-ES_tradnl"/>
        </w:rPr>
        <w:t>de</w:t>
      </w:r>
      <w:r w:rsidR="00A13BEA" w:rsidRPr="00B924EB">
        <w:rPr>
          <w:lang w:val="es-ES_tradnl"/>
        </w:rPr>
        <w:t xml:space="preserve"> </w:t>
      </w:r>
      <w:r w:rsidR="005E1320" w:rsidRPr="00B924EB">
        <w:rPr>
          <w:lang w:val="es-ES_tradnl"/>
        </w:rPr>
        <w:t>refrigeración</w:t>
      </w:r>
      <w:r w:rsidR="00A13BEA" w:rsidRPr="00B924EB">
        <w:rPr>
          <w:lang w:val="es-ES_tradnl"/>
        </w:rPr>
        <w:t xml:space="preserve"> </w:t>
      </w:r>
      <w:r w:rsidR="005E1320" w:rsidRPr="00B924EB">
        <w:rPr>
          <w:lang w:val="es-ES_tradnl"/>
        </w:rPr>
        <w:t>comercial</w:t>
      </w:r>
      <w:r w:rsidR="0036161D" w:rsidRPr="00B924EB">
        <w:rPr>
          <w:lang w:val="es-ES_tradnl"/>
        </w:rPr>
        <w:t>.</w:t>
      </w:r>
      <w:r w:rsidR="00A13BEA" w:rsidRPr="00B924EB">
        <w:rPr>
          <w:lang w:val="es-ES_tradnl"/>
        </w:rPr>
        <w:t xml:space="preserve"> </w:t>
      </w:r>
      <w:r w:rsidR="00546A2F">
        <w:rPr>
          <w:lang w:val="es-ES_tradnl"/>
        </w:rPr>
        <w:t xml:space="preserve">El </w:t>
      </w:r>
      <w:r w:rsidR="00546A2F" w:rsidRPr="00546A2F">
        <w:rPr>
          <w:lang w:val="es-ES_tradnl"/>
        </w:rPr>
        <w:t xml:space="preserve">Gobierno y </w:t>
      </w:r>
      <w:r w:rsidR="00E60F59">
        <w:rPr>
          <w:lang w:val="es-ES_tradnl"/>
        </w:rPr>
        <w:t xml:space="preserve">los </w:t>
      </w:r>
      <w:r w:rsidR="00546A2F" w:rsidRPr="00546A2F">
        <w:rPr>
          <w:lang w:val="es-ES_tradnl"/>
        </w:rPr>
        <w:t xml:space="preserve">grandes usuarios finales </w:t>
      </w:r>
      <w:r w:rsidR="00A64241">
        <w:rPr>
          <w:lang w:val="es-ES_tradnl"/>
        </w:rPr>
        <w:t>emplean además</w:t>
      </w:r>
      <w:r w:rsidR="00A13BEA" w:rsidRPr="00B924EB">
        <w:rPr>
          <w:lang w:val="es-ES_tradnl"/>
        </w:rPr>
        <w:t xml:space="preserve"> </w:t>
      </w:r>
      <w:r w:rsidR="007B28AE">
        <w:rPr>
          <w:lang w:val="es-ES_tradnl"/>
        </w:rPr>
        <w:t xml:space="preserve">a cerca </w:t>
      </w:r>
      <w:r w:rsidR="00E8492C">
        <w:rPr>
          <w:lang w:val="es-ES_tradnl"/>
        </w:rPr>
        <w:t xml:space="preserve">de </w:t>
      </w:r>
      <w:r w:rsidR="00755C5D" w:rsidRPr="00B924EB">
        <w:rPr>
          <w:lang w:val="es-ES_tradnl"/>
        </w:rPr>
        <w:t>3.</w:t>
      </w:r>
      <w:r w:rsidR="0021661B" w:rsidRPr="00B924EB">
        <w:rPr>
          <w:lang w:val="es-ES_tradnl"/>
        </w:rPr>
        <w:t>425</w:t>
      </w:r>
      <w:r w:rsidR="00A13BEA" w:rsidRPr="00B924EB">
        <w:rPr>
          <w:lang w:val="es-ES_tradnl"/>
        </w:rPr>
        <w:t xml:space="preserve"> </w:t>
      </w:r>
      <w:r w:rsidR="00E26F0F" w:rsidRPr="00B924EB">
        <w:rPr>
          <w:lang w:val="es-ES_tradnl"/>
        </w:rPr>
        <w:t>técnico</w:t>
      </w:r>
      <w:r w:rsidR="0021661B" w:rsidRPr="00B924EB">
        <w:rPr>
          <w:lang w:val="es-ES_tradnl"/>
        </w:rPr>
        <w:t>s</w:t>
      </w:r>
      <w:r w:rsidR="00A13BEA" w:rsidRPr="00B924EB">
        <w:rPr>
          <w:lang w:val="es-ES_tradnl"/>
        </w:rPr>
        <w:t xml:space="preserve"> </w:t>
      </w:r>
      <w:r w:rsidR="00412E28">
        <w:rPr>
          <w:lang w:val="es-ES_tradnl"/>
        </w:rPr>
        <w:t xml:space="preserve">propios que </w:t>
      </w:r>
      <w:r w:rsidR="00C22345">
        <w:rPr>
          <w:lang w:val="es-ES_tradnl"/>
        </w:rPr>
        <w:t xml:space="preserve">atienden </w:t>
      </w:r>
      <w:r w:rsidR="00B8278F">
        <w:rPr>
          <w:lang w:val="es-ES_tradnl"/>
        </w:rPr>
        <w:t xml:space="preserve">distintos </w:t>
      </w:r>
      <w:r w:rsidR="00E26F0F" w:rsidRPr="00B924EB">
        <w:rPr>
          <w:lang w:val="es-ES_tradnl"/>
        </w:rPr>
        <w:t>sistemas</w:t>
      </w:r>
      <w:r w:rsidR="00A13BEA" w:rsidRPr="00B924EB">
        <w:rPr>
          <w:lang w:val="es-ES_tradnl"/>
        </w:rPr>
        <w:t xml:space="preserve"> </w:t>
      </w:r>
      <w:r w:rsidR="007A7550" w:rsidRPr="007A7550">
        <w:rPr>
          <w:lang w:val="es-ES_tradnl"/>
        </w:rPr>
        <w:t xml:space="preserve">de refrigeración </w:t>
      </w:r>
      <w:r w:rsidR="006C2827">
        <w:rPr>
          <w:lang w:val="es-ES_tradnl"/>
        </w:rPr>
        <w:t xml:space="preserve">y </w:t>
      </w:r>
      <w:r w:rsidR="00E26F0F" w:rsidRPr="00B924EB">
        <w:rPr>
          <w:lang w:val="es-ES_tradnl"/>
        </w:rPr>
        <w:t>climatización</w:t>
      </w:r>
      <w:r w:rsidR="00A13BEA" w:rsidRPr="00B924EB">
        <w:rPr>
          <w:lang w:val="es-ES_tradnl"/>
        </w:rPr>
        <w:t xml:space="preserve"> </w:t>
      </w:r>
      <w:r w:rsidR="00E310FA" w:rsidRPr="00E310FA">
        <w:rPr>
          <w:lang w:val="es-ES_tradnl"/>
        </w:rPr>
        <w:t xml:space="preserve">comercial </w:t>
      </w:r>
      <w:r w:rsidR="00310E88">
        <w:rPr>
          <w:lang w:val="es-ES_tradnl"/>
        </w:rPr>
        <w:t xml:space="preserve">ubicados </w:t>
      </w:r>
      <w:r w:rsidR="007407F2">
        <w:rPr>
          <w:lang w:val="es-ES_tradnl"/>
        </w:rPr>
        <w:t xml:space="preserve">en </w:t>
      </w:r>
      <w:r w:rsidR="00B97C2A">
        <w:rPr>
          <w:lang w:val="es-ES_tradnl"/>
        </w:rPr>
        <w:t xml:space="preserve">oficinas </w:t>
      </w:r>
      <w:r w:rsidR="002F5917" w:rsidRPr="002F5917">
        <w:rPr>
          <w:lang w:val="es-ES_tradnl"/>
        </w:rPr>
        <w:t xml:space="preserve">e </w:t>
      </w:r>
      <w:r w:rsidR="002F5917">
        <w:rPr>
          <w:lang w:val="es-ES_tradnl"/>
        </w:rPr>
        <w:t>instalaciones</w:t>
      </w:r>
      <w:r w:rsidR="002F5917" w:rsidRPr="002F5917">
        <w:rPr>
          <w:lang w:val="es-ES_tradnl"/>
        </w:rPr>
        <w:t xml:space="preserve"> </w:t>
      </w:r>
      <w:r w:rsidR="002F5917">
        <w:rPr>
          <w:lang w:val="es-ES_tradnl"/>
        </w:rPr>
        <w:t>públicas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2F5917">
        <w:rPr>
          <w:lang w:val="es-ES_tradnl"/>
        </w:rPr>
        <w:t>privadas</w:t>
      </w:r>
      <w:r w:rsidR="00CC553F" w:rsidRPr="00B924EB">
        <w:rPr>
          <w:lang w:val="es-ES_tradnl"/>
        </w:rPr>
        <w:t>,</w:t>
      </w:r>
      <w:r w:rsidR="00A13BEA" w:rsidRPr="00B924EB">
        <w:rPr>
          <w:lang w:val="es-ES_tradnl"/>
        </w:rPr>
        <w:t xml:space="preserve"> </w:t>
      </w:r>
      <w:r w:rsidR="00E26F0F" w:rsidRPr="00C24B85">
        <w:rPr>
          <w:lang w:val="es-ES_tradnl"/>
        </w:rPr>
        <w:t>entre</w:t>
      </w:r>
      <w:r w:rsidR="00A13BEA" w:rsidRPr="00C24B85">
        <w:rPr>
          <w:lang w:val="es-ES_tradnl"/>
        </w:rPr>
        <w:t xml:space="preserve"> </w:t>
      </w:r>
      <w:r w:rsidR="00232848">
        <w:rPr>
          <w:lang w:val="es-ES_tradnl"/>
        </w:rPr>
        <w:t xml:space="preserve">ellos </w:t>
      </w:r>
      <w:r w:rsidR="00E1143D" w:rsidRPr="00E1143D">
        <w:rPr>
          <w:lang w:val="es-ES_tradnl"/>
        </w:rPr>
        <w:t>enfriadores</w:t>
      </w:r>
      <w:r w:rsidR="005A499C" w:rsidRPr="0083084B">
        <w:rPr>
          <w:lang w:val="es-419"/>
        </w:rPr>
        <w:t xml:space="preserve"> </w:t>
      </w:r>
      <w:r w:rsidR="005A499C" w:rsidRPr="005A499C">
        <w:rPr>
          <w:lang w:val="es-ES_tradnl"/>
        </w:rPr>
        <w:t>comercial</w:t>
      </w:r>
      <w:r w:rsidR="005A499C">
        <w:rPr>
          <w:lang w:val="es-ES_tradnl"/>
        </w:rPr>
        <w:t>es</w:t>
      </w:r>
      <w:r w:rsidR="0021661B" w:rsidRPr="00B924EB">
        <w:rPr>
          <w:lang w:val="es-ES_tradnl"/>
        </w:rPr>
        <w:t>,</w:t>
      </w:r>
      <w:r w:rsidR="00A13BEA" w:rsidRPr="00B924EB">
        <w:rPr>
          <w:lang w:val="es-ES_tradnl"/>
        </w:rPr>
        <w:t xml:space="preserve"> </w:t>
      </w:r>
      <w:r w:rsidR="00B25D1B" w:rsidRPr="00B25D1B">
        <w:rPr>
          <w:lang w:val="es-ES_tradnl"/>
        </w:rPr>
        <w:t>frigorífico</w:t>
      </w:r>
      <w:r w:rsidR="00B25D1B">
        <w:rPr>
          <w:lang w:val="es-ES_tradnl"/>
        </w:rPr>
        <w:t>s</w:t>
      </w:r>
      <w:r w:rsidR="00CC553F" w:rsidRPr="00B924EB">
        <w:rPr>
          <w:lang w:val="es-ES_tradnl"/>
        </w:rPr>
        <w:t>,</w:t>
      </w:r>
      <w:r w:rsidR="00A13BEA" w:rsidRPr="00B924EB">
        <w:rPr>
          <w:lang w:val="es-ES_tradnl"/>
        </w:rPr>
        <w:t xml:space="preserve"> </w:t>
      </w:r>
      <w:r w:rsidR="00566643">
        <w:rPr>
          <w:lang w:val="es-ES_tradnl"/>
        </w:rPr>
        <w:t>hoteles</w:t>
      </w:r>
      <w:r w:rsidR="00CC553F" w:rsidRPr="00B924EB">
        <w:rPr>
          <w:lang w:val="es-ES_tradnl"/>
        </w:rPr>
        <w:t>,</w:t>
      </w:r>
      <w:r w:rsidR="00A13BEA" w:rsidRPr="00B924EB">
        <w:rPr>
          <w:lang w:val="es-ES_tradnl"/>
        </w:rPr>
        <w:t xml:space="preserve"> </w:t>
      </w:r>
      <w:r w:rsidR="00E162A9">
        <w:rPr>
          <w:lang w:val="es-ES_tradnl"/>
        </w:rPr>
        <w:t>plantas</w:t>
      </w:r>
      <w:r w:rsidR="00D41B64">
        <w:rPr>
          <w:lang w:val="es-ES_tradnl"/>
        </w:rPr>
        <w:t xml:space="preserve"> de</w:t>
      </w:r>
      <w:r w:rsidR="000115EA">
        <w:rPr>
          <w:lang w:val="es-ES_tradnl"/>
        </w:rPr>
        <w:t xml:space="preserve"> productos lácteos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D935A9" w:rsidRPr="00B924EB">
        <w:rPr>
          <w:lang w:val="es-ES_tradnl"/>
        </w:rPr>
        <w:t>super</w:t>
      </w:r>
      <w:r w:rsidR="00566643">
        <w:rPr>
          <w:lang w:val="es-ES_tradnl"/>
        </w:rPr>
        <w:t>mercados</w:t>
      </w:r>
      <w:r w:rsidR="00F365EC" w:rsidRPr="00B924EB">
        <w:rPr>
          <w:lang w:val="es-ES_tradnl"/>
        </w:rPr>
        <w:t>.</w:t>
      </w:r>
      <w:r w:rsidR="00A13BEA" w:rsidRPr="00B924EB">
        <w:rPr>
          <w:lang w:val="es-ES_tradnl"/>
        </w:rPr>
        <w:t xml:space="preserve"> </w:t>
      </w:r>
      <w:r w:rsidR="000778CA" w:rsidRPr="000778CA">
        <w:rPr>
          <w:lang w:val="es-ES_tradnl"/>
        </w:rPr>
        <w:t xml:space="preserve">El Cuadro 3 muestra </w:t>
      </w:r>
      <w:r w:rsidR="008D25DC">
        <w:rPr>
          <w:lang w:val="es-ES_tradnl"/>
        </w:rPr>
        <w:t xml:space="preserve">un cálculo estimativo </w:t>
      </w:r>
      <w:r w:rsidR="000521A3" w:rsidRPr="00B924EB">
        <w:rPr>
          <w:lang w:val="es-ES_tradnl"/>
        </w:rPr>
        <w:t>del</w:t>
      </w:r>
      <w:r w:rsidR="00A13BEA" w:rsidRPr="00B924EB">
        <w:rPr>
          <w:lang w:val="es-ES_tradnl"/>
        </w:rPr>
        <w:t xml:space="preserve"> </w:t>
      </w:r>
      <w:r w:rsidR="009374DA" w:rsidRPr="00B924EB">
        <w:rPr>
          <w:lang w:val="es-ES_tradnl"/>
        </w:rPr>
        <w:t>consumo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36161D" w:rsidRPr="00B924EB">
        <w:rPr>
          <w:lang w:val="es-ES_tradnl"/>
        </w:rPr>
        <w:t>HCFC</w:t>
      </w:r>
      <w:r w:rsidR="00755C5D" w:rsidRPr="00B924EB">
        <w:rPr>
          <w:lang w:val="es-ES_tradnl"/>
        </w:rPr>
        <w:t>-</w:t>
      </w:r>
      <w:r w:rsidR="0036161D" w:rsidRPr="00B924EB">
        <w:rPr>
          <w:lang w:val="es-ES_tradnl"/>
        </w:rPr>
        <w:t>22</w:t>
      </w:r>
      <w:r w:rsidR="00A13BEA" w:rsidRPr="00B924EB">
        <w:rPr>
          <w:lang w:val="es-ES_tradnl"/>
        </w:rPr>
        <w:t xml:space="preserve"> </w:t>
      </w:r>
      <w:r w:rsidR="009374DA" w:rsidRPr="00B924EB">
        <w:rPr>
          <w:lang w:val="es-ES_tradnl"/>
        </w:rPr>
        <w:t>en</w:t>
      </w:r>
      <w:r w:rsidR="00A13BEA" w:rsidRPr="00B924EB">
        <w:rPr>
          <w:lang w:val="es-ES_tradnl"/>
        </w:rPr>
        <w:t xml:space="preserve"> </w:t>
      </w:r>
      <w:r w:rsidR="00363607" w:rsidRPr="00B924EB">
        <w:rPr>
          <w:lang w:val="es-ES_tradnl"/>
        </w:rPr>
        <w:t>el</w:t>
      </w:r>
      <w:r w:rsidR="00A13BEA" w:rsidRPr="00B924EB">
        <w:rPr>
          <w:lang w:val="es-ES_tradnl"/>
        </w:rPr>
        <w:t xml:space="preserve"> </w:t>
      </w:r>
      <w:r w:rsidR="00363607" w:rsidRPr="00B924EB">
        <w:rPr>
          <w:lang w:val="es-ES_tradnl"/>
        </w:rPr>
        <w:t>sector</w:t>
      </w:r>
      <w:r w:rsidR="00A13BEA" w:rsidRPr="00B924EB">
        <w:rPr>
          <w:lang w:val="es-ES_tradnl"/>
        </w:rPr>
        <w:t xml:space="preserve"> </w:t>
      </w:r>
      <w:r w:rsidR="00755C5D" w:rsidRPr="00B924EB">
        <w:rPr>
          <w:lang w:val="es-ES_tradnl"/>
        </w:rPr>
        <w:t>servicio</w:t>
      </w:r>
      <w:r w:rsidR="00A13BEA" w:rsidRPr="00B924EB">
        <w:rPr>
          <w:lang w:val="es-ES_tradnl"/>
        </w:rPr>
        <w:t xml:space="preserve"> </w:t>
      </w:r>
      <w:r w:rsidR="00755C5D" w:rsidRPr="00B924EB">
        <w:rPr>
          <w:lang w:val="es-ES_tradnl"/>
        </w:rPr>
        <w:t>técnico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equipos</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refrigeración</w:t>
      </w:r>
      <w:r w:rsidR="00C679D6" w:rsidRPr="00B924EB">
        <w:rPr>
          <w:lang w:val="es-ES_tradnl"/>
        </w:rPr>
        <w:t>.</w:t>
      </w:r>
    </w:p>
    <w:p w14:paraId="15F195B7" w14:textId="0C1DB666" w:rsidR="00C679D6" w:rsidRPr="00B924EB" w:rsidRDefault="00755C5D" w:rsidP="00C679D6">
      <w:pPr>
        <w:spacing w:after="40"/>
        <w:rPr>
          <w:b/>
          <w:lang w:val="es-ES_tradnl" w:eastAsia="zh-CN"/>
        </w:rPr>
      </w:pPr>
      <w:r w:rsidRPr="00B924EB">
        <w:rPr>
          <w:b/>
          <w:lang w:val="es-ES_tradnl" w:eastAsia="zh-CN"/>
        </w:rPr>
        <w:t>Cuadro</w:t>
      </w:r>
      <w:r w:rsidR="00A13BEA" w:rsidRPr="00B924EB">
        <w:rPr>
          <w:b/>
          <w:lang w:val="es-ES_tradnl" w:eastAsia="zh-CN"/>
        </w:rPr>
        <w:t xml:space="preserve"> </w:t>
      </w:r>
      <w:r w:rsidR="00D935A9" w:rsidRPr="00B924EB">
        <w:rPr>
          <w:b/>
          <w:lang w:val="es-ES_tradnl" w:eastAsia="zh-CN"/>
        </w:rPr>
        <w:t>3</w:t>
      </w:r>
      <w:r w:rsidR="00C679D6" w:rsidRPr="00B924EB">
        <w:rPr>
          <w:b/>
          <w:lang w:val="es-ES_tradnl" w:eastAsia="zh-CN"/>
        </w:rPr>
        <w:t>.</w:t>
      </w:r>
      <w:r w:rsidR="00A13BEA" w:rsidRPr="00B924EB">
        <w:rPr>
          <w:b/>
          <w:lang w:val="es-ES_tradnl" w:eastAsia="zh-CN"/>
        </w:rPr>
        <w:t xml:space="preserve"> </w:t>
      </w:r>
      <w:r w:rsidR="00832552" w:rsidRPr="00832552">
        <w:rPr>
          <w:b/>
          <w:lang w:val="es-ES_tradnl" w:eastAsia="zh-CN"/>
        </w:rPr>
        <w:t>Demanda estimada de</w:t>
      </w:r>
      <w:r w:rsidR="00A13BEA" w:rsidRPr="00B924EB">
        <w:rPr>
          <w:b/>
          <w:lang w:val="es-ES_tradnl" w:eastAsia="zh-CN"/>
        </w:rPr>
        <w:t xml:space="preserve"> </w:t>
      </w:r>
      <w:r w:rsidR="00E74272" w:rsidRPr="00B924EB">
        <w:rPr>
          <w:b/>
          <w:lang w:val="es-ES_tradnl" w:eastAsia="zh-CN"/>
        </w:rPr>
        <w:t>HCFC</w:t>
      </w:r>
      <w:r w:rsidRPr="00B924EB">
        <w:rPr>
          <w:b/>
          <w:lang w:val="es-ES_tradnl" w:eastAsia="zh-CN"/>
        </w:rPr>
        <w:t>-</w:t>
      </w:r>
      <w:r w:rsidR="00EC2FB5" w:rsidRPr="00B924EB">
        <w:rPr>
          <w:b/>
          <w:lang w:val="es-ES_tradnl" w:eastAsia="zh-CN"/>
        </w:rPr>
        <w:t>22</w:t>
      </w:r>
      <w:r w:rsidR="00A13BEA" w:rsidRPr="00B924EB">
        <w:rPr>
          <w:b/>
          <w:lang w:val="es-ES_tradnl" w:eastAsia="zh-CN"/>
        </w:rPr>
        <w:t xml:space="preserve"> </w:t>
      </w:r>
      <w:r w:rsidR="002B4304">
        <w:rPr>
          <w:b/>
          <w:lang w:val="es-ES_tradnl" w:eastAsia="zh-CN"/>
        </w:rPr>
        <w:t>-</w:t>
      </w:r>
      <w:r w:rsidR="00A13BEA" w:rsidRPr="00B924EB">
        <w:rPr>
          <w:b/>
          <w:lang w:val="es-ES_tradnl" w:eastAsia="zh-CN"/>
        </w:rPr>
        <w:t xml:space="preserve"> </w:t>
      </w:r>
      <w:r w:rsidRPr="00B924EB">
        <w:rPr>
          <w:b/>
          <w:lang w:val="es-ES_tradnl" w:eastAsia="zh-CN"/>
        </w:rPr>
        <w:t>servicio</w:t>
      </w:r>
      <w:r w:rsidR="00A13BEA" w:rsidRPr="00B924EB">
        <w:rPr>
          <w:b/>
          <w:lang w:val="es-ES_tradnl" w:eastAsia="zh-CN"/>
        </w:rPr>
        <w:t xml:space="preserve"> </w:t>
      </w:r>
      <w:r w:rsidRPr="00B924EB">
        <w:rPr>
          <w:b/>
          <w:lang w:val="es-ES_tradnl" w:eastAsia="zh-CN"/>
        </w:rPr>
        <w:t>técnico</w:t>
      </w:r>
      <w:r w:rsidR="00A13BEA" w:rsidRPr="00B924EB">
        <w:rPr>
          <w:b/>
          <w:lang w:val="es-ES_tradnl" w:eastAsia="zh-CN"/>
        </w:rPr>
        <w:t xml:space="preserve"> </w:t>
      </w:r>
      <w:r w:rsidRPr="00B924EB">
        <w:rPr>
          <w:b/>
          <w:lang w:val="es-ES_tradnl" w:eastAsia="zh-CN"/>
        </w:rPr>
        <w:t>de</w:t>
      </w:r>
      <w:r w:rsidR="00A13BEA" w:rsidRPr="00B924EB">
        <w:rPr>
          <w:b/>
          <w:lang w:val="es-ES_tradnl" w:eastAsia="zh-CN"/>
        </w:rPr>
        <w:t xml:space="preserve"> </w:t>
      </w:r>
      <w:r w:rsidRPr="00B924EB">
        <w:rPr>
          <w:b/>
          <w:lang w:val="es-ES_tradnl" w:eastAsia="zh-CN"/>
        </w:rPr>
        <w:t>equipos</w:t>
      </w:r>
      <w:r w:rsidR="00A13BEA" w:rsidRPr="00B924EB">
        <w:rPr>
          <w:b/>
          <w:lang w:val="es-ES_tradnl" w:eastAsia="zh-CN"/>
        </w:rPr>
        <w:t xml:space="preserve"> </w:t>
      </w:r>
      <w:r w:rsidRPr="00B924EB">
        <w:rPr>
          <w:b/>
          <w:lang w:val="es-ES_tradnl" w:eastAsia="zh-CN"/>
        </w:rPr>
        <w:t>de</w:t>
      </w:r>
      <w:r w:rsidR="00A13BEA" w:rsidRPr="00B924EB">
        <w:rPr>
          <w:b/>
          <w:lang w:val="es-ES_tradnl" w:eastAsia="zh-CN"/>
        </w:rPr>
        <w:t xml:space="preserve"> </w:t>
      </w:r>
      <w:r w:rsidRPr="00B924EB">
        <w:rPr>
          <w:b/>
          <w:lang w:val="es-ES_tradnl" w:eastAsia="zh-CN"/>
        </w:rPr>
        <w:t>refrigeración</w:t>
      </w:r>
      <w:r w:rsidR="00385875">
        <w:rPr>
          <w:b/>
          <w:lang w:val="es-ES_tradnl" w:eastAsia="zh-CN"/>
        </w:rPr>
        <w:t xml:space="preserve">, </w:t>
      </w:r>
      <w:r w:rsidR="00CF0506" w:rsidRPr="00B924EB">
        <w:rPr>
          <w:b/>
          <w:lang w:val="es-ES_tradnl" w:eastAsia="zh-CN"/>
        </w:rPr>
        <w:t>2019</w:t>
      </w:r>
      <w:r w:rsidR="00C55DAA" w:rsidRPr="00B924EB">
        <w:rPr>
          <w:b/>
          <w:lang w:val="es-ES_tradnl" w:eastAsia="zh-CN"/>
        </w:rPr>
        <w:t>*</w:t>
      </w:r>
    </w:p>
    <w:tbl>
      <w:tblPr>
        <w:tblStyle w:val="TableGrid"/>
        <w:tblW w:w="9355" w:type="dxa"/>
        <w:tblLook w:val="04A0" w:firstRow="1" w:lastRow="0" w:firstColumn="1" w:lastColumn="0" w:noHBand="0" w:noVBand="1"/>
      </w:tblPr>
      <w:tblGrid>
        <w:gridCol w:w="3936"/>
        <w:gridCol w:w="1134"/>
        <w:gridCol w:w="1315"/>
        <w:gridCol w:w="1485"/>
        <w:gridCol w:w="1485"/>
      </w:tblGrid>
      <w:tr w:rsidR="00E268C4" w:rsidRPr="00B924EB" w14:paraId="6B353C89" w14:textId="77777777" w:rsidTr="00D804CC">
        <w:trPr>
          <w:tblHeader/>
        </w:trPr>
        <w:tc>
          <w:tcPr>
            <w:tcW w:w="3936" w:type="dxa"/>
            <w:vAlign w:val="center"/>
          </w:tcPr>
          <w:p w14:paraId="68A82222" w14:textId="3FD22016" w:rsidR="00E268C4" w:rsidRPr="00B924EB" w:rsidRDefault="00591FCA" w:rsidP="003A182C">
            <w:pPr>
              <w:rPr>
                <w:b/>
                <w:sz w:val="20"/>
                <w:szCs w:val="20"/>
                <w:lang w:val="es-ES_tradnl" w:eastAsia="zh-CN"/>
              </w:rPr>
            </w:pPr>
            <w:r>
              <w:rPr>
                <w:b/>
                <w:sz w:val="20"/>
                <w:szCs w:val="20"/>
                <w:lang w:val="es-ES_tradnl" w:eastAsia="zh-CN"/>
              </w:rPr>
              <w:t>Descripción</w:t>
            </w:r>
          </w:p>
        </w:tc>
        <w:tc>
          <w:tcPr>
            <w:tcW w:w="1134" w:type="dxa"/>
            <w:tcMar>
              <w:left w:w="0" w:type="dxa"/>
              <w:right w:w="0" w:type="dxa"/>
            </w:tcMar>
          </w:tcPr>
          <w:p w14:paraId="15325689" w14:textId="746E5DE3" w:rsidR="00E268C4" w:rsidRPr="00B924EB" w:rsidRDefault="00167C2E" w:rsidP="003A182C">
            <w:pPr>
              <w:jc w:val="center"/>
              <w:rPr>
                <w:b/>
                <w:sz w:val="20"/>
                <w:szCs w:val="20"/>
                <w:lang w:val="es-ES_tradnl" w:eastAsia="zh-CN"/>
              </w:rPr>
            </w:pPr>
            <w:r>
              <w:rPr>
                <w:b/>
                <w:sz w:val="20"/>
                <w:szCs w:val="20"/>
                <w:lang w:val="es-ES_tradnl" w:eastAsia="zh-CN"/>
              </w:rPr>
              <w:t>U</w:t>
            </w:r>
            <w:r w:rsidR="00E26F0F" w:rsidRPr="00B924EB">
              <w:rPr>
                <w:b/>
                <w:sz w:val="20"/>
                <w:szCs w:val="20"/>
                <w:lang w:val="es-ES_tradnl" w:eastAsia="zh-CN"/>
              </w:rPr>
              <w:t>nidades</w:t>
            </w:r>
          </w:p>
        </w:tc>
        <w:tc>
          <w:tcPr>
            <w:tcW w:w="1315" w:type="dxa"/>
            <w:tcMar>
              <w:left w:w="0" w:type="dxa"/>
              <w:right w:w="0" w:type="dxa"/>
            </w:tcMar>
          </w:tcPr>
          <w:p w14:paraId="472E73A0" w14:textId="70CDA82D" w:rsidR="00E268C4" w:rsidRPr="00B924EB" w:rsidRDefault="003F2CB9" w:rsidP="00CA25E7">
            <w:pPr>
              <w:jc w:val="center"/>
              <w:rPr>
                <w:b/>
                <w:sz w:val="20"/>
                <w:szCs w:val="20"/>
                <w:lang w:val="es-ES_tradnl" w:eastAsia="zh-CN"/>
              </w:rPr>
            </w:pPr>
            <w:r>
              <w:rPr>
                <w:b/>
                <w:sz w:val="20"/>
                <w:szCs w:val="20"/>
                <w:lang w:val="es-ES_tradnl" w:eastAsia="zh-CN"/>
              </w:rPr>
              <w:t>R</w:t>
            </w:r>
            <w:r w:rsidR="00CA25E7">
              <w:rPr>
                <w:b/>
                <w:sz w:val="20"/>
                <w:szCs w:val="20"/>
                <w:lang w:val="es-ES_tradnl" w:eastAsia="zh-CN"/>
              </w:rPr>
              <w:t xml:space="preserve">ecargas o fugas </w:t>
            </w:r>
            <w:r w:rsidR="00E268C4" w:rsidRPr="00B924EB">
              <w:rPr>
                <w:b/>
                <w:sz w:val="20"/>
                <w:szCs w:val="20"/>
                <w:lang w:val="es-ES_tradnl" w:eastAsia="zh-CN"/>
              </w:rPr>
              <w:t>(%)</w:t>
            </w:r>
          </w:p>
        </w:tc>
        <w:tc>
          <w:tcPr>
            <w:tcW w:w="1485" w:type="dxa"/>
            <w:tcMar>
              <w:left w:w="0" w:type="dxa"/>
              <w:right w:w="0" w:type="dxa"/>
            </w:tcMar>
          </w:tcPr>
          <w:p w14:paraId="2CC867D8" w14:textId="062E31B7" w:rsidR="00E268C4" w:rsidRPr="00B924EB" w:rsidRDefault="004D091E" w:rsidP="003A182C">
            <w:pPr>
              <w:jc w:val="center"/>
              <w:rPr>
                <w:b/>
                <w:sz w:val="20"/>
                <w:szCs w:val="20"/>
                <w:lang w:val="es-ES_tradnl" w:eastAsia="zh-CN"/>
              </w:rPr>
            </w:pPr>
            <w:r>
              <w:rPr>
                <w:b/>
                <w:sz w:val="20"/>
                <w:szCs w:val="20"/>
                <w:lang w:val="es-ES_tradnl" w:eastAsia="zh-CN"/>
              </w:rPr>
              <w:t>Volumen utilizado</w:t>
            </w:r>
            <w:r w:rsidR="00A13BEA" w:rsidRPr="00B924EB">
              <w:rPr>
                <w:b/>
                <w:sz w:val="20"/>
                <w:szCs w:val="20"/>
                <w:lang w:val="es-ES_tradnl" w:eastAsia="zh-CN"/>
              </w:rPr>
              <w:t xml:space="preserve"> </w:t>
            </w:r>
            <w:r w:rsidR="00E268C4" w:rsidRPr="00B924EB">
              <w:rPr>
                <w:b/>
                <w:sz w:val="20"/>
                <w:szCs w:val="20"/>
                <w:lang w:val="es-ES_tradnl" w:eastAsia="zh-CN"/>
              </w:rPr>
              <w:t>(</w:t>
            </w:r>
            <w:r w:rsidR="00D64B70" w:rsidRPr="00B924EB">
              <w:rPr>
                <w:b/>
                <w:sz w:val="20"/>
                <w:szCs w:val="20"/>
                <w:lang w:val="es-ES_tradnl" w:eastAsia="zh-CN"/>
              </w:rPr>
              <w:t>kg</w:t>
            </w:r>
            <w:r w:rsidR="00E268C4" w:rsidRPr="00B924EB">
              <w:rPr>
                <w:b/>
                <w:sz w:val="20"/>
                <w:szCs w:val="20"/>
                <w:lang w:val="es-ES_tradnl" w:eastAsia="zh-CN"/>
              </w:rPr>
              <w:t>)</w:t>
            </w:r>
          </w:p>
        </w:tc>
        <w:tc>
          <w:tcPr>
            <w:tcW w:w="1485" w:type="dxa"/>
            <w:tcMar>
              <w:left w:w="0" w:type="dxa"/>
              <w:right w:w="0" w:type="dxa"/>
            </w:tcMar>
          </w:tcPr>
          <w:p w14:paraId="5C16A142" w14:textId="3C1AF89B" w:rsidR="00E268C4" w:rsidRPr="00B924EB" w:rsidRDefault="009374DA" w:rsidP="003A182C">
            <w:pPr>
              <w:jc w:val="center"/>
              <w:rPr>
                <w:b/>
                <w:sz w:val="20"/>
                <w:szCs w:val="20"/>
                <w:lang w:val="es-ES_tradnl" w:eastAsia="zh-CN"/>
              </w:rPr>
            </w:pPr>
            <w:r w:rsidRPr="00B924EB">
              <w:rPr>
                <w:b/>
                <w:sz w:val="20"/>
                <w:szCs w:val="20"/>
                <w:lang w:val="es-ES_tradnl" w:eastAsia="zh-CN"/>
              </w:rPr>
              <w:t>Consumo</w:t>
            </w:r>
            <w:r w:rsidR="00A13BEA" w:rsidRPr="00B924EB">
              <w:rPr>
                <w:b/>
                <w:sz w:val="20"/>
                <w:szCs w:val="20"/>
                <w:lang w:val="es-ES_tradnl" w:eastAsia="zh-CN"/>
              </w:rPr>
              <w:t xml:space="preserve"> </w:t>
            </w:r>
            <w:r w:rsidR="00E268C4" w:rsidRPr="00B924EB">
              <w:rPr>
                <w:b/>
                <w:sz w:val="20"/>
                <w:szCs w:val="20"/>
                <w:lang w:val="es-ES_tradnl" w:eastAsia="zh-CN"/>
              </w:rPr>
              <w:t>(</w:t>
            </w:r>
            <w:proofErr w:type="spellStart"/>
            <w:r w:rsidR="00755C5D" w:rsidRPr="00B924EB">
              <w:rPr>
                <w:b/>
                <w:sz w:val="20"/>
                <w:szCs w:val="20"/>
                <w:lang w:val="es-ES_tradnl" w:eastAsia="zh-CN"/>
              </w:rPr>
              <w:t>tm</w:t>
            </w:r>
            <w:proofErr w:type="spellEnd"/>
            <w:r w:rsidR="00E268C4" w:rsidRPr="00B924EB">
              <w:rPr>
                <w:b/>
                <w:sz w:val="20"/>
                <w:szCs w:val="20"/>
                <w:lang w:val="es-ES_tradnl" w:eastAsia="zh-CN"/>
              </w:rPr>
              <w:t>)</w:t>
            </w:r>
          </w:p>
        </w:tc>
      </w:tr>
      <w:tr w:rsidR="00E268C4" w:rsidRPr="00B924EB" w14:paraId="32A5A170" w14:textId="77777777" w:rsidTr="00D804CC">
        <w:tc>
          <w:tcPr>
            <w:tcW w:w="3936" w:type="dxa"/>
          </w:tcPr>
          <w:p w14:paraId="7460529F" w14:textId="1E9CBEAE" w:rsidR="00E268C4" w:rsidRPr="00B924EB" w:rsidRDefault="009E7B2D" w:rsidP="003A3217">
            <w:pPr>
              <w:jc w:val="left"/>
              <w:rPr>
                <w:sz w:val="20"/>
                <w:szCs w:val="20"/>
                <w:lang w:val="es-ES_tradnl" w:eastAsia="zh-CN"/>
              </w:rPr>
            </w:pPr>
            <w:r>
              <w:rPr>
                <w:sz w:val="20"/>
                <w:szCs w:val="20"/>
                <w:lang w:val="es-ES_tradnl" w:eastAsia="zh-CN"/>
              </w:rPr>
              <w:t>Climatización residencial</w:t>
            </w:r>
          </w:p>
        </w:tc>
        <w:tc>
          <w:tcPr>
            <w:tcW w:w="1134" w:type="dxa"/>
            <w:tcMar>
              <w:left w:w="115" w:type="dxa"/>
              <w:right w:w="173" w:type="dxa"/>
            </w:tcMar>
          </w:tcPr>
          <w:p w14:paraId="2E4E8B88" w14:textId="661BB28B" w:rsidR="00E268C4" w:rsidRPr="00B924EB" w:rsidRDefault="009374DA" w:rsidP="003A3217">
            <w:pPr>
              <w:jc w:val="right"/>
              <w:rPr>
                <w:sz w:val="20"/>
                <w:szCs w:val="20"/>
                <w:lang w:val="es-ES_tradnl" w:eastAsia="zh-CN"/>
              </w:rPr>
            </w:pPr>
            <w:r w:rsidRPr="00B924EB">
              <w:rPr>
                <w:sz w:val="20"/>
                <w:szCs w:val="20"/>
                <w:lang w:val="es-ES_tradnl" w:eastAsia="zh-CN"/>
              </w:rPr>
              <w:t>7.</w:t>
            </w:r>
            <w:r w:rsidR="00E268C4" w:rsidRPr="00B924EB">
              <w:rPr>
                <w:sz w:val="20"/>
                <w:szCs w:val="20"/>
                <w:lang w:val="es-ES_tradnl" w:eastAsia="zh-CN"/>
              </w:rPr>
              <w:t>71</w:t>
            </w:r>
            <w:r w:rsidR="00755C5D" w:rsidRPr="00B924EB">
              <w:rPr>
                <w:sz w:val="20"/>
                <w:szCs w:val="20"/>
                <w:lang w:val="es-ES_tradnl" w:eastAsia="zh-CN"/>
              </w:rPr>
              <w:t>0.</w:t>
            </w:r>
            <w:r w:rsidR="00E268C4" w:rsidRPr="00B924EB">
              <w:rPr>
                <w:sz w:val="20"/>
                <w:szCs w:val="20"/>
                <w:lang w:val="es-ES_tradnl" w:eastAsia="zh-CN"/>
              </w:rPr>
              <w:t>000</w:t>
            </w:r>
          </w:p>
        </w:tc>
        <w:tc>
          <w:tcPr>
            <w:tcW w:w="1315" w:type="dxa"/>
            <w:tcMar>
              <w:left w:w="115" w:type="dxa"/>
              <w:right w:w="173" w:type="dxa"/>
            </w:tcMar>
          </w:tcPr>
          <w:p w14:paraId="164BBE4B" w14:textId="5EA84E73" w:rsidR="00E268C4" w:rsidRPr="00B924EB" w:rsidRDefault="00E268C4" w:rsidP="003A3217">
            <w:pPr>
              <w:jc w:val="right"/>
              <w:rPr>
                <w:sz w:val="20"/>
                <w:szCs w:val="20"/>
                <w:lang w:val="es-ES_tradnl" w:eastAsia="zh-CN"/>
              </w:rPr>
            </w:pPr>
            <w:r w:rsidRPr="00B924EB">
              <w:rPr>
                <w:sz w:val="20"/>
                <w:szCs w:val="20"/>
                <w:lang w:val="es-ES_tradnl" w:eastAsia="zh-CN"/>
              </w:rPr>
              <w:t>13.5</w:t>
            </w:r>
          </w:p>
        </w:tc>
        <w:tc>
          <w:tcPr>
            <w:tcW w:w="1485" w:type="dxa"/>
            <w:tcMar>
              <w:left w:w="115" w:type="dxa"/>
              <w:right w:w="173" w:type="dxa"/>
            </w:tcMar>
          </w:tcPr>
          <w:p w14:paraId="265C8955" w14:textId="7B12B2E1" w:rsidR="00E268C4" w:rsidRPr="00B924EB" w:rsidRDefault="00D64B70" w:rsidP="003A3217">
            <w:pPr>
              <w:jc w:val="right"/>
              <w:rPr>
                <w:sz w:val="20"/>
                <w:szCs w:val="20"/>
                <w:lang w:val="es-ES_tradnl" w:eastAsia="zh-CN"/>
              </w:rPr>
            </w:pPr>
            <w:r w:rsidRPr="00B924EB">
              <w:rPr>
                <w:sz w:val="20"/>
                <w:szCs w:val="20"/>
                <w:lang w:val="es-ES_tradnl" w:eastAsia="zh-CN"/>
              </w:rPr>
              <w:t>1.21</w:t>
            </w:r>
          </w:p>
        </w:tc>
        <w:tc>
          <w:tcPr>
            <w:tcW w:w="1485" w:type="dxa"/>
            <w:tcMar>
              <w:left w:w="115" w:type="dxa"/>
              <w:right w:w="173" w:type="dxa"/>
            </w:tcMar>
          </w:tcPr>
          <w:p w14:paraId="72D00D92" w14:textId="07A4BA14" w:rsidR="00E268C4" w:rsidRPr="00B924EB" w:rsidRDefault="00755C5D" w:rsidP="003A3217">
            <w:pPr>
              <w:jc w:val="right"/>
              <w:rPr>
                <w:sz w:val="20"/>
                <w:szCs w:val="20"/>
                <w:lang w:val="es-ES_tradnl" w:eastAsia="zh-CN"/>
              </w:rPr>
            </w:pPr>
            <w:r w:rsidRPr="00B924EB">
              <w:rPr>
                <w:sz w:val="20"/>
                <w:szCs w:val="20"/>
                <w:lang w:val="es-ES_tradnl" w:eastAsia="zh-CN"/>
              </w:rPr>
              <w:t>1.</w:t>
            </w:r>
            <w:r w:rsidR="00E268C4" w:rsidRPr="00B924EB">
              <w:rPr>
                <w:sz w:val="20"/>
                <w:szCs w:val="20"/>
                <w:lang w:val="es-ES_tradnl" w:eastAsia="zh-CN"/>
              </w:rPr>
              <w:t>260</w:t>
            </w:r>
          </w:p>
        </w:tc>
      </w:tr>
      <w:tr w:rsidR="00E268C4" w:rsidRPr="00B924EB" w14:paraId="1F0F4242" w14:textId="77777777" w:rsidTr="00D804CC">
        <w:tc>
          <w:tcPr>
            <w:tcW w:w="3936" w:type="dxa"/>
          </w:tcPr>
          <w:p w14:paraId="172F01DC" w14:textId="772609C7" w:rsidR="00E268C4" w:rsidRPr="00B924EB" w:rsidRDefault="001A1006" w:rsidP="003A3217">
            <w:pPr>
              <w:jc w:val="left"/>
              <w:rPr>
                <w:sz w:val="20"/>
                <w:szCs w:val="20"/>
                <w:lang w:val="es-ES_tradnl" w:eastAsia="zh-CN"/>
              </w:rPr>
            </w:pPr>
            <w:r w:rsidRPr="00B924EB">
              <w:rPr>
                <w:sz w:val="20"/>
                <w:szCs w:val="20"/>
                <w:lang w:val="es-ES_tradnl" w:eastAsia="zh-CN"/>
              </w:rPr>
              <w:t>Climatización</w:t>
            </w:r>
            <w:r w:rsidR="00A13BEA" w:rsidRPr="00B924EB">
              <w:rPr>
                <w:sz w:val="20"/>
                <w:szCs w:val="20"/>
                <w:lang w:val="es-ES_tradnl" w:eastAsia="zh-CN"/>
              </w:rPr>
              <w:t xml:space="preserve"> </w:t>
            </w:r>
            <w:r w:rsidRPr="00B924EB">
              <w:rPr>
                <w:sz w:val="20"/>
                <w:szCs w:val="20"/>
                <w:lang w:val="es-ES_tradnl" w:eastAsia="zh-CN"/>
              </w:rPr>
              <w:t>comercial</w:t>
            </w:r>
          </w:p>
        </w:tc>
        <w:tc>
          <w:tcPr>
            <w:tcW w:w="1134" w:type="dxa"/>
            <w:tcMar>
              <w:left w:w="115" w:type="dxa"/>
              <w:right w:w="173" w:type="dxa"/>
            </w:tcMar>
          </w:tcPr>
          <w:p w14:paraId="016702EF" w14:textId="68D953AE" w:rsidR="00E268C4" w:rsidRPr="00B924EB" w:rsidRDefault="00E268C4" w:rsidP="003A3217">
            <w:pPr>
              <w:jc w:val="right"/>
              <w:rPr>
                <w:sz w:val="20"/>
                <w:szCs w:val="20"/>
                <w:lang w:val="es-ES_tradnl" w:eastAsia="zh-CN"/>
              </w:rPr>
            </w:pPr>
            <w:r w:rsidRPr="00B924EB">
              <w:rPr>
                <w:sz w:val="20"/>
                <w:szCs w:val="20"/>
                <w:lang w:val="es-ES_tradnl" w:eastAsia="zh-CN"/>
              </w:rPr>
              <w:t>13</w:t>
            </w:r>
            <w:r w:rsidR="00755C5D" w:rsidRPr="00B924EB">
              <w:rPr>
                <w:sz w:val="20"/>
                <w:szCs w:val="20"/>
                <w:lang w:val="es-ES_tradnl" w:eastAsia="zh-CN"/>
              </w:rPr>
              <w:t>0.</w:t>
            </w:r>
            <w:r w:rsidRPr="00B924EB">
              <w:rPr>
                <w:sz w:val="20"/>
                <w:szCs w:val="20"/>
                <w:lang w:val="es-ES_tradnl" w:eastAsia="zh-CN"/>
              </w:rPr>
              <w:t>122</w:t>
            </w:r>
          </w:p>
        </w:tc>
        <w:tc>
          <w:tcPr>
            <w:tcW w:w="1315" w:type="dxa"/>
            <w:tcMar>
              <w:left w:w="115" w:type="dxa"/>
              <w:right w:w="173" w:type="dxa"/>
            </w:tcMar>
          </w:tcPr>
          <w:p w14:paraId="67E82C2A" w14:textId="131414A3" w:rsidR="00E268C4" w:rsidRPr="00B924EB" w:rsidRDefault="00E268C4" w:rsidP="003A3217">
            <w:pPr>
              <w:jc w:val="right"/>
              <w:rPr>
                <w:sz w:val="20"/>
                <w:szCs w:val="20"/>
                <w:lang w:val="es-ES_tradnl" w:eastAsia="zh-CN"/>
              </w:rPr>
            </w:pPr>
            <w:r w:rsidRPr="00B924EB">
              <w:rPr>
                <w:sz w:val="20"/>
                <w:szCs w:val="20"/>
                <w:lang w:val="es-ES_tradnl" w:eastAsia="zh-CN"/>
              </w:rPr>
              <w:t>14</w:t>
            </w:r>
          </w:p>
        </w:tc>
        <w:tc>
          <w:tcPr>
            <w:tcW w:w="1485" w:type="dxa"/>
            <w:tcMar>
              <w:left w:w="115" w:type="dxa"/>
              <w:right w:w="173" w:type="dxa"/>
            </w:tcMar>
          </w:tcPr>
          <w:p w14:paraId="62430487" w14:textId="46A34972" w:rsidR="00E268C4" w:rsidRPr="00B924EB" w:rsidRDefault="00D64B70" w:rsidP="003A3217">
            <w:pPr>
              <w:jc w:val="right"/>
              <w:rPr>
                <w:sz w:val="20"/>
                <w:szCs w:val="20"/>
                <w:lang w:val="es-ES_tradnl" w:eastAsia="zh-CN"/>
              </w:rPr>
            </w:pPr>
            <w:r w:rsidRPr="00B924EB">
              <w:rPr>
                <w:sz w:val="20"/>
                <w:szCs w:val="20"/>
                <w:lang w:val="es-ES_tradnl" w:eastAsia="zh-CN"/>
              </w:rPr>
              <w:t>9.61</w:t>
            </w:r>
          </w:p>
        </w:tc>
        <w:tc>
          <w:tcPr>
            <w:tcW w:w="1485" w:type="dxa"/>
            <w:tcMar>
              <w:left w:w="115" w:type="dxa"/>
              <w:right w:w="173" w:type="dxa"/>
            </w:tcMar>
          </w:tcPr>
          <w:p w14:paraId="50F340F1" w14:textId="470D3F52" w:rsidR="00E268C4" w:rsidRPr="00B924EB" w:rsidRDefault="00E268C4" w:rsidP="003A3217">
            <w:pPr>
              <w:jc w:val="right"/>
              <w:rPr>
                <w:sz w:val="20"/>
                <w:szCs w:val="20"/>
                <w:lang w:val="es-ES_tradnl" w:eastAsia="zh-CN"/>
              </w:rPr>
            </w:pPr>
            <w:r w:rsidRPr="00B924EB">
              <w:rPr>
                <w:sz w:val="20"/>
                <w:szCs w:val="20"/>
                <w:lang w:val="es-ES_tradnl" w:eastAsia="zh-CN"/>
              </w:rPr>
              <w:t>175</w:t>
            </w:r>
          </w:p>
        </w:tc>
      </w:tr>
      <w:tr w:rsidR="00E268C4" w:rsidRPr="00B924EB" w14:paraId="57039204" w14:textId="77777777" w:rsidTr="00D804CC">
        <w:tc>
          <w:tcPr>
            <w:tcW w:w="3936" w:type="dxa"/>
          </w:tcPr>
          <w:p w14:paraId="276D9640" w14:textId="55AF47B0" w:rsidR="00E268C4" w:rsidRPr="00B924EB" w:rsidRDefault="003C3B00" w:rsidP="003A3217">
            <w:pPr>
              <w:jc w:val="left"/>
              <w:rPr>
                <w:sz w:val="20"/>
                <w:szCs w:val="20"/>
                <w:lang w:val="es-ES_tradnl" w:eastAsia="zh-CN"/>
              </w:rPr>
            </w:pPr>
            <w:r>
              <w:rPr>
                <w:sz w:val="20"/>
                <w:szCs w:val="20"/>
                <w:lang w:val="es-ES_tradnl" w:eastAsia="zh-CN"/>
              </w:rPr>
              <w:t>Refrigeración</w:t>
            </w:r>
            <w:r w:rsidR="00D74888">
              <w:rPr>
                <w:sz w:val="20"/>
                <w:szCs w:val="20"/>
                <w:lang w:val="es-ES_tradnl" w:eastAsia="zh-CN"/>
              </w:rPr>
              <w:t xml:space="preserve"> </w:t>
            </w:r>
            <w:r>
              <w:rPr>
                <w:sz w:val="20"/>
                <w:szCs w:val="20"/>
                <w:lang w:val="es-ES_tradnl" w:eastAsia="zh-CN"/>
              </w:rPr>
              <w:t>comercial e industrial</w:t>
            </w:r>
          </w:p>
        </w:tc>
        <w:tc>
          <w:tcPr>
            <w:tcW w:w="1134" w:type="dxa"/>
            <w:tcMar>
              <w:left w:w="115" w:type="dxa"/>
              <w:right w:w="173" w:type="dxa"/>
            </w:tcMar>
          </w:tcPr>
          <w:p w14:paraId="3229D889" w14:textId="3EE4049B" w:rsidR="00E268C4" w:rsidRPr="00B924EB" w:rsidRDefault="00E268C4" w:rsidP="003A3217">
            <w:pPr>
              <w:jc w:val="right"/>
              <w:rPr>
                <w:sz w:val="20"/>
                <w:szCs w:val="20"/>
                <w:lang w:val="es-ES_tradnl" w:eastAsia="zh-CN"/>
              </w:rPr>
            </w:pPr>
            <w:r w:rsidRPr="00B924EB">
              <w:rPr>
                <w:sz w:val="20"/>
                <w:szCs w:val="20"/>
                <w:lang w:val="es-ES_tradnl" w:eastAsia="zh-CN"/>
              </w:rPr>
              <w:t>4</w:t>
            </w:r>
            <w:r w:rsidR="00755C5D" w:rsidRPr="00B924EB">
              <w:rPr>
                <w:sz w:val="20"/>
                <w:szCs w:val="20"/>
                <w:lang w:val="es-ES_tradnl" w:eastAsia="zh-CN"/>
              </w:rPr>
              <w:t>2.</w:t>
            </w:r>
            <w:r w:rsidRPr="00B924EB">
              <w:rPr>
                <w:sz w:val="20"/>
                <w:szCs w:val="20"/>
                <w:lang w:val="es-ES_tradnl" w:eastAsia="zh-CN"/>
              </w:rPr>
              <w:t>825</w:t>
            </w:r>
          </w:p>
        </w:tc>
        <w:tc>
          <w:tcPr>
            <w:tcW w:w="1315" w:type="dxa"/>
            <w:tcMar>
              <w:left w:w="115" w:type="dxa"/>
              <w:right w:w="173" w:type="dxa"/>
            </w:tcMar>
          </w:tcPr>
          <w:p w14:paraId="0A64DDF5" w14:textId="43F6C495" w:rsidR="00E268C4" w:rsidRPr="00B924EB" w:rsidRDefault="00E268C4" w:rsidP="003A3217">
            <w:pPr>
              <w:jc w:val="right"/>
              <w:rPr>
                <w:sz w:val="20"/>
                <w:szCs w:val="20"/>
                <w:lang w:val="es-ES_tradnl" w:eastAsia="zh-CN"/>
              </w:rPr>
            </w:pPr>
            <w:r w:rsidRPr="00B924EB">
              <w:rPr>
                <w:sz w:val="20"/>
                <w:szCs w:val="20"/>
                <w:lang w:val="es-ES_tradnl" w:eastAsia="zh-CN"/>
              </w:rPr>
              <w:t>10</w:t>
            </w:r>
          </w:p>
        </w:tc>
        <w:tc>
          <w:tcPr>
            <w:tcW w:w="1485" w:type="dxa"/>
            <w:tcMar>
              <w:left w:w="115" w:type="dxa"/>
              <w:right w:w="173" w:type="dxa"/>
            </w:tcMar>
          </w:tcPr>
          <w:p w14:paraId="7FC50958" w14:textId="440765FC" w:rsidR="00E268C4" w:rsidRPr="00B924EB" w:rsidRDefault="00D64B70" w:rsidP="003A3217">
            <w:pPr>
              <w:jc w:val="right"/>
              <w:rPr>
                <w:sz w:val="20"/>
                <w:szCs w:val="20"/>
                <w:lang w:val="es-ES_tradnl" w:eastAsia="zh-CN"/>
              </w:rPr>
            </w:pPr>
            <w:r w:rsidRPr="00B924EB">
              <w:rPr>
                <w:sz w:val="20"/>
                <w:szCs w:val="20"/>
                <w:lang w:val="es-ES_tradnl" w:eastAsia="zh-CN"/>
              </w:rPr>
              <w:t>16.35</w:t>
            </w:r>
          </w:p>
        </w:tc>
        <w:tc>
          <w:tcPr>
            <w:tcW w:w="1485" w:type="dxa"/>
            <w:tcMar>
              <w:left w:w="115" w:type="dxa"/>
              <w:right w:w="173" w:type="dxa"/>
            </w:tcMar>
          </w:tcPr>
          <w:p w14:paraId="5AA3BFD7" w14:textId="4011A3C8" w:rsidR="00E268C4" w:rsidRPr="00B924EB" w:rsidRDefault="00E268C4" w:rsidP="003A3217">
            <w:pPr>
              <w:jc w:val="right"/>
              <w:rPr>
                <w:sz w:val="20"/>
                <w:szCs w:val="20"/>
                <w:lang w:val="es-ES_tradnl" w:eastAsia="zh-CN"/>
              </w:rPr>
            </w:pPr>
            <w:r w:rsidRPr="00B924EB">
              <w:rPr>
                <w:sz w:val="20"/>
                <w:szCs w:val="20"/>
                <w:lang w:val="es-ES_tradnl" w:eastAsia="zh-CN"/>
              </w:rPr>
              <w:t>70</w:t>
            </w:r>
          </w:p>
        </w:tc>
      </w:tr>
      <w:tr w:rsidR="00E268C4" w:rsidRPr="00B924EB" w14:paraId="1EEA58D2" w14:textId="77777777" w:rsidTr="00D804CC">
        <w:tc>
          <w:tcPr>
            <w:tcW w:w="3936" w:type="dxa"/>
          </w:tcPr>
          <w:p w14:paraId="3F058768" w14:textId="6DD5E996" w:rsidR="00E268C4" w:rsidRPr="00B924EB" w:rsidRDefault="003C3B00" w:rsidP="003C3B00">
            <w:pPr>
              <w:jc w:val="left"/>
              <w:rPr>
                <w:sz w:val="20"/>
                <w:szCs w:val="20"/>
                <w:lang w:val="es-ES_tradnl" w:eastAsia="zh-CN"/>
              </w:rPr>
            </w:pPr>
            <w:r>
              <w:rPr>
                <w:sz w:val="20"/>
                <w:szCs w:val="20"/>
                <w:lang w:val="es-ES_tradnl" w:eastAsia="zh-CN"/>
              </w:rPr>
              <w:t>Otros</w:t>
            </w:r>
            <w:r w:rsidR="00A13BEA" w:rsidRPr="00B924EB">
              <w:rPr>
                <w:sz w:val="20"/>
                <w:szCs w:val="20"/>
                <w:lang w:val="es-ES_tradnl" w:eastAsia="zh-CN"/>
              </w:rPr>
              <w:t xml:space="preserve"> </w:t>
            </w:r>
            <w:r w:rsidR="00D64B70" w:rsidRPr="00B924EB">
              <w:rPr>
                <w:sz w:val="20"/>
                <w:szCs w:val="20"/>
                <w:lang w:val="es-ES_tradnl" w:eastAsia="zh-CN"/>
              </w:rPr>
              <w:t>(</w:t>
            </w:r>
            <w:r>
              <w:rPr>
                <w:sz w:val="20"/>
                <w:szCs w:val="20"/>
                <w:lang w:val="es-ES_tradnl" w:eastAsia="zh-CN"/>
              </w:rPr>
              <w:t xml:space="preserve">enfriadores, </w:t>
            </w:r>
            <w:r w:rsidR="00452F79" w:rsidRPr="00B924EB">
              <w:rPr>
                <w:sz w:val="20"/>
                <w:szCs w:val="20"/>
                <w:lang w:val="es-ES_tradnl" w:eastAsia="zh-CN"/>
              </w:rPr>
              <w:t>transporte</w:t>
            </w:r>
            <w:r w:rsidR="00D64B70" w:rsidRPr="00B924EB">
              <w:rPr>
                <w:sz w:val="20"/>
                <w:szCs w:val="20"/>
                <w:lang w:val="es-ES_tradnl" w:eastAsia="zh-CN"/>
              </w:rPr>
              <w:t>)</w:t>
            </w:r>
          </w:p>
        </w:tc>
        <w:tc>
          <w:tcPr>
            <w:tcW w:w="1134" w:type="dxa"/>
            <w:tcMar>
              <w:left w:w="115" w:type="dxa"/>
              <w:right w:w="173" w:type="dxa"/>
            </w:tcMar>
          </w:tcPr>
          <w:p w14:paraId="52288675" w14:textId="284A1AB0" w:rsidR="00E268C4" w:rsidRPr="00B924EB" w:rsidRDefault="00D64B70" w:rsidP="003A3217">
            <w:pPr>
              <w:jc w:val="right"/>
              <w:rPr>
                <w:sz w:val="20"/>
                <w:szCs w:val="20"/>
                <w:lang w:val="es-ES_tradnl" w:eastAsia="zh-CN"/>
              </w:rPr>
            </w:pPr>
            <w:r w:rsidRPr="00B924EB">
              <w:rPr>
                <w:sz w:val="20"/>
                <w:szCs w:val="20"/>
                <w:lang w:val="es-ES_tradnl" w:eastAsia="zh-CN"/>
              </w:rPr>
              <w:t>1</w:t>
            </w:r>
            <w:r w:rsidR="00755C5D" w:rsidRPr="00B924EB">
              <w:rPr>
                <w:sz w:val="20"/>
                <w:szCs w:val="20"/>
                <w:lang w:val="es-ES_tradnl" w:eastAsia="zh-CN"/>
              </w:rPr>
              <w:t>1.</w:t>
            </w:r>
            <w:r w:rsidRPr="00B924EB">
              <w:rPr>
                <w:sz w:val="20"/>
                <w:szCs w:val="20"/>
                <w:lang w:val="es-ES_tradnl" w:eastAsia="zh-CN"/>
              </w:rPr>
              <w:t>300</w:t>
            </w:r>
          </w:p>
        </w:tc>
        <w:tc>
          <w:tcPr>
            <w:tcW w:w="1315" w:type="dxa"/>
            <w:tcMar>
              <w:left w:w="115" w:type="dxa"/>
              <w:right w:w="173" w:type="dxa"/>
            </w:tcMar>
          </w:tcPr>
          <w:p w14:paraId="77BB22FF" w14:textId="028261B5" w:rsidR="00E268C4" w:rsidRPr="00B924EB" w:rsidRDefault="00E268C4" w:rsidP="003A3217">
            <w:pPr>
              <w:jc w:val="right"/>
              <w:rPr>
                <w:sz w:val="20"/>
                <w:szCs w:val="20"/>
                <w:lang w:val="es-ES_tradnl" w:eastAsia="zh-CN"/>
              </w:rPr>
            </w:pPr>
            <w:r w:rsidRPr="00B924EB">
              <w:rPr>
                <w:sz w:val="20"/>
                <w:szCs w:val="20"/>
                <w:lang w:val="es-ES_tradnl" w:eastAsia="zh-CN"/>
              </w:rPr>
              <w:t>14</w:t>
            </w:r>
          </w:p>
        </w:tc>
        <w:tc>
          <w:tcPr>
            <w:tcW w:w="1485" w:type="dxa"/>
            <w:tcMar>
              <w:left w:w="115" w:type="dxa"/>
              <w:right w:w="173" w:type="dxa"/>
            </w:tcMar>
          </w:tcPr>
          <w:p w14:paraId="53BFF0CE" w14:textId="57185964" w:rsidR="00E268C4" w:rsidRPr="00B924EB" w:rsidRDefault="00D64B70" w:rsidP="003A3217">
            <w:pPr>
              <w:jc w:val="right"/>
              <w:rPr>
                <w:sz w:val="20"/>
                <w:szCs w:val="20"/>
                <w:lang w:val="es-ES_tradnl" w:eastAsia="zh-CN"/>
              </w:rPr>
            </w:pPr>
            <w:r w:rsidRPr="00B924EB">
              <w:rPr>
                <w:sz w:val="20"/>
                <w:szCs w:val="20"/>
                <w:lang w:val="es-ES_tradnl" w:eastAsia="zh-CN"/>
              </w:rPr>
              <w:t>50.57</w:t>
            </w:r>
          </w:p>
        </w:tc>
        <w:tc>
          <w:tcPr>
            <w:tcW w:w="1485" w:type="dxa"/>
            <w:tcMar>
              <w:left w:w="115" w:type="dxa"/>
              <w:right w:w="173" w:type="dxa"/>
            </w:tcMar>
          </w:tcPr>
          <w:p w14:paraId="613A9170" w14:textId="5B311464" w:rsidR="00E268C4" w:rsidRPr="00B924EB" w:rsidRDefault="00D64B70" w:rsidP="003A3217">
            <w:pPr>
              <w:jc w:val="right"/>
              <w:rPr>
                <w:sz w:val="20"/>
                <w:szCs w:val="20"/>
                <w:lang w:val="es-ES_tradnl" w:eastAsia="zh-CN"/>
              </w:rPr>
            </w:pPr>
            <w:r w:rsidRPr="00B924EB">
              <w:rPr>
                <w:sz w:val="20"/>
                <w:szCs w:val="20"/>
                <w:lang w:val="es-ES_tradnl" w:eastAsia="zh-CN"/>
              </w:rPr>
              <w:t>8</w:t>
            </w:r>
            <w:r w:rsidR="00E268C4" w:rsidRPr="00B924EB">
              <w:rPr>
                <w:sz w:val="20"/>
                <w:szCs w:val="20"/>
                <w:lang w:val="es-ES_tradnl" w:eastAsia="zh-CN"/>
              </w:rPr>
              <w:t>0</w:t>
            </w:r>
          </w:p>
        </w:tc>
      </w:tr>
      <w:tr w:rsidR="00E268C4" w:rsidRPr="00B924EB" w14:paraId="79410E47" w14:textId="77777777" w:rsidTr="00D804CC">
        <w:tc>
          <w:tcPr>
            <w:tcW w:w="3936" w:type="dxa"/>
          </w:tcPr>
          <w:p w14:paraId="14856F75" w14:textId="29CB06CD" w:rsidR="00E268C4" w:rsidRPr="00B924EB" w:rsidRDefault="00E268C4" w:rsidP="003A3217">
            <w:pPr>
              <w:jc w:val="left"/>
              <w:rPr>
                <w:b/>
                <w:sz w:val="20"/>
                <w:szCs w:val="20"/>
                <w:lang w:val="es-ES_tradnl" w:eastAsia="zh-CN"/>
              </w:rPr>
            </w:pPr>
            <w:r w:rsidRPr="00B924EB">
              <w:rPr>
                <w:b/>
                <w:sz w:val="20"/>
                <w:szCs w:val="20"/>
                <w:lang w:val="es-ES_tradnl" w:eastAsia="zh-CN"/>
              </w:rPr>
              <w:t>Total</w:t>
            </w:r>
          </w:p>
        </w:tc>
        <w:tc>
          <w:tcPr>
            <w:tcW w:w="1134" w:type="dxa"/>
            <w:tcMar>
              <w:left w:w="115" w:type="dxa"/>
              <w:right w:w="173" w:type="dxa"/>
            </w:tcMar>
          </w:tcPr>
          <w:p w14:paraId="5E1188FC" w14:textId="65328BCE" w:rsidR="00E268C4" w:rsidRPr="00B924EB" w:rsidRDefault="009374DA" w:rsidP="003A3217">
            <w:pPr>
              <w:jc w:val="right"/>
              <w:rPr>
                <w:b/>
                <w:sz w:val="20"/>
                <w:szCs w:val="20"/>
                <w:lang w:val="es-ES_tradnl" w:eastAsia="zh-CN"/>
              </w:rPr>
            </w:pPr>
            <w:r w:rsidRPr="00B924EB">
              <w:rPr>
                <w:b/>
                <w:sz w:val="20"/>
                <w:szCs w:val="20"/>
                <w:lang w:val="es-ES_tradnl" w:eastAsia="zh-CN"/>
              </w:rPr>
              <w:t>7.</w:t>
            </w:r>
            <w:r w:rsidR="00E268C4" w:rsidRPr="00B924EB">
              <w:rPr>
                <w:b/>
                <w:sz w:val="20"/>
                <w:szCs w:val="20"/>
                <w:lang w:val="es-ES_tradnl" w:eastAsia="zh-CN"/>
              </w:rPr>
              <w:t>89</w:t>
            </w:r>
            <w:r w:rsidR="00755C5D" w:rsidRPr="00B924EB">
              <w:rPr>
                <w:b/>
                <w:sz w:val="20"/>
                <w:szCs w:val="20"/>
                <w:lang w:val="es-ES_tradnl" w:eastAsia="zh-CN"/>
              </w:rPr>
              <w:t>4.</w:t>
            </w:r>
            <w:r w:rsidR="00E268C4" w:rsidRPr="00B924EB">
              <w:rPr>
                <w:b/>
                <w:sz w:val="20"/>
                <w:szCs w:val="20"/>
                <w:lang w:val="es-ES_tradnl" w:eastAsia="zh-CN"/>
              </w:rPr>
              <w:t>247</w:t>
            </w:r>
          </w:p>
        </w:tc>
        <w:tc>
          <w:tcPr>
            <w:tcW w:w="1315" w:type="dxa"/>
            <w:tcMar>
              <w:left w:w="115" w:type="dxa"/>
              <w:right w:w="173" w:type="dxa"/>
            </w:tcMar>
          </w:tcPr>
          <w:p w14:paraId="61C10F33" w14:textId="77777777" w:rsidR="00E268C4" w:rsidRPr="00B924EB" w:rsidRDefault="00E268C4" w:rsidP="003A3217">
            <w:pPr>
              <w:rPr>
                <w:b/>
                <w:sz w:val="20"/>
                <w:szCs w:val="20"/>
                <w:lang w:val="es-ES_tradnl" w:eastAsia="zh-CN"/>
              </w:rPr>
            </w:pPr>
          </w:p>
        </w:tc>
        <w:tc>
          <w:tcPr>
            <w:tcW w:w="1485" w:type="dxa"/>
            <w:tcMar>
              <w:left w:w="115" w:type="dxa"/>
              <w:right w:w="173" w:type="dxa"/>
            </w:tcMar>
          </w:tcPr>
          <w:p w14:paraId="6A99A557" w14:textId="77777777" w:rsidR="00E268C4" w:rsidRPr="00B924EB" w:rsidRDefault="00E268C4" w:rsidP="003A3217">
            <w:pPr>
              <w:jc w:val="right"/>
              <w:rPr>
                <w:b/>
                <w:sz w:val="20"/>
                <w:szCs w:val="20"/>
                <w:lang w:val="es-ES_tradnl" w:eastAsia="zh-CN"/>
              </w:rPr>
            </w:pPr>
          </w:p>
        </w:tc>
        <w:tc>
          <w:tcPr>
            <w:tcW w:w="1485" w:type="dxa"/>
            <w:tcMar>
              <w:left w:w="115" w:type="dxa"/>
              <w:right w:w="173" w:type="dxa"/>
            </w:tcMar>
          </w:tcPr>
          <w:p w14:paraId="467107B2" w14:textId="0649B99A" w:rsidR="00E268C4" w:rsidRPr="00B924EB" w:rsidRDefault="00755C5D" w:rsidP="003A3217">
            <w:pPr>
              <w:jc w:val="right"/>
              <w:rPr>
                <w:b/>
                <w:sz w:val="20"/>
                <w:szCs w:val="20"/>
                <w:lang w:val="es-ES_tradnl" w:eastAsia="zh-CN"/>
              </w:rPr>
            </w:pPr>
            <w:r w:rsidRPr="00B924EB">
              <w:rPr>
                <w:b/>
                <w:sz w:val="20"/>
                <w:szCs w:val="20"/>
                <w:lang w:val="es-ES_tradnl" w:eastAsia="zh-CN"/>
              </w:rPr>
              <w:t>1.</w:t>
            </w:r>
            <w:r w:rsidR="00E268C4" w:rsidRPr="00B924EB">
              <w:rPr>
                <w:b/>
                <w:sz w:val="20"/>
                <w:szCs w:val="20"/>
                <w:lang w:val="es-ES_tradnl" w:eastAsia="zh-CN"/>
              </w:rPr>
              <w:t>585</w:t>
            </w:r>
          </w:p>
        </w:tc>
      </w:tr>
    </w:tbl>
    <w:p w14:paraId="41B26950" w14:textId="56409822" w:rsidR="00F365EC" w:rsidRPr="00B924EB" w:rsidRDefault="00C55DAA" w:rsidP="00C679D6">
      <w:pPr>
        <w:spacing w:after="40"/>
        <w:rPr>
          <w:sz w:val="20"/>
          <w:szCs w:val="20"/>
          <w:lang w:val="es-ES_tradnl" w:eastAsia="zh-CN"/>
        </w:rPr>
      </w:pPr>
      <w:r w:rsidRPr="00B924EB">
        <w:rPr>
          <w:sz w:val="20"/>
          <w:szCs w:val="20"/>
          <w:lang w:val="es-ES_tradnl" w:eastAsia="zh-CN"/>
        </w:rPr>
        <w:t>*</w:t>
      </w:r>
      <w:r w:rsidR="00A13BEA" w:rsidRPr="00B924EB">
        <w:rPr>
          <w:sz w:val="20"/>
          <w:szCs w:val="20"/>
          <w:lang w:val="es-ES_tradnl" w:eastAsia="zh-CN"/>
        </w:rPr>
        <w:t xml:space="preserve"> </w:t>
      </w:r>
      <w:r w:rsidR="0066523F">
        <w:rPr>
          <w:sz w:val="20"/>
          <w:szCs w:val="20"/>
          <w:lang w:val="es-ES_tradnl" w:eastAsia="zh-CN"/>
        </w:rPr>
        <w:t>Según e</w:t>
      </w:r>
      <w:r w:rsidR="00D01DC2" w:rsidRPr="00B924EB">
        <w:rPr>
          <w:sz w:val="20"/>
          <w:szCs w:val="20"/>
          <w:lang w:val="es-ES_tradnl" w:eastAsia="zh-CN"/>
        </w:rPr>
        <w:t>studio</w:t>
      </w:r>
      <w:r w:rsidR="00A13BEA" w:rsidRPr="00B924EB">
        <w:rPr>
          <w:sz w:val="20"/>
          <w:szCs w:val="20"/>
          <w:lang w:val="es-ES_tradnl" w:eastAsia="zh-CN"/>
        </w:rPr>
        <w:t xml:space="preserve"> </w:t>
      </w:r>
      <w:r w:rsidR="005D2AA4">
        <w:rPr>
          <w:sz w:val="20"/>
          <w:szCs w:val="20"/>
          <w:lang w:val="es-ES_tradnl" w:eastAsia="zh-CN"/>
        </w:rPr>
        <w:t xml:space="preserve">preparatorio </w:t>
      </w:r>
      <w:r w:rsidR="009374DA" w:rsidRPr="00B924EB">
        <w:rPr>
          <w:sz w:val="20"/>
          <w:szCs w:val="20"/>
          <w:lang w:val="es-ES_tradnl" w:eastAsia="zh-CN"/>
        </w:rPr>
        <w:t>de</w:t>
      </w:r>
      <w:r w:rsidR="00A13BEA" w:rsidRPr="00B924EB">
        <w:rPr>
          <w:sz w:val="20"/>
          <w:szCs w:val="20"/>
          <w:lang w:val="es-ES_tradnl" w:eastAsia="zh-CN"/>
        </w:rPr>
        <w:t xml:space="preserve"> </w:t>
      </w:r>
      <w:r w:rsidR="003208A7" w:rsidRPr="00B924EB">
        <w:rPr>
          <w:sz w:val="20"/>
          <w:szCs w:val="20"/>
          <w:lang w:val="es-ES_tradnl" w:eastAsia="zh-CN"/>
        </w:rPr>
        <w:t>la</w:t>
      </w:r>
      <w:r w:rsidR="00A13BEA" w:rsidRPr="00B924EB">
        <w:rPr>
          <w:sz w:val="20"/>
          <w:szCs w:val="20"/>
          <w:lang w:val="es-ES_tradnl" w:eastAsia="zh-CN"/>
        </w:rPr>
        <w:t xml:space="preserve"> </w:t>
      </w:r>
      <w:r w:rsidR="003208A7" w:rsidRPr="00B924EB">
        <w:rPr>
          <w:sz w:val="20"/>
          <w:szCs w:val="20"/>
          <w:lang w:val="es-ES_tradnl" w:eastAsia="zh-CN"/>
        </w:rPr>
        <w:t>etapa</w:t>
      </w:r>
      <w:r w:rsidR="00A13BEA" w:rsidRPr="00B924EB">
        <w:rPr>
          <w:sz w:val="20"/>
          <w:szCs w:val="20"/>
          <w:lang w:val="es-ES_tradnl" w:eastAsia="zh-CN"/>
        </w:rPr>
        <w:t xml:space="preserve"> </w:t>
      </w:r>
      <w:r w:rsidR="003208A7" w:rsidRPr="00B924EB">
        <w:rPr>
          <w:sz w:val="20"/>
          <w:szCs w:val="20"/>
          <w:lang w:val="es-ES_tradnl" w:eastAsia="zh-CN"/>
        </w:rPr>
        <w:t>I</w:t>
      </w:r>
      <w:r w:rsidRPr="00B924EB">
        <w:rPr>
          <w:sz w:val="20"/>
          <w:szCs w:val="20"/>
          <w:lang w:val="es-ES_tradnl" w:eastAsia="zh-CN"/>
        </w:rPr>
        <w:t>I</w:t>
      </w:r>
      <w:r w:rsidR="005D2AA4">
        <w:rPr>
          <w:sz w:val="20"/>
          <w:szCs w:val="20"/>
          <w:lang w:val="es-ES_tradnl" w:eastAsia="zh-CN"/>
        </w:rPr>
        <w:t xml:space="preserve">, </w:t>
      </w:r>
      <w:r w:rsidR="00CD7C1F">
        <w:rPr>
          <w:sz w:val="20"/>
          <w:szCs w:val="20"/>
          <w:lang w:val="es-ES_tradnl" w:eastAsia="zh-CN"/>
        </w:rPr>
        <w:t xml:space="preserve">efectuado </w:t>
      </w:r>
      <w:r w:rsidR="009374DA" w:rsidRPr="00B924EB">
        <w:rPr>
          <w:sz w:val="20"/>
          <w:szCs w:val="20"/>
          <w:lang w:val="es-ES_tradnl" w:eastAsia="zh-CN"/>
        </w:rPr>
        <w:t>en</w:t>
      </w:r>
      <w:r w:rsidR="00A13BEA" w:rsidRPr="00B924EB">
        <w:rPr>
          <w:sz w:val="20"/>
          <w:szCs w:val="20"/>
          <w:lang w:val="es-ES_tradnl" w:eastAsia="zh-CN"/>
        </w:rPr>
        <w:t xml:space="preserve"> </w:t>
      </w:r>
      <w:r w:rsidRPr="00B924EB">
        <w:rPr>
          <w:sz w:val="20"/>
          <w:szCs w:val="20"/>
          <w:lang w:val="es-ES_tradnl" w:eastAsia="zh-CN"/>
        </w:rPr>
        <w:t>2020</w:t>
      </w:r>
      <w:r w:rsidR="00A13BEA" w:rsidRPr="00B924EB">
        <w:rPr>
          <w:sz w:val="20"/>
          <w:szCs w:val="20"/>
          <w:lang w:val="es-ES_tradnl" w:eastAsia="zh-CN"/>
        </w:rPr>
        <w:t xml:space="preserve"> </w:t>
      </w:r>
      <w:r w:rsidR="004C7F93">
        <w:rPr>
          <w:sz w:val="20"/>
          <w:szCs w:val="20"/>
          <w:lang w:val="es-ES_tradnl" w:eastAsia="zh-CN"/>
        </w:rPr>
        <w:t xml:space="preserve">con </w:t>
      </w:r>
      <w:r w:rsidR="00AA6716" w:rsidRPr="00B924EB">
        <w:rPr>
          <w:sz w:val="20"/>
          <w:szCs w:val="20"/>
          <w:lang w:val="es-ES_tradnl" w:eastAsia="zh-CN"/>
        </w:rPr>
        <w:t>datos</w:t>
      </w:r>
      <w:r w:rsidR="00403760">
        <w:rPr>
          <w:sz w:val="20"/>
          <w:szCs w:val="20"/>
          <w:lang w:val="es-ES_tradnl" w:eastAsia="zh-CN"/>
        </w:rPr>
        <w:t xml:space="preserve"> del </w:t>
      </w:r>
      <w:r w:rsidR="00403760" w:rsidRPr="00403760">
        <w:rPr>
          <w:sz w:val="20"/>
          <w:szCs w:val="20"/>
          <w:lang w:val="es-ES_tradnl" w:eastAsia="zh-CN"/>
        </w:rPr>
        <w:t>2019</w:t>
      </w:r>
      <w:r w:rsidRPr="00B924EB">
        <w:rPr>
          <w:sz w:val="20"/>
          <w:szCs w:val="20"/>
          <w:lang w:val="es-ES_tradnl" w:eastAsia="zh-CN"/>
        </w:rPr>
        <w:t>.</w:t>
      </w:r>
    </w:p>
    <w:p w14:paraId="747EFB26" w14:textId="77777777" w:rsidR="00C55DAA" w:rsidRPr="00B924EB" w:rsidRDefault="00C55DAA" w:rsidP="00C679D6">
      <w:pPr>
        <w:spacing w:after="40"/>
        <w:rPr>
          <w:b/>
          <w:lang w:val="es-ES_tradnl" w:eastAsia="zh-CN"/>
        </w:rPr>
      </w:pPr>
    </w:p>
    <w:p w14:paraId="74C9917F" w14:textId="77777777" w:rsidR="001B79A2" w:rsidRDefault="001B79A2">
      <w:pPr>
        <w:jc w:val="left"/>
        <w:rPr>
          <w:u w:val="single"/>
          <w:lang w:val="es-ES_tradnl"/>
        </w:rPr>
      </w:pPr>
      <w:r>
        <w:rPr>
          <w:u w:val="single"/>
          <w:lang w:val="es-ES_tradnl"/>
        </w:rPr>
        <w:br w:type="page"/>
      </w:r>
    </w:p>
    <w:p w14:paraId="4675DFE2" w14:textId="629B2439" w:rsidR="00D730CF" w:rsidRPr="00B924EB" w:rsidRDefault="009374DA" w:rsidP="00D730CF">
      <w:pPr>
        <w:spacing w:after="240"/>
        <w:rPr>
          <w:b/>
          <w:lang w:val="es-ES_tradnl"/>
        </w:rPr>
      </w:pPr>
      <w:r w:rsidRPr="00B924EB">
        <w:rPr>
          <w:u w:val="single"/>
          <w:lang w:val="es-ES_tradnl"/>
        </w:rPr>
        <w:lastRenderedPageBreak/>
        <w:t>Estrategia</w:t>
      </w:r>
      <w:r w:rsidR="00A13BEA" w:rsidRPr="00B924EB">
        <w:rPr>
          <w:u w:val="single"/>
          <w:lang w:val="es-ES_tradnl"/>
        </w:rPr>
        <w:t xml:space="preserve"> </w:t>
      </w:r>
      <w:r w:rsidRPr="00B924EB">
        <w:rPr>
          <w:u w:val="single"/>
          <w:lang w:val="es-ES_tradnl"/>
        </w:rPr>
        <w:t>de</w:t>
      </w:r>
      <w:r w:rsidR="00A13BEA" w:rsidRPr="00B924EB">
        <w:rPr>
          <w:u w:val="single"/>
          <w:lang w:val="es-ES_tradnl"/>
        </w:rPr>
        <w:t xml:space="preserve"> </w:t>
      </w:r>
      <w:r w:rsidRPr="00B924EB">
        <w:rPr>
          <w:u w:val="single"/>
          <w:lang w:val="es-ES_tradnl"/>
        </w:rPr>
        <w:t>eliminación</w:t>
      </w:r>
      <w:r w:rsidR="00A13BEA" w:rsidRPr="00B924EB">
        <w:rPr>
          <w:u w:val="single"/>
          <w:lang w:val="es-ES_tradnl"/>
        </w:rPr>
        <w:t xml:space="preserve"> </w:t>
      </w:r>
      <w:r w:rsidRPr="00B924EB">
        <w:rPr>
          <w:u w:val="single"/>
          <w:lang w:val="es-ES_tradnl"/>
        </w:rPr>
        <w:t>en</w:t>
      </w:r>
      <w:r w:rsidR="00A13BEA" w:rsidRPr="00B924EB">
        <w:rPr>
          <w:u w:val="single"/>
          <w:lang w:val="es-ES_tradnl"/>
        </w:rPr>
        <w:t xml:space="preserve"> </w:t>
      </w:r>
      <w:r w:rsidR="003208A7" w:rsidRPr="00B924EB">
        <w:rPr>
          <w:u w:val="single"/>
          <w:lang w:val="es-ES_tradnl"/>
        </w:rPr>
        <w:t>la</w:t>
      </w:r>
      <w:r w:rsidR="00A13BEA" w:rsidRPr="00B924EB">
        <w:rPr>
          <w:u w:val="single"/>
          <w:lang w:val="es-ES_tradnl"/>
        </w:rPr>
        <w:t xml:space="preserve"> </w:t>
      </w:r>
      <w:r w:rsidR="003208A7" w:rsidRPr="00B924EB">
        <w:rPr>
          <w:u w:val="single"/>
          <w:lang w:val="es-ES_tradnl"/>
        </w:rPr>
        <w:t>etapa</w:t>
      </w:r>
      <w:r w:rsidR="00A13BEA" w:rsidRPr="00B924EB">
        <w:rPr>
          <w:u w:val="single"/>
          <w:lang w:val="es-ES_tradnl"/>
        </w:rPr>
        <w:t xml:space="preserve"> </w:t>
      </w:r>
      <w:r w:rsidR="003208A7" w:rsidRPr="00B924EB">
        <w:rPr>
          <w:u w:val="single"/>
          <w:lang w:val="es-ES_tradnl"/>
        </w:rPr>
        <w:t>I</w:t>
      </w:r>
      <w:r w:rsidR="00D730CF" w:rsidRPr="00B924EB">
        <w:rPr>
          <w:u w:val="single"/>
          <w:lang w:val="es-ES_tradnl"/>
        </w:rPr>
        <w:t>I</w:t>
      </w:r>
      <w:r w:rsidR="00A13BEA" w:rsidRPr="00B924EB">
        <w:rPr>
          <w:u w:val="single"/>
          <w:lang w:val="es-ES_tradnl"/>
        </w:rPr>
        <w:t xml:space="preserve"> </w:t>
      </w:r>
      <w:r w:rsidR="00755C5D" w:rsidRPr="00B924EB">
        <w:rPr>
          <w:u w:val="single"/>
          <w:lang w:val="es-ES_tradnl"/>
        </w:rPr>
        <w:t>del</w:t>
      </w:r>
      <w:r w:rsidR="00A13BEA" w:rsidRPr="00B924EB">
        <w:rPr>
          <w:u w:val="single"/>
          <w:lang w:val="es-ES_tradnl"/>
        </w:rPr>
        <w:t xml:space="preserve"> </w:t>
      </w:r>
      <w:r w:rsidR="00755C5D" w:rsidRPr="00B924EB">
        <w:rPr>
          <w:u w:val="single"/>
          <w:lang w:val="es-ES_tradnl"/>
        </w:rPr>
        <w:t>PGEH</w:t>
      </w:r>
    </w:p>
    <w:p w14:paraId="331ABD57" w14:textId="0C94B31C" w:rsidR="00D730CF" w:rsidRPr="00B924EB" w:rsidRDefault="003208A7" w:rsidP="001C6D6F">
      <w:pPr>
        <w:pStyle w:val="Heading1"/>
        <w:rPr>
          <w:lang w:val="es-ES_tradnl"/>
        </w:rPr>
      </w:pPr>
      <w:r w:rsidRPr="00B924EB">
        <w:rPr>
          <w:lang w:val="es-ES_tradnl"/>
        </w:rPr>
        <w:t>La</w:t>
      </w:r>
      <w:r w:rsidR="00A13BEA" w:rsidRPr="00B924EB">
        <w:rPr>
          <w:lang w:val="es-ES_tradnl"/>
        </w:rPr>
        <w:t xml:space="preserve"> </w:t>
      </w:r>
      <w:r w:rsidRPr="00B924EB">
        <w:rPr>
          <w:lang w:val="es-ES_tradnl"/>
        </w:rPr>
        <w:t>etapa</w:t>
      </w:r>
      <w:r w:rsidR="00A13BEA" w:rsidRPr="00B924EB">
        <w:rPr>
          <w:lang w:val="es-ES_tradnl"/>
        </w:rPr>
        <w:t xml:space="preserve"> </w:t>
      </w:r>
      <w:r w:rsidRPr="00B924EB">
        <w:rPr>
          <w:lang w:val="es-ES_tradnl"/>
        </w:rPr>
        <w:t>I</w:t>
      </w:r>
      <w:r w:rsidR="00D730CF"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A13BEA" w:rsidRPr="00B924EB">
        <w:rPr>
          <w:lang w:val="es-ES_tradnl"/>
        </w:rPr>
        <w:t xml:space="preserve"> </w:t>
      </w:r>
      <w:r w:rsidR="00F56831">
        <w:rPr>
          <w:lang w:val="es-ES_tradnl"/>
        </w:rPr>
        <w:t xml:space="preserve">se propone </w:t>
      </w:r>
      <w:r w:rsidR="00B650CD">
        <w:rPr>
          <w:lang w:val="es-ES_tradnl"/>
        </w:rPr>
        <w:t>reducir</w:t>
      </w:r>
      <w:r w:rsidR="00F56831">
        <w:rPr>
          <w:lang w:val="es-ES_tradnl"/>
        </w:rPr>
        <w:t xml:space="preserve"> </w:t>
      </w:r>
      <w:r w:rsidR="00B82A1C" w:rsidRPr="00B82A1C">
        <w:rPr>
          <w:lang w:val="es-ES_tradnl"/>
        </w:rPr>
        <w:t>al año 2025</w:t>
      </w:r>
      <w:r w:rsidR="007023D4">
        <w:rPr>
          <w:lang w:val="es-ES_tradnl"/>
        </w:rPr>
        <w:t xml:space="preserve"> </w:t>
      </w:r>
      <w:r w:rsidR="00616BC8">
        <w:rPr>
          <w:lang w:val="es-ES_tradnl"/>
        </w:rPr>
        <w:t xml:space="preserve">el consumo </w:t>
      </w:r>
      <w:r w:rsidR="005E3FAB">
        <w:rPr>
          <w:lang w:val="es-ES_tradnl"/>
        </w:rPr>
        <w:t xml:space="preserve">nacional </w:t>
      </w:r>
      <w:r w:rsidR="008F63F4">
        <w:rPr>
          <w:lang w:val="es-ES_tradnl"/>
        </w:rPr>
        <w:t xml:space="preserve">de HCFC </w:t>
      </w:r>
      <w:r w:rsidR="00D12CDB">
        <w:rPr>
          <w:lang w:val="es-ES_tradnl"/>
        </w:rPr>
        <w:t xml:space="preserve">en un </w:t>
      </w:r>
      <w:r w:rsidR="00F56831" w:rsidRPr="00F56831">
        <w:rPr>
          <w:lang w:val="es-ES_tradnl"/>
        </w:rPr>
        <w:t xml:space="preserve">69 por ciento </w:t>
      </w:r>
      <w:r w:rsidR="00744585">
        <w:rPr>
          <w:lang w:val="es-ES_tradnl"/>
        </w:rPr>
        <w:t xml:space="preserve">de </w:t>
      </w:r>
      <w:r w:rsidR="00805CB3">
        <w:rPr>
          <w:lang w:val="es-ES_tradnl"/>
        </w:rPr>
        <w:t xml:space="preserve">la </w:t>
      </w:r>
      <w:r w:rsidR="000521A3" w:rsidRPr="00B924EB">
        <w:rPr>
          <w:lang w:val="es-ES_tradnl"/>
        </w:rPr>
        <w:t>base</w:t>
      </w:r>
      <w:r w:rsidR="00A13BEA" w:rsidRPr="00B924EB">
        <w:rPr>
          <w:lang w:val="es-ES_tradnl"/>
        </w:rPr>
        <w:t xml:space="preserve"> </w:t>
      </w:r>
      <w:r w:rsidR="000521A3" w:rsidRPr="00B924EB">
        <w:rPr>
          <w:lang w:val="es-ES_tradnl"/>
        </w:rPr>
        <w:t>de</w:t>
      </w:r>
      <w:r w:rsidR="00A13BEA" w:rsidRPr="00B924EB">
        <w:rPr>
          <w:lang w:val="es-ES_tradnl"/>
        </w:rPr>
        <w:t xml:space="preserve"> </w:t>
      </w:r>
      <w:r w:rsidR="000521A3" w:rsidRPr="00B924EB">
        <w:rPr>
          <w:lang w:val="es-ES_tradnl"/>
        </w:rPr>
        <w:t>comparación</w:t>
      </w:r>
      <w:r w:rsidR="00C54D67">
        <w:rPr>
          <w:lang w:val="es-ES_tradnl"/>
        </w:rPr>
        <w:t>,</w:t>
      </w:r>
      <w:r w:rsidR="00A13BEA" w:rsidRPr="00B924EB">
        <w:rPr>
          <w:lang w:val="es-ES_tradnl"/>
        </w:rPr>
        <w:t xml:space="preserve"> </w:t>
      </w:r>
      <w:r w:rsidR="00260C8C">
        <w:rPr>
          <w:lang w:val="es-ES_tradnl"/>
        </w:rPr>
        <w:t xml:space="preserve">privilegiando la continuación y expansión de </w:t>
      </w:r>
      <w:r w:rsidR="00D924F7">
        <w:rPr>
          <w:lang w:val="es-ES_tradnl"/>
        </w:rPr>
        <w:t xml:space="preserve">las </w:t>
      </w:r>
      <w:r w:rsidR="00755C5D" w:rsidRPr="00B924EB">
        <w:rPr>
          <w:lang w:val="es-ES_tradnl"/>
        </w:rPr>
        <w:t>actividades</w:t>
      </w:r>
      <w:r w:rsidR="00A13BEA" w:rsidRPr="00B924EB">
        <w:rPr>
          <w:lang w:val="es-ES_tradnl"/>
        </w:rPr>
        <w:t xml:space="preserve"> </w:t>
      </w:r>
      <w:r w:rsidR="00D924F7">
        <w:rPr>
          <w:lang w:val="es-ES_tradnl"/>
        </w:rPr>
        <w:t xml:space="preserve">sectoriales </w:t>
      </w:r>
      <w:r w:rsidR="00B176D0">
        <w:rPr>
          <w:lang w:val="es-ES_tradnl"/>
        </w:rPr>
        <w:t xml:space="preserve">en curso </w:t>
      </w:r>
      <w:r w:rsidR="00EC0C6C">
        <w:rPr>
          <w:lang w:val="es-ES_tradnl"/>
        </w:rPr>
        <w:t xml:space="preserve">y aprovechando </w:t>
      </w:r>
      <w:r w:rsidR="00B66941">
        <w:rPr>
          <w:lang w:val="es-ES_tradnl"/>
        </w:rPr>
        <w:t xml:space="preserve">las </w:t>
      </w:r>
      <w:r w:rsidR="00AA6716" w:rsidRPr="00B924EB">
        <w:rPr>
          <w:lang w:val="es-ES_tradnl"/>
        </w:rPr>
        <w:t>experiencias</w:t>
      </w:r>
      <w:r w:rsidR="00A13BEA" w:rsidRPr="00B924EB">
        <w:rPr>
          <w:lang w:val="es-ES_tradnl"/>
        </w:rPr>
        <w:t xml:space="preserve"> </w:t>
      </w:r>
      <w:r w:rsidR="00AA6716" w:rsidRPr="00B924EB">
        <w:rPr>
          <w:lang w:val="es-ES_tradnl"/>
        </w:rPr>
        <w:t>recogidas</w:t>
      </w:r>
      <w:r w:rsidR="00A13BEA" w:rsidRPr="00B924EB">
        <w:rPr>
          <w:lang w:val="es-ES_tradnl"/>
        </w:rPr>
        <w:t xml:space="preserve"> </w:t>
      </w:r>
      <w:r w:rsidR="006A18D8">
        <w:rPr>
          <w:lang w:val="es-ES_tradnl"/>
        </w:rPr>
        <w:t xml:space="preserve">y la </w:t>
      </w:r>
      <w:r w:rsidR="001A1006" w:rsidRPr="00B924EB">
        <w:rPr>
          <w:lang w:val="es-ES_tradnl"/>
        </w:rPr>
        <w:t>i</w:t>
      </w:r>
      <w:r w:rsidR="00E26F0F" w:rsidRPr="00B924EB">
        <w:rPr>
          <w:lang w:val="es-ES_tradnl"/>
        </w:rPr>
        <w:t>nfraestructura</w:t>
      </w:r>
      <w:r w:rsidR="00A13BEA" w:rsidRPr="00B924EB">
        <w:rPr>
          <w:lang w:val="es-ES_tradnl"/>
        </w:rPr>
        <w:t xml:space="preserve"> </w:t>
      </w:r>
      <w:r w:rsidR="00B02A8E">
        <w:rPr>
          <w:lang w:val="es-ES_tradnl"/>
        </w:rPr>
        <w:t>creada</w:t>
      </w:r>
      <w:r w:rsidR="00A13BEA" w:rsidRPr="00B924EB">
        <w:rPr>
          <w:lang w:val="es-ES_tradnl"/>
        </w:rPr>
        <w:t xml:space="preserve"> </w:t>
      </w:r>
      <w:r w:rsidR="00E26F0F" w:rsidRPr="00B924EB">
        <w:rPr>
          <w:lang w:val="es-ES_tradnl"/>
        </w:rPr>
        <w:t>durante</w:t>
      </w:r>
      <w:r w:rsidR="00A13BEA" w:rsidRPr="00B924EB">
        <w:rPr>
          <w:lang w:val="es-ES_tradnl"/>
        </w:rPr>
        <w:t xml:space="preserve"> </w:t>
      </w:r>
      <w:r w:rsidR="00D848E4">
        <w:rPr>
          <w:lang w:val="es-ES_tradnl"/>
        </w:rPr>
        <w:t xml:space="preserve">la </w:t>
      </w:r>
      <w:r w:rsidRPr="00B924EB">
        <w:rPr>
          <w:lang w:val="es-ES_tradnl"/>
        </w:rPr>
        <w:t>etapa</w:t>
      </w:r>
      <w:r w:rsidR="00A13BEA" w:rsidRPr="00B924EB">
        <w:rPr>
          <w:lang w:val="es-ES_tradnl"/>
        </w:rPr>
        <w:t xml:space="preserve"> </w:t>
      </w:r>
      <w:r w:rsidRPr="00B924EB">
        <w:rPr>
          <w:lang w:val="es-ES_tradnl"/>
        </w:rPr>
        <w:t>I</w:t>
      </w:r>
      <w:r w:rsidR="00EF4311" w:rsidRPr="00B924EB">
        <w:rPr>
          <w:lang w:val="es-ES_tradnl"/>
        </w:rPr>
        <w:t>.</w:t>
      </w:r>
    </w:p>
    <w:p w14:paraId="23DE7D16" w14:textId="568FE9E3" w:rsidR="00D730CF" w:rsidRPr="00B924EB" w:rsidRDefault="00E26F0F" w:rsidP="00D730CF">
      <w:pPr>
        <w:rPr>
          <w:u w:val="single"/>
          <w:lang w:val="es-ES_tradnl"/>
        </w:rPr>
      </w:pPr>
      <w:r w:rsidRPr="00B924EB">
        <w:rPr>
          <w:u w:val="single"/>
          <w:lang w:val="es-ES_tradnl"/>
        </w:rPr>
        <w:t>Actividades</w:t>
      </w:r>
      <w:r w:rsidR="00A13BEA" w:rsidRPr="00B924EB">
        <w:rPr>
          <w:u w:val="single"/>
          <w:lang w:val="es-ES_tradnl"/>
        </w:rPr>
        <w:t xml:space="preserve"> </w:t>
      </w:r>
      <w:r w:rsidRPr="00B924EB">
        <w:rPr>
          <w:u w:val="single"/>
          <w:lang w:val="es-ES_tradnl"/>
        </w:rPr>
        <w:t>propuestas</w:t>
      </w:r>
    </w:p>
    <w:p w14:paraId="29717D99" w14:textId="77777777" w:rsidR="00D730CF" w:rsidRPr="00B924EB" w:rsidRDefault="00D730CF" w:rsidP="00AD702B">
      <w:pPr>
        <w:rPr>
          <w:lang w:val="es-ES_tradnl"/>
        </w:rPr>
      </w:pPr>
    </w:p>
    <w:p w14:paraId="4CAE03C5" w14:textId="38732847" w:rsidR="000521A3" w:rsidRPr="00B924EB" w:rsidRDefault="003208A7" w:rsidP="00235077">
      <w:pPr>
        <w:pStyle w:val="Heading1"/>
        <w:rPr>
          <w:lang w:val="es-ES_tradnl"/>
        </w:rPr>
      </w:pPr>
      <w:r w:rsidRPr="00B924EB">
        <w:rPr>
          <w:lang w:val="es-ES_tradnl"/>
        </w:rPr>
        <w:t>La</w:t>
      </w:r>
      <w:r w:rsidR="00A13BEA" w:rsidRPr="00B924EB">
        <w:rPr>
          <w:lang w:val="es-ES_tradnl"/>
        </w:rPr>
        <w:t xml:space="preserve"> </w:t>
      </w:r>
      <w:r w:rsidRPr="00B924EB">
        <w:rPr>
          <w:lang w:val="es-ES_tradnl"/>
        </w:rPr>
        <w:t>etapa</w:t>
      </w:r>
      <w:r w:rsidR="00A13BEA" w:rsidRPr="00B924EB">
        <w:rPr>
          <w:lang w:val="es-ES_tradnl"/>
        </w:rPr>
        <w:t xml:space="preserve"> </w:t>
      </w:r>
      <w:r w:rsidRPr="00B924EB">
        <w:rPr>
          <w:lang w:val="es-ES_tradnl"/>
        </w:rPr>
        <w:t>I</w:t>
      </w:r>
      <w:r w:rsidR="00C679D6" w:rsidRPr="00B924EB">
        <w:rPr>
          <w:lang w:val="es-ES_tradnl"/>
        </w:rPr>
        <w:t>I</w:t>
      </w:r>
      <w:r w:rsidR="00A13BEA" w:rsidRPr="00B924EB">
        <w:rPr>
          <w:lang w:val="es-ES_tradnl"/>
        </w:rPr>
        <w:t xml:space="preserve"> </w:t>
      </w:r>
      <w:r w:rsidR="00DB3D7B" w:rsidRPr="00B924EB">
        <w:rPr>
          <w:lang w:val="es-ES_tradnl"/>
        </w:rPr>
        <w:t>propone</w:t>
      </w:r>
      <w:r w:rsidR="00A13BEA" w:rsidRPr="00B924EB">
        <w:rPr>
          <w:lang w:val="es-ES_tradnl"/>
        </w:rPr>
        <w:t xml:space="preserve"> </w:t>
      </w:r>
      <w:r w:rsidR="00E26F0F" w:rsidRPr="00B924EB">
        <w:rPr>
          <w:lang w:val="es-ES_tradnl"/>
        </w:rPr>
        <w:t>eliminar</w:t>
      </w:r>
      <w:r w:rsidR="00A13BEA" w:rsidRPr="00B924EB">
        <w:rPr>
          <w:lang w:val="es-ES_tradnl"/>
        </w:rPr>
        <w:t xml:space="preserve"> </w:t>
      </w:r>
      <w:r w:rsidR="00B14D7A" w:rsidRPr="00B924EB">
        <w:rPr>
          <w:lang w:val="es-ES_tradnl"/>
        </w:rPr>
        <w:t>596.18</w:t>
      </w:r>
      <w:r w:rsidR="00A13BEA" w:rsidRPr="00B924EB">
        <w:rPr>
          <w:lang w:val="es-ES_tradnl"/>
        </w:rPr>
        <w:t xml:space="preserve"> </w:t>
      </w:r>
      <w:proofErr w:type="spellStart"/>
      <w:r w:rsidR="00755C5D" w:rsidRPr="00B924EB">
        <w:rPr>
          <w:lang w:val="es-ES_tradnl"/>
        </w:rPr>
        <w:t>tm</w:t>
      </w:r>
      <w:proofErr w:type="spellEnd"/>
      <w:r w:rsidR="00A13BEA" w:rsidRPr="00B924EB">
        <w:rPr>
          <w:lang w:val="es-ES_tradnl"/>
        </w:rPr>
        <w:t xml:space="preserve"> </w:t>
      </w:r>
      <w:r w:rsidR="009934BB" w:rsidRPr="00B924EB">
        <w:rPr>
          <w:lang w:val="es-ES_tradnl"/>
        </w:rPr>
        <w:t>(</w:t>
      </w:r>
      <w:r w:rsidR="00B14D7A" w:rsidRPr="00B924EB">
        <w:rPr>
          <w:lang w:val="es-ES_tradnl"/>
        </w:rPr>
        <w:t>32.79</w:t>
      </w:r>
      <w:r w:rsidR="00A13BEA" w:rsidRPr="00B924EB">
        <w:rPr>
          <w:lang w:val="es-ES_tradnl"/>
        </w:rPr>
        <w:t xml:space="preserve"> </w:t>
      </w:r>
      <w:proofErr w:type="spellStart"/>
      <w:r w:rsidR="000521A3" w:rsidRPr="00B924EB">
        <w:rPr>
          <w:lang w:val="es-ES_tradnl"/>
        </w:rPr>
        <w:t>tons</w:t>
      </w:r>
      <w:proofErr w:type="spellEnd"/>
      <w:r w:rsidR="000521A3" w:rsidRPr="00B924EB">
        <w:rPr>
          <w:lang w:val="es-ES_tradnl"/>
        </w:rPr>
        <w:t>.</w:t>
      </w:r>
      <w:r w:rsidR="00A13BEA" w:rsidRPr="00B924EB">
        <w:rPr>
          <w:lang w:val="es-ES_tradnl"/>
        </w:rPr>
        <w:t xml:space="preserve"> </w:t>
      </w:r>
      <w:r w:rsidR="000521A3" w:rsidRPr="00B924EB">
        <w:rPr>
          <w:lang w:val="es-ES_tradnl"/>
        </w:rPr>
        <w:t>PAO)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9934BB" w:rsidRPr="00B924EB">
        <w:rPr>
          <w:lang w:val="es-ES_tradnl"/>
        </w:rPr>
        <w:t>HCFC</w:t>
      </w:r>
      <w:r w:rsidR="00755C5D" w:rsidRPr="00B924EB">
        <w:rPr>
          <w:lang w:val="es-ES_tradnl"/>
        </w:rPr>
        <w:t>-</w:t>
      </w:r>
      <w:r w:rsidR="009934BB" w:rsidRPr="00B924EB">
        <w:rPr>
          <w:lang w:val="es-ES_tradnl"/>
        </w:rPr>
        <w:t>22</w:t>
      </w:r>
      <w:r w:rsidR="00A13BEA" w:rsidRPr="00B924EB">
        <w:rPr>
          <w:lang w:val="es-ES_tradnl"/>
        </w:rPr>
        <w:t xml:space="preserve"> </w:t>
      </w:r>
      <w:r w:rsidR="006D61E4">
        <w:rPr>
          <w:lang w:val="es-ES_tradnl"/>
        </w:rPr>
        <w:t>utilizadas en</w:t>
      </w:r>
      <w:r w:rsidR="00A13BEA" w:rsidRPr="00B924EB">
        <w:rPr>
          <w:lang w:val="es-ES_tradnl"/>
        </w:rPr>
        <w:t xml:space="preserve"> </w:t>
      </w:r>
      <w:r w:rsidR="00363607" w:rsidRPr="00B924EB">
        <w:rPr>
          <w:lang w:val="es-ES_tradnl"/>
        </w:rPr>
        <w:t>el</w:t>
      </w:r>
      <w:r w:rsidR="00A13BEA" w:rsidRPr="00B924EB">
        <w:rPr>
          <w:lang w:val="es-ES_tradnl"/>
        </w:rPr>
        <w:t xml:space="preserve"> </w:t>
      </w:r>
      <w:r w:rsidR="00363607" w:rsidRPr="00B924EB">
        <w:rPr>
          <w:lang w:val="es-ES_tradnl"/>
        </w:rPr>
        <w:t>sector</w:t>
      </w:r>
      <w:r w:rsidR="00A13BEA" w:rsidRPr="00B924EB">
        <w:rPr>
          <w:lang w:val="es-ES_tradnl"/>
        </w:rPr>
        <w:t xml:space="preserve"> </w:t>
      </w:r>
      <w:r w:rsidR="00755C5D" w:rsidRPr="00B924EB">
        <w:rPr>
          <w:lang w:val="es-ES_tradnl"/>
        </w:rPr>
        <w:t>servicio</w:t>
      </w:r>
      <w:r w:rsidR="00A13BEA" w:rsidRPr="00B924EB">
        <w:rPr>
          <w:lang w:val="es-ES_tradnl"/>
        </w:rPr>
        <w:t xml:space="preserve"> </w:t>
      </w:r>
      <w:r w:rsidR="00755C5D" w:rsidRPr="00B924EB">
        <w:rPr>
          <w:lang w:val="es-ES_tradnl"/>
        </w:rPr>
        <w:t>técnico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equipos</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refrigeración</w:t>
      </w:r>
      <w:r w:rsidR="009934BB" w:rsidRPr="00B924EB">
        <w:rPr>
          <w:lang w:val="es-ES_tradnl"/>
        </w:rPr>
        <w:t>,</w:t>
      </w:r>
      <w:r w:rsidR="00A13BEA" w:rsidRPr="00B924EB">
        <w:rPr>
          <w:lang w:val="es-ES_tradnl"/>
        </w:rPr>
        <w:t xml:space="preserve"> </w:t>
      </w:r>
      <w:r w:rsidR="009374DA" w:rsidRPr="00B924EB">
        <w:rPr>
          <w:lang w:val="es-ES_tradnl"/>
        </w:rPr>
        <w:t>con</w:t>
      </w:r>
      <w:r w:rsidR="006D61E4">
        <w:rPr>
          <w:lang w:val="es-ES_tradnl"/>
        </w:rPr>
        <w:t xml:space="preserve"> un costo </w:t>
      </w:r>
      <w:r w:rsidR="00452F79" w:rsidRPr="00B924EB">
        <w:rPr>
          <w:lang w:val="es-ES_tradnl"/>
        </w:rPr>
        <w:t>total</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2.</w:t>
      </w:r>
      <w:r w:rsidR="009934BB" w:rsidRPr="00B924EB">
        <w:rPr>
          <w:lang w:val="es-ES_tradnl"/>
        </w:rPr>
        <w:t>87</w:t>
      </w:r>
      <w:r w:rsidR="009374DA" w:rsidRPr="00B924EB">
        <w:rPr>
          <w:lang w:val="es-ES_tradnl"/>
        </w:rPr>
        <w:t>5.</w:t>
      </w:r>
      <w:r w:rsidR="009934BB" w:rsidRPr="00B924EB">
        <w:rPr>
          <w:lang w:val="es-ES_tradnl"/>
        </w:rPr>
        <w:t>000</w:t>
      </w:r>
      <w:r w:rsidR="0000450A" w:rsidRPr="0000450A">
        <w:rPr>
          <w:lang w:val="es-ES_tradnl"/>
        </w:rPr>
        <w:t xml:space="preserve"> $EUA</w:t>
      </w:r>
      <w:r w:rsidR="009934BB" w:rsidRPr="00B924EB">
        <w:rPr>
          <w:lang w:val="es-ES_tradnl"/>
        </w:rPr>
        <w:t>.</w:t>
      </w:r>
      <w:r w:rsidR="00A13BEA" w:rsidRPr="00B924EB">
        <w:rPr>
          <w:lang w:val="es-ES_tradnl"/>
        </w:rPr>
        <w:t xml:space="preserve"> </w:t>
      </w:r>
      <w:r w:rsidR="00FE47DA">
        <w:rPr>
          <w:lang w:val="es-ES_tradnl"/>
        </w:rPr>
        <w:t xml:space="preserve">A </w:t>
      </w:r>
      <w:proofErr w:type="gramStart"/>
      <w:r w:rsidR="00FE47DA">
        <w:rPr>
          <w:lang w:val="es-ES_tradnl"/>
        </w:rPr>
        <w:t>continuació</w:t>
      </w:r>
      <w:r w:rsidR="004135A5" w:rsidRPr="00B924EB">
        <w:rPr>
          <w:lang w:val="es-ES_tradnl"/>
        </w:rPr>
        <w:t>n</w:t>
      </w:r>
      <w:proofErr w:type="gramEnd"/>
      <w:r w:rsidR="00A13BEA" w:rsidRPr="00B924EB">
        <w:rPr>
          <w:lang w:val="es-ES_tradnl"/>
        </w:rPr>
        <w:t xml:space="preserve"> </w:t>
      </w:r>
      <w:r w:rsidR="00FE47DA">
        <w:rPr>
          <w:lang w:val="es-ES_tradnl"/>
        </w:rPr>
        <w:t xml:space="preserve">se presenta un </w:t>
      </w:r>
      <w:r w:rsidR="00452F79" w:rsidRPr="00B924EB">
        <w:rPr>
          <w:lang w:val="es-ES_tradnl"/>
        </w:rPr>
        <w:t>cuadro</w:t>
      </w:r>
      <w:r w:rsidR="00A13BEA" w:rsidRPr="00B924EB">
        <w:rPr>
          <w:lang w:val="es-ES_tradnl"/>
        </w:rPr>
        <w:t xml:space="preserve"> </w:t>
      </w:r>
      <w:r w:rsidR="00452F79" w:rsidRPr="00B924EB">
        <w:rPr>
          <w:lang w:val="es-ES_tradnl"/>
        </w:rPr>
        <w:t>general</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E26F0F" w:rsidRPr="00B924EB">
        <w:rPr>
          <w:lang w:val="es-ES_tradnl"/>
        </w:rPr>
        <w:t>las</w:t>
      </w:r>
      <w:r w:rsidR="00A13BEA" w:rsidRPr="00B924EB">
        <w:rPr>
          <w:lang w:val="es-ES_tradnl"/>
        </w:rPr>
        <w:t xml:space="preserve"> </w:t>
      </w:r>
      <w:r w:rsidR="00E26F0F" w:rsidRPr="00B924EB">
        <w:rPr>
          <w:lang w:val="es-ES_tradnl"/>
        </w:rPr>
        <w:t>actividades</w:t>
      </w:r>
      <w:r w:rsidR="00A13BEA" w:rsidRPr="00B924EB">
        <w:rPr>
          <w:lang w:val="es-ES_tradnl"/>
        </w:rPr>
        <w:t xml:space="preserve"> </w:t>
      </w:r>
      <w:r w:rsidR="00B924EB">
        <w:rPr>
          <w:lang w:val="es-ES_tradnl"/>
        </w:rPr>
        <w:t>a implementar</w:t>
      </w:r>
      <w:r w:rsidR="00C679D6" w:rsidRPr="00B924EB">
        <w:rPr>
          <w:lang w:val="es-ES_tradnl"/>
        </w:rPr>
        <w:t>:</w:t>
      </w:r>
    </w:p>
    <w:p w14:paraId="5D18D042" w14:textId="4E45E917" w:rsidR="00512261" w:rsidRPr="00B924EB" w:rsidRDefault="00F61BD7" w:rsidP="00512261">
      <w:pPr>
        <w:pStyle w:val="Heading2"/>
        <w:rPr>
          <w:i/>
          <w:lang w:val="es-ES_tradnl"/>
        </w:rPr>
      </w:pPr>
      <w:r>
        <w:rPr>
          <w:i/>
          <w:lang w:val="es-ES_tradnl"/>
        </w:rPr>
        <w:t xml:space="preserve">Fiscalización de </w:t>
      </w:r>
      <w:r w:rsidR="00E27D0D">
        <w:rPr>
          <w:i/>
          <w:lang w:val="es-ES_tradnl"/>
        </w:rPr>
        <w:t>medidas y políticas regulatorias</w:t>
      </w:r>
      <w:r w:rsidR="00A13BEA" w:rsidRPr="00B924EB">
        <w:rPr>
          <w:i/>
          <w:lang w:val="es-ES_tradnl"/>
        </w:rPr>
        <w:t xml:space="preserve"> </w:t>
      </w:r>
      <w:r w:rsidR="000521A3" w:rsidRPr="00B924EB">
        <w:rPr>
          <w:i/>
          <w:lang w:val="es-ES_tradnl"/>
        </w:rPr>
        <w:t>(PNUMA)</w:t>
      </w:r>
      <w:r w:rsidR="00A13BEA" w:rsidRPr="00B924EB">
        <w:rPr>
          <w:i/>
          <w:lang w:val="es-ES_tradnl"/>
        </w:rPr>
        <w:t xml:space="preserve"> </w:t>
      </w:r>
      <w:r w:rsidR="00C33AF2">
        <w:rPr>
          <w:i/>
          <w:lang w:val="es-ES_tradnl"/>
        </w:rPr>
        <w:t>(</w:t>
      </w:r>
      <w:r w:rsidR="00463493" w:rsidRPr="00B924EB">
        <w:rPr>
          <w:i/>
          <w:lang w:val="es-ES_tradnl"/>
        </w:rPr>
        <w:t>47</w:t>
      </w:r>
      <w:r w:rsidR="00755C5D" w:rsidRPr="00B924EB">
        <w:rPr>
          <w:i/>
          <w:lang w:val="es-ES_tradnl"/>
        </w:rPr>
        <w:t>0.</w:t>
      </w:r>
      <w:r w:rsidR="001B6E90" w:rsidRPr="00B924EB">
        <w:rPr>
          <w:i/>
          <w:lang w:val="es-ES_tradnl"/>
        </w:rPr>
        <w:t>000</w:t>
      </w:r>
      <w:r w:rsidR="00BC5C9C" w:rsidRPr="00BC5C9C">
        <w:rPr>
          <w:i/>
          <w:lang w:val="es-ES_tradnl"/>
        </w:rPr>
        <w:t xml:space="preserve"> $EUA</w:t>
      </w:r>
      <w:r w:rsidR="001B6E90" w:rsidRPr="00B924EB">
        <w:rPr>
          <w:i/>
          <w:lang w:val="es-ES_tradnl"/>
        </w:rPr>
        <w:t>)</w:t>
      </w:r>
      <w:r w:rsidR="001C6D6F" w:rsidRPr="00B924EB">
        <w:rPr>
          <w:i/>
          <w:lang w:val="es-ES_tradnl"/>
        </w:rPr>
        <w:t>:</w:t>
      </w:r>
    </w:p>
    <w:p w14:paraId="2D21C913" w14:textId="561950CB" w:rsidR="000521A3" w:rsidRPr="00B924EB" w:rsidRDefault="00286E73" w:rsidP="00F0392E">
      <w:pPr>
        <w:pStyle w:val="Heading3"/>
        <w:rPr>
          <w:lang w:val="es-ES_tradnl"/>
        </w:rPr>
      </w:pPr>
      <w:r w:rsidRPr="00B924EB">
        <w:rPr>
          <w:lang w:val="es-ES_tradnl"/>
        </w:rPr>
        <w:t>A</w:t>
      </w:r>
      <w:r w:rsidR="00DB3D7B" w:rsidRPr="00B924EB">
        <w:rPr>
          <w:lang w:val="es-ES_tradnl"/>
        </w:rPr>
        <w:t>dopción</w:t>
      </w:r>
      <w:r>
        <w:rPr>
          <w:lang w:val="es-ES_tradnl"/>
        </w:rPr>
        <w:t xml:space="preserve"> a </w:t>
      </w:r>
      <w:r w:rsidRPr="00286E73">
        <w:rPr>
          <w:lang w:val="es-ES_tradnl"/>
        </w:rPr>
        <w:t>diciembre de 2023</w:t>
      </w:r>
      <w:r w:rsidR="009972F7">
        <w:rPr>
          <w:lang w:val="es-ES_tradnl"/>
        </w:rPr>
        <w:t xml:space="preserve"> </w:t>
      </w:r>
      <w:r w:rsidR="00755C5D" w:rsidRPr="00B924EB">
        <w:rPr>
          <w:lang w:val="es-ES_tradnl"/>
        </w:rPr>
        <w:t>de</w:t>
      </w:r>
      <w:r w:rsidR="00A13BEA" w:rsidRPr="00B924EB">
        <w:rPr>
          <w:lang w:val="es-ES_tradnl"/>
        </w:rPr>
        <w:t xml:space="preserve"> </w:t>
      </w:r>
      <w:r w:rsidR="00E26F0F" w:rsidRPr="00B924EB">
        <w:rPr>
          <w:lang w:val="es-ES_tradnl"/>
        </w:rPr>
        <w:t>las</w:t>
      </w:r>
      <w:r w:rsidR="00A13BEA" w:rsidRPr="00B924EB">
        <w:rPr>
          <w:lang w:val="es-ES_tradnl"/>
        </w:rPr>
        <w:t xml:space="preserve"> </w:t>
      </w:r>
      <w:r w:rsidR="00E26F0F" w:rsidRPr="00B924EB">
        <w:rPr>
          <w:lang w:val="es-ES_tradnl"/>
        </w:rPr>
        <w:t>siguientes</w:t>
      </w:r>
      <w:r w:rsidR="00A13BEA" w:rsidRPr="00B924EB">
        <w:rPr>
          <w:lang w:val="es-ES_tradnl"/>
        </w:rPr>
        <w:t xml:space="preserve"> </w:t>
      </w:r>
      <w:r w:rsidR="00DB3D7B" w:rsidRPr="00B924EB">
        <w:rPr>
          <w:lang w:val="es-ES_tradnl"/>
        </w:rPr>
        <w:t>normas</w:t>
      </w:r>
      <w:r w:rsidR="00A13BEA" w:rsidRPr="00B924EB">
        <w:rPr>
          <w:lang w:val="es-ES_tradnl"/>
        </w:rPr>
        <w:t xml:space="preserve"> </w:t>
      </w:r>
      <w:r>
        <w:rPr>
          <w:lang w:val="es-ES_tradnl"/>
        </w:rPr>
        <w:t>de</w:t>
      </w:r>
      <w:r w:rsidR="00A13BEA" w:rsidRPr="00B924EB">
        <w:rPr>
          <w:lang w:val="es-ES_tradnl"/>
        </w:rPr>
        <w:t xml:space="preserve"> </w:t>
      </w:r>
      <w:r w:rsidR="00755C5D" w:rsidRPr="00B924EB">
        <w:rPr>
          <w:lang w:val="es-ES_tradnl"/>
        </w:rPr>
        <w:t>servicio</w:t>
      </w:r>
      <w:r w:rsidR="00A13BEA" w:rsidRPr="00B924EB">
        <w:rPr>
          <w:lang w:val="es-ES_tradnl"/>
        </w:rPr>
        <w:t xml:space="preserve"> </w:t>
      </w:r>
      <w:r w:rsidR="00755C5D" w:rsidRPr="00B924EB">
        <w:rPr>
          <w:lang w:val="es-ES_tradnl"/>
        </w:rPr>
        <w:t>técnico</w:t>
      </w:r>
      <w:r w:rsidR="00512261" w:rsidRPr="00B924EB">
        <w:rPr>
          <w:lang w:val="es-ES_tradnl"/>
        </w:rPr>
        <w:t>:</w:t>
      </w:r>
      <w:r w:rsidR="00A13BEA" w:rsidRPr="00B924EB">
        <w:rPr>
          <w:lang w:val="es-ES_tradnl"/>
        </w:rPr>
        <w:t xml:space="preserve"> </w:t>
      </w:r>
      <w:r w:rsidR="00234A07">
        <w:rPr>
          <w:lang w:val="es-ES_tradnl"/>
        </w:rPr>
        <w:t xml:space="preserve">detección </w:t>
      </w:r>
      <w:r w:rsidR="007F553C">
        <w:rPr>
          <w:lang w:val="es-ES_tradnl"/>
        </w:rPr>
        <w:t xml:space="preserve">obligatoria </w:t>
      </w:r>
      <w:r w:rsidR="00234A07">
        <w:rPr>
          <w:lang w:val="es-ES_tradnl"/>
        </w:rPr>
        <w:t>de fugas</w:t>
      </w:r>
      <w:r w:rsidR="00F11FE3">
        <w:rPr>
          <w:lang w:val="es-ES_tradnl"/>
        </w:rPr>
        <w:t>;</w:t>
      </w:r>
      <w:r w:rsidR="00A13BEA" w:rsidRPr="00B924EB">
        <w:rPr>
          <w:lang w:val="es-ES_tradnl"/>
        </w:rPr>
        <w:t xml:space="preserve"> </w:t>
      </w:r>
      <w:r w:rsidR="003208A7" w:rsidRPr="00B924EB">
        <w:rPr>
          <w:lang w:val="es-ES_tradnl"/>
        </w:rPr>
        <w:t>contención</w:t>
      </w:r>
      <w:r w:rsidR="00A13BEA" w:rsidRPr="00B924EB">
        <w:rPr>
          <w:lang w:val="es-ES_tradnl"/>
        </w:rPr>
        <w:t xml:space="preserve"> </w:t>
      </w:r>
      <w:r w:rsidR="00755C5D" w:rsidRPr="00B924EB">
        <w:rPr>
          <w:lang w:val="es-ES_tradnl"/>
        </w:rPr>
        <w:t>y</w:t>
      </w:r>
      <w:r w:rsidR="00A13BEA" w:rsidRPr="00B924EB">
        <w:rPr>
          <w:lang w:val="es-ES_tradnl"/>
        </w:rPr>
        <w:t xml:space="preserve"> </w:t>
      </w:r>
      <w:r w:rsidR="00C51CCD">
        <w:rPr>
          <w:lang w:val="es-ES_tradnl"/>
        </w:rPr>
        <w:t>control</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C51CCD">
        <w:rPr>
          <w:lang w:val="es-ES_tradnl"/>
        </w:rPr>
        <w:t>todo sistema</w:t>
      </w:r>
      <w:r w:rsidR="00A13BEA" w:rsidRPr="00B924EB">
        <w:rPr>
          <w:lang w:val="es-ES_tradnl"/>
        </w:rPr>
        <w:t xml:space="preserve"> </w:t>
      </w:r>
      <w:r w:rsidR="00E74272" w:rsidRPr="00B924EB">
        <w:rPr>
          <w:lang w:val="es-ES_tradnl"/>
        </w:rPr>
        <w:t>de</w:t>
      </w:r>
      <w:r w:rsidR="00A13BEA" w:rsidRPr="00B924EB">
        <w:rPr>
          <w:lang w:val="es-ES_tradnl"/>
        </w:rPr>
        <w:t xml:space="preserve"> </w:t>
      </w:r>
      <w:r w:rsidR="00E74272" w:rsidRPr="00B924EB">
        <w:rPr>
          <w:lang w:val="es-ES_tradnl"/>
        </w:rPr>
        <w:t>refrigeración</w:t>
      </w:r>
      <w:r w:rsidR="00A13BEA" w:rsidRPr="00B924EB">
        <w:rPr>
          <w:lang w:val="es-ES_tradnl"/>
        </w:rPr>
        <w:t xml:space="preserve"> </w:t>
      </w:r>
      <w:r w:rsidR="00E74272" w:rsidRPr="00B924EB">
        <w:rPr>
          <w:lang w:val="es-ES_tradnl"/>
        </w:rPr>
        <w:t>y</w:t>
      </w:r>
      <w:r w:rsidR="00A13BEA" w:rsidRPr="00B924EB">
        <w:rPr>
          <w:lang w:val="es-ES_tradnl"/>
        </w:rPr>
        <w:t xml:space="preserve"> </w:t>
      </w:r>
      <w:r w:rsidR="00E74272" w:rsidRPr="00B924EB">
        <w:rPr>
          <w:lang w:val="es-ES_tradnl"/>
        </w:rPr>
        <w:t>climatización</w:t>
      </w:r>
      <w:r w:rsidR="00A13BEA" w:rsidRPr="00B924EB">
        <w:rPr>
          <w:lang w:val="es-ES_tradnl"/>
        </w:rPr>
        <w:t xml:space="preserve"> </w:t>
      </w:r>
      <w:r w:rsidR="008D6354">
        <w:rPr>
          <w:lang w:val="es-ES_tradnl"/>
        </w:rPr>
        <w:t xml:space="preserve">que utilice </w:t>
      </w:r>
      <w:r w:rsidR="003D57A4" w:rsidRPr="003D57A4">
        <w:rPr>
          <w:lang w:val="es-ES_tradnl"/>
        </w:rPr>
        <w:t xml:space="preserve">una carga inicial </w:t>
      </w:r>
      <w:r w:rsidR="00233E99" w:rsidRPr="00233E99">
        <w:rPr>
          <w:lang w:val="es-ES_tradnl"/>
        </w:rPr>
        <w:t xml:space="preserve">superior a 3 kg </w:t>
      </w:r>
      <w:r w:rsidR="003D57A4">
        <w:rPr>
          <w:lang w:val="es-ES_tradnl"/>
        </w:rPr>
        <w:t xml:space="preserve">de </w:t>
      </w:r>
      <w:r w:rsidR="00D01DC2" w:rsidRPr="00B924EB">
        <w:rPr>
          <w:lang w:val="es-ES_tradnl"/>
        </w:rPr>
        <w:t>sustancias</w:t>
      </w:r>
      <w:r w:rsidR="00A13BEA" w:rsidRPr="00B924EB">
        <w:rPr>
          <w:lang w:val="es-ES_tradnl"/>
        </w:rPr>
        <w:t xml:space="preserve"> </w:t>
      </w:r>
      <w:r w:rsidR="00D01DC2" w:rsidRPr="00B924EB">
        <w:rPr>
          <w:lang w:val="es-ES_tradnl"/>
        </w:rPr>
        <w:t>controladas</w:t>
      </w:r>
      <w:r w:rsidR="00512261" w:rsidRPr="00B924EB">
        <w:rPr>
          <w:lang w:val="es-ES_tradnl"/>
        </w:rPr>
        <w:t>;</w:t>
      </w:r>
      <w:r w:rsidR="00A13BEA" w:rsidRPr="00B924EB">
        <w:rPr>
          <w:lang w:val="es-ES_tradnl"/>
        </w:rPr>
        <w:t xml:space="preserve"> </w:t>
      </w:r>
      <w:r w:rsidR="00771D45">
        <w:rPr>
          <w:lang w:val="es-ES_tradnl"/>
        </w:rPr>
        <w:t>llevar</w:t>
      </w:r>
      <w:r w:rsidR="00A13BEA" w:rsidRPr="00B924EB">
        <w:rPr>
          <w:lang w:val="es-ES_tradnl"/>
        </w:rPr>
        <w:t xml:space="preserve"> </w:t>
      </w:r>
      <w:r w:rsidR="009455B1">
        <w:rPr>
          <w:lang w:val="es-ES_tradnl"/>
        </w:rPr>
        <w:t xml:space="preserve">un </w:t>
      </w:r>
      <w:r w:rsidR="003303C4">
        <w:rPr>
          <w:lang w:val="es-ES_tradnl"/>
        </w:rPr>
        <w:t>registro de fugas</w:t>
      </w:r>
      <w:r w:rsidR="00512261" w:rsidRPr="00B924EB">
        <w:rPr>
          <w:lang w:val="es-ES_tradnl"/>
        </w:rPr>
        <w:t>,</w:t>
      </w:r>
      <w:r w:rsidR="00A13BEA" w:rsidRPr="00B924EB">
        <w:rPr>
          <w:lang w:val="es-ES_tradnl"/>
        </w:rPr>
        <w:t xml:space="preserve"> </w:t>
      </w:r>
      <w:r w:rsidR="00127454">
        <w:rPr>
          <w:lang w:val="es-ES_tradnl"/>
        </w:rPr>
        <w:t>reparación</w:t>
      </w:r>
      <w:r w:rsidR="00253D71">
        <w:rPr>
          <w:lang w:val="es-ES_tradnl"/>
        </w:rPr>
        <w:t xml:space="preserve"> </w:t>
      </w:r>
      <w:r w:rsidR="00755C5D" w:rsidRPr="00B924EB">
        <w:rPr>
          <w:lang w:val="es-ES_tradnl"/>
        </w:rPr>
        <w:t>y</w:t>
      </w:r>
      <w:r w:rsidR="00A13BEA" w:rsidRPr="00B924EB">
        <w:rPr>
          <w:lang w:val="es-ES_tradnl"/>
        </w:rPr>
        <w:t xml:space="preserve"> </w:t>
      </w:r>
      <w:r w:rsidR="003303C4">
        <w:rPr>
          <w:lang w:val="es-ES_tradnl"/>
        </w:rPr>
        <w:t>llenado</w:t>
      </w:r>
      <w:r w:rsidR="00512261" w:rsidRPr="00B924EB">
        <w:rPr>
          <w:lang w:val="es-ES_tradnl"/>
        </w:rPr>
        <w:t>;</w:t>
      </w:r>
      <w:r w:rsidR="00A13BEA" w:rsidRPr="00B924EB">
        <w:rPr>
          <w:lang w:val="es-ES_tradnl"/>
        </w:rPr>
        <w:t xml:space="preserve"> </w:t>
      </w:r>
      <w:r w:rsidR="00990116">
        <w:rPr>
          <w:lang w:val="es-ES_tradnl"/>
        </w:rPr>
        <w:t>recuperación y reciclaje obligatorio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refrigerantes</w:t>
      </w:r>
      <w:r w:rsidR="00A13BEA" w:rsidRPr="00B924EB">
        <w:rPr>
          <w:lang w:val="es-ES_tradnl"/>
        </w:rPr>
        <w:t xml:space="preserve"> </w:t>
      </w:r>
      <w:r w:rsidR="001A1092">
        <w:rPr>
          <w:lang w:val="es-ES_tradnl"/>
        </w:rPr>
        <w:t xml:space="preserve">y entrega </w:t>
      </w:r>
      <w:r w:rsidR="00A81E8C">
        <w:rPr>
          <w:lang w:val="es-ES_tradnl"/>
        </w:rPr>
        <w:t>trimestral</w:t>
      </w:r>
      <w:r w:rsidR="00A13BEA" w:rsidRPr="00B924EB">
        <w:rPr>
          <w:lang w:val="es-ES_tradnl"/>
        </w:rPr>
        <w:t xml:space="preserve"> </w:t>
      </w:r>
      <w:r w:rsidR="001A1092">
        <w:rPr>
          <w:lang w:val="es-ES_tradnl"/>
        </w:rPr>
        <w:t xml:space="preserve">de </w:t>
      </w:r>
      <w:r w:rsidR="001A1092" w:rsidRPr="001A1092">
        <w:rPr>
          <w:lang w:val="es-ES_tradnl"/>
        </w:rPr>
        <w:t xml:space="preserve">información </w:t>
      </w:r>
      <w:r w:rsidR="00A81E8C">
        <w:rPr>
          <w:lang w:val="es-ES_tradnl"/>
        </w:rPr>
        <w:t xml:space="preserve">sobre </w:t>
      </w:r>
      <w:r w:rsidR="00E26F0F" w:rsidRPr="00B924EB">
        <w:rPr>
          <w:lang w:val="es-ES_tradnl"/>
        </w:rPr>
        <w:t>refrigerante</w:t>
      </w:r>
      <w:r w:rsidR="008F627C">
        <w:rPr>
          <w:lang w:val="es-ES_tradnl"/>
        </w:rPr>
        <w:t>s</w:t>
      </w:r>
      <w:r w:rsidR="00A13BEA" w:rsidRPr="00B924EB">
        <w:rPr>
          <w:lang w:val="es-ES_tradnl"/>
        </w:rPr>
        <w:t xml:space="preserve"> </w:t>
      </w:r>
      <w:r w:rsidR="008F627C">
        <w:rPr>
          <w:lang w:val="es-ES_tradnl"/>
        </w:rPr>
        <w:t>recuperados, reciclados y reutilizados</w:t>
      </w:r>
      <w:r w:rsidR="008F627C" w:rsidRPr="008F627C">
        <w:rPr>
          <w:lang w:val="es-ES_tradnl"/>
        </w:rPr>
        <w:t xml:space="preserve"> </w:t>
      </w:r>
      <w:r w:rsidR="00755C5D" w:rsidRPr="00B924EB">
        <w:rPr>
          <w:lang w:val="es-ES_tradnl"/>
        </w:rPr>
        <w:t>y</w:t>
      </w:r>
      <w:r w:rsidR="00A13BEA" w:rsidRPr="00B924EB">
        <w:rPr>
          <w:lang w:val="es-ES_tradnl"/>
        </w:rPr>
        <w:t xml:space="preserve"> </w:t>
      </w:r>
      <w:r w:rsidR="00512261" w:rsidRPr="00B924EB">
        <w:rPr>
          <w:lang w:val="es-ES_tradnl"/>
        </w:rPr>
        <w:t>stocks</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refrigerantes</w:t>
      </w:r>
      <w:r w:rsidR="007C1389" w:rsidRPr="0083084B">
        <w:rPr>
          <w:lang w:val="es-419"/>
        </w:rPr>
        <w:t xml:space="preserve"> </w:t>
      </w:r>
      <w:r w:rsidR="00AE11A0">
        <w:rPr>
          <w:lang w:val="es-ES_tradnl"/>
        </w:rPr>
        <w:t>inservibles</w:t>
      </w:r>
      <w:r w:rsidR="00512261" w:rsidRPr="00B924EB">
        <w:rPr>
          <w:lang w:val="es-ES_tradnl"/>
        </w:rPr>
        <w:t>;</w:t>
      </w:r>
      <w:r w:rsidR="00A13BEA" w:rsidRPr="00B924EB">
        <w:rPr>
          <w:lang w:val="es-ES_tradnl"/>
        </w:rPr>
        <w:t xml:space="preserve"> </w:t>
      </w:r>
      <w:r w:rsidR="0046408A">
        <w:rPr>
          <w:lang w:val="es-ES_tradnl"/>
        </w:rPr>
        <w:t xml:space="preserve">licencia obligatoria </w:t>
      </w:r>
      <w:r w:rsidR="00522D9F">
        <w:rPr>
          <w:lang w:val="es-ES_tradnl"/>
        </w:rPr>
        <w:t xml:space="preserve">para todo </w:t>
      </w:r>
      <w:r w:rsidR="004135A5" w:rsidRPr="00B924EB">
        <w:rPr>
          <w:lang w:val="es-ES_tradnl"/>
        </w:rPr>
        <w:t>establecimiento</w:t>
      </w:r>
      <w:r w:rsidR="00A13BEA" w:rsidRPr="00B924EB">
        <w:rPr>
          <w:lang w:val="es-ES_tradnl"/>
        </w:rPr>
        <w:t xml:space="preserve"> </w:t>
      </w:r>
      <w:r w:rsidR="00D12C07" w:rsidRPr="00D12C07">
        <w:rPr>
          <w:lang w:val="es-ES_tradnl"/>
        </w:rPr>
        <w:t xml:space="preserve">que maneje SAO </w:t>
      </w:r>
      <w:r w:rsidR="00512261" w:rsidRPr="00B924EB">
        <w:rPr>
          <w:lang w:val="es-ES_tradnl"/>
        </w:rPr>
        <w:t>(</w:t>
      </w:r>
      <w:r w:rsidR="000521A3" w:rsidRPr="00B924EB">
        <w:rPr>
          <w:lang w:val="es-ES_tradnl"/>
        </w:rPr>
        <w:t>importadores</w:t>
      </w:r>
      <w:r w:rsidR="00512261" w:rsidRPr="00B924EB">
        <w:rPr>
          <w:lang w:val="es-ES_tradnl"/>
        </w:rPr>
        <w:t>,</w:t>
      </w:r>
      <w:r w:rsidR="00A13BEA" w:rsidRPr="00B924EB">
        <w:rPr>
          <w:lang w:val="es-ES_tradnl"/>
        </w:rPr>
        <w:t xml:space="preserve"> </w:t>
      </w:r>
      <w:r w:rsidR="00AB6DF3">
        <w:rPr>
          <w:lang w:val="es-ES_tradnl"/>
        </w:rPr>
        <w:t>distribuidores</w:t>
      </w:r>
      <w:r w:rsidR="00512261" w:rsidRPr="00B924EB">
        <w:rPr>
          <w:lang w:val="es-ES_tradnl"/>
        </w:rPr>
        <w:t>,</w:t>
      </w:r>
      <w:r w:rsidR="00A13BEA" w:rsidRPr="00B924EB">
        <w:rPr>
          <w:lang w:val="es-ES_tradnl"/>
        </w:rPr>
        <w:t xml:space="preserve"> </w:t>
      </w:r>
      <w:r w:rsidR="00070E74">
        <w:rPr>
          <w:lang w:val="es-ES_tradnl"/>
        </w:rPr>
        <w:t>minoristas,</w:t>
      </w:r>
      <w:r w:rsidR="00A13BEA" w:rsidRPr="00B924EB">
        <w:rPr>
          <w:lang w:val="es-ES_tradnl"/>
        </w:rPr>
        <w:t xml:space="preserve"> </w:t>
      </w:r>
      <w:r w:rsidR="00AB6DF3">
        <w:rPr>
          <w:lang w:val="es-ES_tradnl"/>
        </w:rPr>
        <w:t>talleres de servicio técnico</w:t>
      </w:r>
      <w:r w:rsidR="00512261" w:rsidRPr="00B924EB">
        <w:rPr>
          <w:lang w:val="es-ES_tradnl"/>
        </w:rPr>
        <w:t>)</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25FBA">
        <w:rPr>
          <w:lang w:val="es-ES_tradnl"/>
        </w:rPr>
        <w:t xml:space="preserve">prohibición </w:t>
      </w:r>
      <w:r w:rsidR="002351C5">
        <w:rPr>
          <w:lang w:val="es-ES_tradnl"/>
        </w:rPr>
        <w:t>de usar</w:t>
      </w:r>
      <w:r w:rsidR="00EF6AFA">
        <w:rPr>
          <w:lang w:val="es-ES_tradnl"/>
        </w:rPr>
        <w:t xml:space="preserve"> envases de HCFC no recargables</w:t>
      </w:r>
      <w:r w:rsidR="00863B62" w:rsidRPr="00B924EB">
        <w:rPr>
          <w:lang w:val="es-ES_tradnl"/>
        </w:rPr>
        <w:t>.</w:t>
      </w:r>
      <w:r w:rsidR="00A13BEA" w:rsidRPr="00B924EB">
        <w:rPr>
          <w:lang w:val="es-ES_tradnl"/>
        </w:rPr>
        <w:t xml:space="preserve"> </w:t>
      </w:r>
      <w:r w:rsidR="00193FCC">
        <w:rPr>
          <w:lang w:val="es-ES_tradnl"/>
        </w:rPr>
        <w:t>E</w:t>
      </w:r>
      <w:r w:rsidR="000521A3" w:rsidRPr="00B924EB">
        <w:rPr>
          <w:lang w:val="es-ES_tradnl"/>
        </w:rPr>
        <w:t>n</w:t>
      </w:r>
      <w:r w:rsidR="00A13BEA" w:rsidRPr="00B924EB">
        <w:rPr>
          <w:lang w:val="es-ES_tradnl"/>
        </w:rPr>
        <w:t xml:space="preserve"> </w:t>
      </w:r>
      <w:r w:rsidR="00755C5D" w:rsidRPr="00B924EB">
        <w:rPr>
          <w:lang w:val="es-ES_tradnl"/>
        </w:rPr>
        <w:t>diciembre</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87458F" w:rsidRPr="00B924EB">
        <w:rPr>
          <w:lang w:val="es-ES_tradnl"/>
        </w:rPr>
        <w:t>2022</w:t>
      </w:r>
      <w:r w:rsidR="00A13BEA" w:rsidRPr="00B924EB">
        <w:rPr>
          <w:lang w:val="es-ES_tradnl"/>
        </w:rPr>
        <w:t xml:space="preserve"> </w:t>
      </w:r>
      <w:r w:rsidR="00193FCC">
        <w:rPr>
          <w:lang w:val="es-ES_tradnl"/>
        </w:rPr>
        <w:t xml:space="preserve">se </w:t>
      </w:r>
      <w:r w:rsidR="007D6BC7">
        <w:rPr>
          <w:lang w:val="es-ES_tradnl"/>
        </w:rPr>
        <w:t>prohibirá</w:t>
      </w:r>
      <w:r w:rsidR="00A13BEA" w:rsidRPr="00B924EB">
        <w:rPr>
          <w:lang w:val="es-ES_tradnl"/>
        </w:rPr>
        <w:t xml:space="preserve"> </w:t>
      </w:r>
      <w:r w:rsidR="0039366E">
        <w:rPr>
          <w:lang w:val="es-ES_tradnl"/>
        </w:rPr>
        <w:t xml:space="preserve">además </w:t>
      </w:r>
      <w:r w:rsidR="000974E0">
        <w:rPr>
          <w:lang w:val="es-ES_tradnl"/>
        </w:rPr>
        <w:t>la descarga de refrigerantes</w:t>
      </w:r>
      <w:r w:rsidR="00A13BEA" w:rsidRPr="00B924EB">
        <w:rPr>
          <w:lang w:val="es-ES_tradnl"/>
        </w:rPr>
        <w:t xml:space="preserve"> </w:t>
      </w:r>
      <w:r w:rsidR="005E1320" w:rsidRPr="00B924EB">
        <w:rPr>
          <w:lang w:val="es-ES_tradnl"/>
        </w:rPr>
        <w:t>a</w:t>
      </w:r>
      <w:r w:rsidR="00A13BEA" w:rsidRPr="00B924EB">
        <w:rPr>
          <w:lang w:val="es-ES_tradnl"/>
        </w:rPr>
        <w:t xml:space="preserve"> </w:t>
      </w:r>
      <w:r w:rsidR="005E1320" w:rsidRPr="00B924EB">
        <w:rPr>
          <w:lang w:val="es-ES_tradnl"/>
        </w:rPr>
        <w:t>la</w:t>
      </w:r>
      <w:r w:rsidR="00A13BEA" w:rsidRPr="00B924EB">
        <w:rPr>
          <w:lang w:val="es-ES_tradnl"/>
        </w:rPr>
        <w:t xml:space="preserve"> </w:t>
      </w:r>
      <w:r w:rsidR="005E1320" w:rsidRPr="00B924EB">
        <w:rPr>
          <w:lang w:val="es-ES_tradnl"/>
        </w:rPr>
        <w:t>atmósfera</w:t>
      </w:r>
      <w:r w:rsidR="00A13BEA" w:rsidRPr="00B924EB">
        <w:rPr>
          <w:lang w:val="es-ES_tradnl"/>
        </w:rPr>
        <w:t xml:space="preserve"> </w:t>
      </w:r>
      <w:r w:rsidR="00E26F0F" w:rsidRPr="00B924EB">
        <w:rPr>
          <w:lang w:val="es-ES_tradnl"/>
        </w:rPr>
        <w:t>durante</w:t>
      </w:r>
      <w:r w:rsidR="00A13BEA" w:rsidRPr="00B924EB">
        <w:rPr>
          <w:lang w:val="es-ES_tradnl"/>
        </w:rPr>
        <w:t xml:space="preserve"> </w:t>
      </w:r>
      <w:r w:rsidR="00F66E56">
        <w:rPr>
          <w:lang w:val="es-ES_tradnl"/>
        </w:rPr>
        <w:t xml:space="preserve">el </w:t>
      </w:r>
      <w:r w:rsidR="00755C5D" w:rsidRPr="00B924EB">
        <w:rPr>
          <w:lang w:val="es-ES_tradnl"/>
        </w:rPr>
        <w:t>servicio</w:t>
      </w:r>
      <w:r w:rsidR="00A13BEA" w:rsidRPr="00B924EB">
        <w:rPr>
          <w:lang w:val="es-ES_tradnl"/>
        </w:rPr>
        <w:t xml:space="preserve"> </w:t>
      </w:r>
      <w:r w:rsidR="00755C5D" w:rsidRPr="00B924EB">
        <w:rPr>
          <w:lang w:val="es-ES_tradnl"/>
        </w:rPr>
        <w:t>técnico</w:t>
      </w:r>
      <w:r w:rsidR="00A13BEA" w:rsidRPr="00B924EB">
        <w:rPr>
          <w:lang w:val="es-ES_tradnl"/>
        </w:rPr>
        <w:t xml:space="preserve"> </w:t>
      </w:r>
      <w:r w:rsidR="00C33AF2">
        <w:rPr>
          <w:lang w:val="es-ES_tradnl"/>
        </w:rPr>
        <w:t>(</w:t>
      </w:r>
      <w:r w:rsidR="00512261" w:rsidRPr="00B924EB">
        <w:rPr>
          <w:lang w:val="es-ES_tradnl"/>
        </w:rPr>
        <w:t>10</w:t>
      </w:r>
      <w:r w:rsidR="009374DA" w:rsidRPr="00B924EB">
        <w:rPr>
          <w:lang w:val="es-ES_tradnl"/>
        </w:rPr>
        <w:t>5.</w:t>
      </w:r>
      <w:r w:rsidR="00512261" w:rsidRPr="00B924EB">
        <w:rPr>
          <w:lang w:val="es-ES_tradnl"/>
        </w:rPr>
        <w:t>000</w:t>
      </w:r>
      <w:r w:rsidR="00E22492" w:rsidRPr="00E22492">
        <w:rPr>
          <w:lang w:val="es-ES_tradnl"/>
        </w:rPr>
        <w:t xml:space="preserve"> $EUA</w:t>
      </w:r>
      <w:r w:rsidR="00512261" w:rsidRPr="00B924EB">
        <w:rPr>
          <w:lang w:val="es-ES_tradnl"/>
        </w:rPr>
        <w:t>);</w:t>
      </w:r>
    </w:p>
    <w:p w14:paraId="6F2035B9" w14:textId="38C82059" w:rsidR="00201E21" w:rsidRPr="00B924EB" w:rsidRDefault="00DB1779" w:rsidP="00201E21">
      <w:pPr>
        <w:pStyle w:val="Heading3"/>
        <w:rPr>
          <w:lang w:val="es-ES_tradnl"/>
        </w:rPr>
      </w:pPr>
      <w:r>
        <w:rPr>
          <w:lang w:val="es-ES_tradnl"/>
        </w:rPr>
        <w:t xml:space="preserve">Continuar la </w:t>
      </w:r>
      <w:proofErr w:type="spellStart"/>
      <w:r w:rsidRPr="00DB1779">
        <w:rPr>
          <w:lang w:val="es-ES_tradnl"/>
        </w:rPr>
        <w:t>operativización</w:t>
      </w:r>
      <w:proofErr w:type="spellEnd"/>
      <w:r w:rsidRPr="00DB1779">
        <w:rPr>
          <w:lang w:val="es-ES_tradnl"/>
        </w:rPr>
        <w:t xml:space="preserve"> </w:t>
      </w:r>
      <w:r w:rsidR="00E26F0F" w:rsidRPr="00B924EB">
        <w:rPr>
          <w:lang w:val="es-ES_tradnl"/>
        </w:rPr>
        <w:t>del</w:t>
      </w:r>
      <w:r w:rsidR="00A13BEA" w:rsidRPr="00B924EB">
        <w:rPr>
          <w:lang w:val="es-ES_tradnl"/>
        </w:rPr>
        <w:t xml:space="preserve"> </w:t>
      </w:r>
      <w:r w:rsidR="00BE208B">
        <w:rPr>
          <w:lang w:val="es-ES_tradnl"/>
        </w:rPr>
        <w:t>sistema de licencias electrónicas</w:t>
      </w:r>
      <w:r w:rsidR="00A13BEA" w:rsidRPr="00B924EB">
        <w:rPr>
          <w:lang w:val="es-ES_tradnl"/>
        </w:rPr>
        <w:t xml:space="preserve"> </w:t>
      </w:r>
      <w:r w:rsidR="003362A4">
        <w:rPr>
          <w:lang w:val="es-ES_tradnl"/>
        </w:rPr>
        <w:t>como parte integral</w:t>
      </w:r>
      <w:r w:rsidR="00A13BEA" w:rsidRPr="00B924EB">
        <w:rPr>
          <w:lang w:val="es-ES_tradnl"/>
        </w:rPr>
        <w:t xml:space="preserve"> </w:t>
      </w:r>
      <w:r w:rsidR="00871806">
        <w:rPr>
          <w:lang w:val="es-ES_tradnl"/>
        </w:rPr>
        <w:t xml:space="preserve">de los </w:t>
      </w:r>
      <w:r w:rsidR="00E26F0F" w:rsidRPr="00B924EB">
        <w:rPr>
          <w:lang w:val="es-ES_tradnl"/>
        </w:rPr>
        <w:t>sistema</w:t>
      </w:r>
      <w:r w:rsidR="00437868">
        <w:rPr>
          <w:lang w:val="es-ES_tradnl"/>
        </w:rPr>
        <w:t>s</w:t>
      </w:r>
      <w:r w:rsidR="00A13BEA" w:rsidRPr="00B924EB">
        <w:rPr>
          <w:lang w:val="es-ES_tradnl"/>
        </w:rPr>
        <w:t xml:space="preserve"> </w:t>
      </w:r>
      <w:r w:rsidR="00E26F0F" w:rsidRPr="00B924EB">
        <w:rPr>
          <w:lang w:val="es-ES_tradnl"/>
        </w:rPr>
        <w:t>del</w:t>
      </w:r>
      <w:r w:rsidR="00A13BEA" w:rsidRPr="00B924EB">
        <w:rPr>
          <w:lang w:val="es-ES_tradnl"/>
        </w:rPr>
        <w:t xml:space="preserve"> </w:t>
      </w:r>
      <w:r w:rsidR="009C3B3D">
        <w:rPr>
          <w:lang w:val="es-ES_tradnl"/>
        </w:rPr>
        <w:t>Ministerio de Comercio</w:t>
      </w:r>
      <w:r w:rsidR="005E069F">
        <w:rPr>
          <w:lang w:val="es-ES_tradnl"/>
        </w:rPr>
        <w:t xml:space="preserve">, </w:t>
      </w:r>
      <w:r w:rsidR="007C1B04">
        <w:rPr>
          <w:lang w:val="es-ES_tradnl"/>
        </w:rPr>
        <w:t>así como la</w:t>
      </w:r>
      <w:r w:rsidR="00726A2D">
        <w:rPr>
          <w:lang w:val="es-ES_tradnl"/>
        </w:rPr>
        <w:t xml:space="preserve"> </w:t>
      </w:r>
      <w:r w:rsidR="002F357D">
        <w:rPr>
          <w:lang w:val="es-ES_tradnl"/>
        </w:rPr>
        <w:t xml:space="preserve">fiscalización de normas a nivel </w:t>
      </w:r>
      <w:r w:rsidR="000E6FDD">
        <w:rPr>
          <w:lang w:val="es-ES_tradnl"/>
        </w:rPr>
        <w:t>nacional</w:t>
      </w:r>
      <w:r w:rsidR="00A13BEA" w:rsidRPr="00B924EB">
        <w:rPr>
          <w:lang w:val="es-ES_tradnl"/>
        </w:rPr>
        <w:t xml:space="preserve"> </w:t>
      </w:r>
      <w:r w:rsidR="00C33AF2">
        <w:rPr>
          <w:lang w:val="es-ES_tradnl"/>
        </w:rPr>
        <w:t>(</w:t>
      </w:r>
      <w:r w:rsidR="00201E21" w:rsidRPr="00B924EB">
        <w:rPr>
          <w:lang w:val="es-ES_tradnl"/>
        </w:rPr>
        <w:t>12</w:t>
      </w:r>
      <w:r w:rsidR="00755C5D" w:rsidRPr="00B924EB">
        <w:rPr>
          <w:lang w:val="es-ES_tradnl"/>
        </w:rPr>
        <w:t>0.</w:t>
      </w:r>
      <w:r w:rsidR="00201E21" w:rsidRPr="00B924EB">
        <w:rPr>
          <w:lang w:val="es-ES_tradnl"/>
        </w:rPr>
        <w:t>000</w:t>
      </w:r>
      <w:r w:rsidR="00170705" w:rsidRPr="00170705">
        <w:rPr>
          <w:lang w:val="es-ES_tradnl"/>
        </w:rPr>
        <w:t xml:space="preserve"> $EUA</w:t>
      </w:r>
      <w:r w:rsidR="00201E21" w:rsidRPr="00B924EB">
        <w:rPr>
          <w:lang w:val="es-ES_tradnl"/>
        </w:rPr>
        <w:t>);</w:t>
      </w:r>
    </w:p>
    <w:p w14:paraId="41B9F803" w14:textId="56599DB9" w:rsidR="002627EC" w:rsidRPr="00B924EB" w:rsidRDefault="001A1006" w:rsidP="00512261">
      <w:pPr>
        <w:pStyle w:val="Heading3"/>
        <w:rPr>
          <w:lang w:val="es-ES_tradnl"/>
        </w:rPr>
      </w:pPr>
      <w:r w:rsidRPr="00B924EB">
        <w:rPr>
          <w:lang w:val="es-ES_tradnl"/>
        </w:rPr>
        <w:t>Organización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1B6E90" w:rsidRPr="00B924EB">
        <w:rPr>
          <w:lang w:val="es-ES_tradnl"/>
        </w:rPr>
        <w:t>15</w:t>
      </w:r>
      <w:r w:rsidR="00A13BEA" w:rsidRPr="00B924EB">
        <w:rPr>
          <w:lang w:val="es-ES_tradnl"/>
        </w:rPr>
        <w:t xml:space="preserve"> </w:t>
      </w:r>
      <w:r w:rsidR="00E26F0F" w:rsidRPr="00B924EB">
        <w:rPr>
          <w:lang w:val="es-ES_tradnl"/>
        </w:rPr>
        <w:t>talleres</w:t>
      </w:r>
      <w:r w:rsidR="00A13BEA" w:rsidRPr="00B924EB">
        <w:rPr>
          <w:lang w:val="es-ES_tradnl"/>
        </w:rPr>
        <w:t xml:space="preserve"> </w:t>
      </w:r>
      <w:r w:rsidR="008007E3">
        <w:rPr>
          <w:lang w:val="es-ES_tradnl"/>
        </w:rPr>
        <w:t>de</w:t>
      </w:r>
      <w:r w:rsidR="00F61CEF">
        <w:rPr>
          <w:lang w:val="es-ES_tradnl"/>
        </w:rPr>
        <w:t xml:space="preserve"> prevención del </w:t>
      </w:r>
      <w:r w:rsidR="00E26F0F" w:rsidRPr="00B924EB">
        <w:rPr>
          <w:lang w:val="es-ES_tradnl"/>
        </w:rPr>
        <w:t>comercio</w:t>
      </w:r>
      <w:r w:rsidR="00A13BEA" w:rsidRPr="00B924EB">
        <w:rPr>
          <w:lang w:val="es-ES_tradnl"/>
        </w:rPr>
        <w:t xml:space="preserve"> </w:t>
      </w:r>
      <w:r w:rsidR="00E26F0F" w:rsidRPr="00B924EB">
        <w:rPr>
          <w:lang w:val="es-ES_tradnl"/>
        </w:rPr>
        <w:t>ilegal</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5773A">
        <w:rPr>
          <w:lang w:val="es-ES_tradnl"/>
        </w:rPr>
        <w:t>potenciación</w:t>
      </w:r>
      <w:r w:rsidR="00BD5A95">
        <w:rPr>
          <w:lang w:val="es-ES_tradnl"/>
        </w:rPr>
        <w:t xml:space="preserve"> </w:t>
      </w:r>
      <w:r w:rsidR="008E64CB">
        <w:rPr>
          <w:lang w:val="es-ES_tradnl"/>
        </w:rPr>
        <w:t>de la</w:t>
      </w:r>
      <w:r w:rsidR="00D3088E">
        <w:rPr>
          <w:lang w:val="es-ES_tradnl"/>
        </w:rPr>
        <w:t>s</w:t>
      </w:r>
      <w:r w:rsidR="008E64CB">
        <w:rPr>
          <w:lang w:val="es-ES_tradnl"/>
        </w:rPr>
        <w:t xml:space="preserve"> </w:t>
      </w:r>
      <w:r w:rsidR="00A10F52">
        <w:rPr>
          <w:lang w:val="es-ES_tradnl"/>
        </w:rPr>
        <w:t>capacidad</w:t>
      </w:r>
      <w:r w:rsidR="00D3088E">
        <w:rPr>
          <w:lang w:val="es-ES_tradnl"/>
        </w:rPr>
        <w:t>es</w:t>
      </w:r>
      <w:r w:rsidR="00A10F52">
        <w:rPr>
          <w:lang w:val="es-ES_tradnl"/>
        </w:rPr>
        <w:t xml:space="preserve"> fiscalizadora</w:t>
      </w:r>
      <w:r w:rsidR="00D3088E">
        <w:rPr>
          <w:lang w:val="es-ES_tradnl"/>
        </w:rPr>
        <w:t>s</w:t>
      </w:r>
      <w:r w:rsidR="001536B5">
        <w:rPr>
          <w:lang w:val="es-ES_tradnl"/>
        </w:rPr>
        <w:t xml:space="preserve"> de </w:t>
      </w:r>
      <w:r w:rsidR="001B6E90" w:rsidRPr="00B924EB">
        <w:rPr>
          <w:lang w:val="es-ES_tradnl"/>
        </w:rPr>
        <w:t>300</w:t>
      </w:r>
      <w:r w:rsidR="00A13BEA" w:rsidRPr="00B924EB">
        <w:rPr>
          <w:lang w:val="es-ES_tradnl"/>
        </w:rPr>
        <w:t xml:space="preserve"> </w:t>
      </w:r>
      <w:r w:rsidR="000521A3" w:rsidRPr="00B924EB">
        <w:rPr>
          <w:lang w:val="es-ES_tradnl"/>
        </w:rPr>
        <w:t>funcionarios</w:t>
      </w:r>
      <w:r w:rsidR="00A13BEA" w:rsidRPr="00B924EB">
        <w:rPr>
          <w:lang w:val="es-ES_tradnl"/>
        </w:rPr>
        <w:t xml:space="preserve"> </w:t>
      </w:r>
      <w:r w:rsidR="000521A3" w:rsidRPr="00B924EB">
        <w:rPr>
          <w:lang w:val="es-ES_tradnl"/>
        </w:rPr>
        <w:t>aduaneros</w:t>
      </w:r>
      <w:r w:rsidR="00226200">
        <w:rPr>
          <w:lang w:val="es-ES_tradnl"/>
        </w:rPr>
        <w:t xml:space="preserve">; </w:t>
      </w:r>
      <w:r w:rsidR="00E26F0F" w:rsidRPr="00B924EB">
        <w:rPr>
          <w:lang w:val="es-ES_tradnl"/>
        </w:rPr>
        <w:t>adquisición</w:t>
      </w:r>
      <w:r w:rsidR="00A13BEA" w:rsidRPr="00B924EB">
        <w:rPr>
          <w:lang w:val="es-ES_tradnl"/>
        </w:rPr>
        <w:t xml:space="preserve"> </w:t>
      </w:r>
      <w:r w:rsidR="00E7504F" w:rsidRPr="00E7504F">
        <w:rPr>
          <w:lang w:val="es-ES_tradnl"/>
        </w:rPr>
        <w:t>de cinco identificadores de refrigerante</w:t>
      </w:r>
      <w:r w:rsidR="009262AB">
        <w:rPr>
          <w:lang w:val="es-ES_tradnl"/>
        </w:rPr>
        <w:t>s</w:t>
      </w:r>
      <w:r w:rsidR="00E7504F" w:rsidRPr="00E7504F">
        <w:rPr>
          <w:lang w:val="es-ES_tradnl"/>
        </w:rPr>
        <w:t xml:space="preserve"> </w:t>
      </w:r>
      <w:r w:rsidR="009262AB">
        <w:rPr>
          <w:lang w:val="es-ES_tradnl"/>
        </w:rPr>
        <w:t xml:space="preserve">para </w:t>
      </w:r>
      <w:r w:rsidR="009374DA" w:rsidRPr="00B924EB">
        <w:rPr>
          <w:lang w:val="es-ES_tradnl"/>
        </w:rPr>
        <w:t>distribución</w:t>
      </w:r>
      <w:r w:rsidR="00A13BEA" w:rsidRPr="00B924EB">
        <w:rPr>
          <w:lang w:val="es-ES_tradnl"/>
        </w:rPr>
        <w:t xml:space="preserve"> </w:t>
      </w:r>
      <w:r w:rsidR="00620538">
        <w:rPr>
          <w:lang w:val="es-ES_tradnl"/>
        </w:rPr>
        <w:t xml:space="preserve">a </w:t>
      </w:r>
      <w:r w:rsidR="00463493" w:rsidRPr="00B924EB">
        <w:rPr>
          <w:lang w:val="es-ES_tradnl"/>
        </w:rPr>
        <w:t>inspector</w:t>
      </w:r>
      <w:r w:rsidR="00620538">
        <w:rPr>
          <w:lang w:val="es-ES_tradnl"/>
        </w:rPr>
        <w:t>e</w:t>
      </w:r>
      <w:r w:rsidR="00463493" w:rsidRPr="00B924EB">
        <w:rPr>
          <w:lang w:val="es-ES_tradnl"/>
        </w:rPr>
        <w:t>s</w:t>
      </w:r>
      <w:r w:rsidR="00A13BEA" w:rsidRPr="00B924EB">
        <w:rPr>
          <w:lang w:val="es-ES_tradnl"/>
        </w:rPr>
        <w:t xml:space="preserve"> </w:t>
      </w:r>
      <w:r w:rsidR="0041749E" w:rsidRPr="0041749E">
        <w:rPr>
          <w:lang w:val="es-ES_tradnl"/>
        </w:rPr>
        <w:t xml:space="preserve">aduaneros </w:t>
      </w:r>
      <w:r w:rsidR="0041749E">
        <w:rPr>
          <w:lang w:val="es-ES_tradnl"/>
        </w:rPr>
        <w:t xml:space="preserve">y </w:t>
      </w:r>
      <w:r w:rsidR="00E26F0F" w:rsidRPr="00B924EB">
        <w:rPr>
          <w:lang w:val="es-ES_tradnl"/>
        </w:rPr>
        <w:t>del</w:t>
      </w:r>
      <w:r w:rsidR="00A13BEA" w:rsidRPr="00B924EB">
        <w:rPr>
          <w:lang w:val="es-ES_tradnl"/>
        </w:rPr>
        <w:t xml:space="preserve"> </w:t>
      </w:r>
      <w:r w:rsidR="009D2390">
        <w:rPr>
          <w:lang w:val="es-ES_tradnl"/>
        </w:rPr>
        <w:t>Ministerio del Medio Ambiente</w:t>
      </w:r>
      <w:r w:rsidR="00A13BEA" w:rsidRPr="00B924EB">
        <w:rPr>
          <w:lang w:val="es-ES_tradnl"/>
        </w:rPr>
        <w:t xml:space="preserve"> </w:t>
      </w:r>
      <w:r w:rsidR="00C33AF2">
        <w:rPr>
          <w:lang w:val="es-ES_tradnl"/>
        </w:rPr>
        <w:t>(</w:t>
      </w:r>
      <w:r w:rsidR="005C63C5" w:rsidRPr="00B924EB">
        <w:rPr>
          <w:lang w:val="es-ES_tradnl"/>
        </w:rPr>
        <w:t>1</w:t>
      </w:r>
      <w:r w:rsidR="00463493" w:rsidRPr="00B924EB">
        <w:rPr>
          <w:lang w:val="es-ES_tradnl"/>
        </w:rPr>
        <w:t>4</w:t>
      </w:r>
      <w:r w:rsidR="00755C5D" w:rsidRPr="00B924EB">
        <w:rPr>
          <w:lang w:val="es-ES_tradnl"/>
        </w:rPr>
        <w:t>0.</w:t>
      </w:r>
      <w:r w:rsidR="005C63C5" w:rsidRPr="00B924EB">
        <w:rPr>
          <w:lang w:val="es-ES_tradnl"/>
        </w:rPr>
        <w:t>000</w:t>
      </w:r>
      <w:r w:rsidR="00AD4D06" w:rsidRPr="00AD4D06">
        <w:rPr>
          <w:lang w:val="es-ES_tradnl"/>
        </w:rPr>
        <w:t xml:space="preserve"> $EUA</w:t>
      </w:r>
      <w:r w:rsidR="005C63C5" w:rsidRPr="00B924EB">
        <w:rPr>
          <w:lang w:val="es-ES_tradnl"/>
        </w:rPr>
        <w:t>)</w:t>
      </w:r>
      <w:r w:rsidR="001B6E90" w:rsidRPr="00B924EB">
        <w:rPr>
          <w:lang w:val="es-ES_tradnl"/>
        </w:rPr>
        <w:t>;</w:t>
      </w:r>
      <w:r w:rsidR="00A13BEA" w:rsidRPr="00B924EB">
        <w:rPr>
          <w:lang w:val="es-ES_tradnl"/>
        </w:rPr>
        <w:t xml:space="preserve"> </w:t>
      </w:r>
      <w:r w:rsidR="00755C5D" w:rsidRPr="00B924EB">
        <w:rPr>
          <w:lang w:val="es-ES_tradnl"/>
        </w:rPr>
        <w:t>y</w:t>
      </w:r>
    </w:p>
    <w:p w14:paraId="1C2F05F5" w14:textId="27CB4433" w:rsidR="000521A3" w:rsidRPr="00B924EB" w:rsidRDefault="00F41AD4" w:rsidP="001B3CE0">
      <w:pPr>
        <w:pStyle w:val="Heading3"/>
        <w:rPr>
          <w:lang w:val="es-ES_tradnl"/>
        </w:rPr>
      </w:pPr>
      <w:r>
        <w:rPr>
          <w:lang w:val="es-ES_tradnl"/>
        </w:rPr>
        <w:t>Ejecución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CA6461">
        <w:rPr>
          <w:lang w:val="es-ES_tradnl"/>
        </w:rPr>
        <w:t xml:space="preserve">un </w:t>
      </w:r>
      <w:r w:rsidR="00D01DC2" w:rsidRPr="00B924EB">
        <w:rPr>
          <w:lang w:val="es-ES_tradnl"/>
        </w:rPr>
        <w:t>programa</w:t>
      </w:r>
      <w:r w:rsidR="00A13BEA" w:rsidRPr="00B924EB">
        <w:rPr>
          <w:lang w:val="es-ES_tradnl"/>
        </w:rPr>
        <w:t xml:space="preserve"> </w:t>
      </w:r>
      <w:r w:rsidR="00CA6461">
        <w:rPr>
          <w:lang w:val="es-ES_tradnl"/>
        </w:rPr>
        <w:t xml:space="preserve">nacional </w:t>
      </w:r>
      <w:r w:rsidR="00E3248A">
        <w:rPr>
          <w:lang w:val="es-ES_tradnl"/>
        </w:rPr>
        <w:t xml:space="preserve">de </w:t>
      </w:r>
      <w:r w:rsidR="003208A7" w:rsidRPr="00B924EB">
        <w:rPr>
          <w:lang w:val="es-ES_tradnl"/>
        </w:rPr>
        <w:t>promoción</w:t>
      </w:r>
      <w:r w:rsidR="00A13BEA" w:rsidRPr="00B924EB">
        <w:rPr>
          <w:lang w:val="es-ES_tradnl"/>
        </w:rPr>
        <w:t xml:space="preserve"> </w:t>
      </w:r>
      <w:r w:rsidR="00AB727F">
        <w:rPr>
          <w:lang w:val="es-ES_tradnl"/>
        </w:rPr>
        <w:t xml:space="preserve">y </w:t>
      </w:r>
      <w:r w:rsidR="00590206">
        <w:rPr>
          <w:lang w:val="es-ES_tradnl"/>
        </w:rPr>
        <w:t>orientación</w:t>
      </w:r>
      <w:r w:rsidR="00AB727F" w:rsidRPr="00AB727F">
        <w:rPr>
          <w:lang w:val="es-ES_tradnl"/>
        </w:rPr>
        <w:t xml:space="preserve"> </w:t>
      </w:r>
      <w:r w:rsidR="00AB727F">
        <w:rPr>
          <w:lang w:val="es-ES_tradnl"/>
        </w:rPr>
        <w:t xml:space="preserve">sobre </w:t>
      </w:r>
      <w:r w:rsidR="00E26F0F" w:rsidRPr="00B924EB">
        <w:rPr>
          <w:lang w:val="es-ES_tradnl"/>
        </w:rPr>
        <w:t>el</w:t>
      </w:r>
      <w:r w:rsidR="00A13BEA" w:rsidRPr="00B924EB">
        <w:rPr>
          <w:lang w:val="es-ES_tradnl"/>
        </w:rPr>
        <w:t xml:space="preserve"> </w:t>
      </w:r>
      <w:r w:rsidR="00C0577F">
        <w:rPr>
          <w:lang w:val="es-ES_tradnl"/>
        </w:rPr>
        <w:t>sistema de acreditación</w:t>
      </w:r>
      <w:r w:rsidR="00863B62" w:rsidRPr="00B924EB">
        <w:rPr>
          <w:lang w:val="es-ES_tradnl"/>
        </w:rPr>
        <w:t>,</w:t>
      </w:r>
      <w:r w:rsidR="00A13BEA" w:rsidRPr="00B924EB">
        <w:rPr>
          <w:lang w:val="es-ES_tradnl"/>
        </w:rPr>
        <w:t xml:space="preserve"> </w:t>
      </w:r>
      <w:r w:rsidR="00E26F0F" w:rsidRPr="00B924EB">
        <w:rPr>
          <w:lang w:val="es-ES_tradnl"/>
        </w:rPr>
        <w:t>incluyendo</w:t>
      </w:r>
      <w:r w:rsidR="00A13BEA" w:rsidRPr="00B924EB">
        <w:rPr>
          <w:lang w:val="es-ES_tradnl"/>
        </w:rPr>
        <w:t xml:space="preserve"> </w:t>
      </w:r>
      <w:r w:rsidR="002A6AEB">
        <w:rPr>
          <w:lang w:val="es-ES_tradnl"/>
        </w:rPr>
        <w:t xml:space="preserve">talleres </w:t>
      </w:r>
      <w:r w:rsidR="00B51D4F">
        <w:rPr>
          <w:lang w:val="es-ES_tradnl"/>
        </w:rPr>
        <w:t xml:space="preserve">para </w:t>
      </w:r>
      <w:r w:rsidR="0027777D">
        <w:rPr>
          <w:lang w:val="es-ES_tradnl"/>
        </w:rPr>
        <w:t>supervisores</w:t>
      </w:r>
      <w:r w:rsidR="00A13BEA" w:rsidRPr="00B924EB">
        <w:rPr>
          <w:lang w:val="es-ES_tradnl"/>
        </w:rPr>
        <w:t xml:space="preserve"> </w:t>
      </w:r>
      <w:r w:rsidR="0027777D">
        <w:rPr>
          <w:lang w:val="es-ES_tradnl"/>
        </w:rPr>
        <w:t>d</w:t>
      </w:r>
      <w:r w:rsidR="00055F50" w:rsidRPr="00B924EB">
        <w:rPr>
          <w:lang w:val="es-ES_tradnl"/>
        </w:rPr>
        <w:t xml:space="preserve">el </w:t>
      </w:r>
      <w:r w:rsidR="009D2390">
        <w:rPr>
          <w:lang w:val="es-ES_tradnl"/>
        </w:rPr>
        <w:t>Ministerio del Medio Ambiente</w:t>
      </w:r>
      <w:r w:rsidR="00A13BEA" w:rsidRPr="00B924EB">
        <w:rPr>
          <w:lang w:val="es-ES_tradnl"/>
        </w:rPr>
        <w:t xml:space="preserve"> </w:t>
      </w:r>
      <w:r w:rsidR="00755C5D" w:rsidRPr="00B924EB">
        <w:rPr>
          <w:lang w:val="es-ES_tradnl"/>
        </w:rPr>
        <w:t>y</w:t>
      </w:r>
      <w:r w:rsidR="00A13BEA" w:rsidRPr="00B924EB">
        <w:rPr>
          <w:lang w:val="es-ES_tradnl"/>
        </w:rPr>
        <w:t xml:space="preserve"> </w:t>
      </w:r>
      <w:r w:rsidR="009374DA" w:rsidRPr="00B924EB">
        <w:rPr>
          <w:lang w:val="es-ES_tradnl"/>
        </w:rPr>
        <w:t>talleres</w:t>
      </w:r>
      <w:r w:rsidR="00A13BEA" w:rsidRPr="00B924EB">
        <w:rPr>
          <w:lang w:val="es-ES_tradnl"/>
        </w:rPr>
        <w:t xml:space="preserve"> </w:t>
      </w:r>
      <w:r w:rsidR="008B42D0">
        <w:rPr>
          <w:lang w:val="es-ES_tradnl"/>
        </w:rPr>
        <w:t>para técnicos</w:t>
      </w:r>
      <w:r w:rsidR="00055F50" w:rsidRPr="00B924EB">
        <w:rPr>
          <w:lang w:val="es-ES_tradnl"/>
        </w:rPr>
        <w:t xml:space="preserve"> en refrigeración y climatización</w:t>
      </w:r>
      <w:r w:rsidR="00A13BEA" w:rsidRPr="00B924EB">
        <w:rPr>
          <w:lang w:val="es-ES_tradnl"/>
        </w:rPr>
        <w:t xml:space="preserve"> </w:t>
      </w:r>
      <w:r w:rsidR="000253D3">
        <w:rPr>
          <w:lang w:val="es-ES_tradnl"/>
        </w:rPr>
        <w:t xml:space="preserve">sobre </w:t>
      </w:r>
      <w:r w:rsidR="0062589C">
        <w:rPr>
          <w:lang w:val="es-ES_tradnl"/>
        </w:rPr>
        <w:t xml:space="preserve">la </w:t>
      </w:r>
      <w:r w:rsidR="00006B3A" w:rsidRPr="00006B3A">
        <w:rPr>
          <w:lang w:val="es-ES_tradnl"/>
        </w:rPr>
        <w:t xml:space="preserve">aprobación </w:t>
      </w:r>
      <w:r w:rsidR="00B2327A" w:rsidRPr="00B2327A">
        <w:rPr>
          <w:lang w:val="es-ES_tradnl"/>
        </w:rPr>
        <w:t xml:space="preserve">ambiental </w:t>
      </w:r>
      <w:r w:rsidR="00006B3A">
        <w:rPr>
          <w:lang w:val="es-ES_tradnl"/>
        </w:rPr>
        <w:t xml:space="preserve">de </w:t>
      </w:r>
      <w:r w:rsidR="00006B3A" w:rsidRPr="00006B3A">
        <w:rPr>
          <w:lang w:val="es-ES_tradnl"/>
        </w:rPr>
        <w:t xml:space="preserve">sus actividades </w:t>
      </w:r>
      <w:r w:rsidR="00C33AF2">
        <w:rPr>
          <w:lang w:val="es-ES_tradnl"/>
        </w:rPr>
        <w:t>(</w:t>
      </w:r>
      <w:r w:rsidR="001B6E90" w:rsidRPr="00B924EB">
        <w:rPr>
          <w:lang w:val="es-ES_tradnl"/>
        </w:rPr>
        <w:t>10</w:t>
      </w:r>
      <w:r w:rsidR="009374DA" w:rsidRPr="00B924EB">
        <w:rPr>
          <w:lang w:val="es-ES_tradnl"/>
        </w:rPr>
        <w:t>5.</w:t>
      </w:r>
      <w:r w:rsidR="001B6E90" w:rsidRPr="00B924EB">
        <w:rPr>
          <w:lang w:val="es-ES_tradnl"/>
        </w:rPr>
        <w:t>000</w:t>
      </w:r>
      <w:r w:rsidR="009E64F1" w:rsidRPr="009E64F1">
        <w:rPr>
          <w:lang w:val="es-ES_tradnl"/>
        </w:rPr>
        <w:t xml:space="preserve"> $EUA</w:t>
      </w:r>
      <w:r w:rsidR="001B6E90" w:rsidRPr="00B924EB">
        <w:rPr>
          <w:lang w:val="es-ES_tradnl"/>
        </w:rPr>
        <w:t>)</w:t>
      </w:r>
      <w:r w:rsidR="002627EC" w:rsidRPr="00B924EB">
        <w:rPr>
          <w:lang w:val="es-ES_tradnl"/>
        </w:rPr>
        <w:t>;</w:t>
      </w:r>
    </w:p>
    <w:p w14:paraId="574651AF" w14:textId="402FB11C" w:rsidR="00751BAF" w:rsidRPr="00B924EB" w:rsidRDefault="009374DA" w:rsidP="00751BAF">
      <w:pPr>
        <w:pStyle w:val="Heading2"/>
        <w:rPr>
          <w:lang w:val="es-ES_tradnl"/>
        </w:rPr>
      </w:pPr>
      <w:r w:rsidRPr="00B924EB">
        <w:rPr>
          <w:i/>
          <w:lang w:val="es-ES_tradnl"/>
        </w:rPr>
        <w:t>Capacitación</w:t>
      </w:r>
      <w:r w:rsidR="00751BAF" w:rsidRPr="00B924EB">
        <w:rPr>
          <w:i/>
          <w:lang w:val="es-ES_tradnl"/>
        </w:rPr>
        <w:t>,</w:t>
      </w:r>
      <w:r w:rsidR="00A13BEA" w:rsidRPr="00B924EB">
        <w:rPr>
          <w:i/>
          <w:lang w:val="es-ES_tradnl"/>
        </w:rPr>
        <w:t xml:space="preserve"> </w:t>
      </w:r>
      <w:r w:rsidR="00E26F0F" w:rsidRPr="00B924EB">
        <w:rPr>
          <w:i/>
          <w:lang w:val="es-ES_tradnl"/>
        </w:rPr>
        <w:t>acreditación</w:t>
      </w:r>
      <w:r w:rsidR="00A13BEA" w:rsidRPr="00B924EB">
        <w:rPr>
          <w:i/>
          <w:lang w:val="es-ES_tradnl"/>
        </w:rPr>
        <w:t xml:space="preserve"> </w:t>
      </w:r>
      <w:r w:rsidR="00755C5D" w:rsidRPr="00B924EB">
        <w:rPr>
          <w:i/>
          <w:lang w:val="es-ES_tradnl"/>
        </w:rPr>
        <w:t>y</w:t>
      </w:r>
      <w:r w:rsidR="00A13BEA" w:rsidRPr="00B924EB">
        <w:rPr>
          <w:i/>
          <w:lang w:val="es-ES_tradnl"/>
        </w:rPr>
        <w:t xml:space="preserve"> </w:t>
      </w:r>
      <w:r w:rsidR="001A1006" w:rsidRPr="00B924EB">
        <w:rPr>
          <w:i/>
          <w:lang w:val="es-ES_tradnl"/>
        </w:rPr>
        <w:t>normalización</w:t>
      </w:r>
      <w:r w:rsidR="00A13BEA" w:rsidRPr="00B924EB">
        <w:rPr>
          <w:i/>
          <w:lang w:val="es-ES_tradnl"/>
        </w:rPr>
        <w:t xml:space="preserve"> </w:t>
      </w:r>
      <w:r w:rsidR="000521A3" w:rsidRPr="00B924EB">
        <w:rPr>
          <w:i/>
          <w:lang w:val="es-ES_tradnl"/>
        </w:rPr>
        <w:t>(PNUMA)</w:t>
      </w:r>
      <w:r w:rsidR="00A13BEA" w:rsidRPr="00B924EB">
        <w:rPr>
          <w:i/>
          <w:lang w:val="es-ES_tradnl"/>
        </w:rPr>
        <w:t xml:space="preserve"> </w:t>
      </w:r>
      <w:r w:rsidR="00C33AF2">
        <w:rPr>
          <w:i/>
          <w:lang w:val="es-ES_tradnl"/>
        </w:rPr>
        <w:t>(</w:t>
      </w:r>
      <w:r w:rsidR="00755C5D" w:rsidRPr="00B924EB">
        <w:rPr>
          <w:i/>
          <w:lang w:val="es-ES_tradnl"/>
        </w:rPr>
        <w:t>1.</w:t>
      </w:r>
      <w:r w:rsidR="00751BAF" w:rsidRPr="00B924EB">
        <w:rPr>
          <w:i/>
          <w:lang w:val="es-ES_tradnl"/>
        </w:rPr>
        <w:t>27</w:t>
      </w:r>
      <w:r w:rsidR="00755C5D" w:rsidRPr="00B924EB">
        <w:rPr>
          <w:i/>
          <w:lang w:val="es-ES_tradnl"/>
        </w:rPr>
        <w:t>0.</w:t>
      </w:r>
      <w:r w:rsidR="00751BAF" w:rsidRPr="00B924EB">
        <w:rPr>
          <w:i/>
          <w:lang w:val="es-ES_tradnl"/>
        </w:rPr>
        <w:t>000</w:t>
      </w:r>
      <w:r w:rsidR="004301DD" w:rsidRPr="004301DD">
        <w:rPr>
          <w:i/>
          <w:lang w:val="es-ES_tradnl"/>
        </w:rPr>
        <w:t xml:space="preserve"> $EUA</w:t>
      </w:r>
      <w:r w:rsidR="00751BAF" w:rsidRPr="00B924EB">
        <w:rPr>
          <w:i/>
          <w:lang w:val="es-ES_tradnl"/>
        </w:rPr>
        <w:t>)</w:t>
      </w:r>
      <w:r w:rsidR="00751BAF" w:rsidRPr="00B924EB">
        <w:rPr>
          <w:lang w:val="es-ES_tradnl"/>
        </w:rPr>
        <w:t>:</w:t>
      </w:r>
      <w:r w:rsidR="00A13BEA" w:rsidRPr="00B924EB">
        <w:rPr>
          <w:lang w:val="es-ES_tradnl"/>
        </w:rPr>
        <w:t xml:space="preserve"> </w:t>
      </w:r>
      <w:r w:rsidR="007B1597">
        <w:rPr>
          <w:lang w:val="es-ES_tradnl"/>
        </w:rPr>
        <w:t>Elaboración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3C6F9C">
        <w:rPr>
          <w:lang w:val="es-ES_tradnl"/>
        </w:rPr>
        <w:t>folleto</w:t>
      </w:r>
      <w:r w:rsidR="00751BAF" w:rsidRPr="00B924EB">
        <w:rPr>
          <w:lang w:val="es-ES_tradnl"/>
        </w:rPr>
        <w:t>s,</w:t>
      </w:r>
      <w:r w:rsidR="00A13BEA" w:rsidRPr="00B924EB">
        <w:rPr>
          <w:lang w:val="es-ES_tradnl"/>
        </w:rPr>
        <w:t xml:space="preserve"> </w:t>
      </w:r>
      <w:r w:rsidR="007B1597">
        <w:rPr>
          <w:lang w:val="es-ES_tradnl"/>
        </w:rPr>
        <w:t>manuales de capacitación</w:t>
      </w:r>
      <w:r w:rsidR="00A13BEA" w:rsidRPr="00B924EB">
        <w:rPr>
          <w:lang w:val="es-ES_tradnl"/>
        </w:rPr>
        <w:t xml:space="preserve"> </w:t>
      </w:r>
      <w:r w:rsidR="00755C5D" w:rsidRPr="00B924EB">
        <w:rPr>
          <w:lang w:val="es-ES_tradnl"/>
        </w:rPr>
        <w:t>y</w:t>
      </w:r>
      <w:r w:rsidR="00A13BEA" w:rsidRPr="00B924EB">
        <w:rPr>
          <w:lang w:val="es-ES_tradnl"/>
        </w:rPr>
        <w:t xml:space="preserve"> </w:t>
      </w:r>
      <w:r w:rsidR="00C22B04">
        <w:rPr>
          <w:lang w:val="es-ES_tradnl"/>
        </w:rPr>
        <w:t>referencias electrónicas</w:t>
      </w:r>
      <w:r w:rsidR="00A13BEA" w:rsidRPr="00B924EB">
        <w:rPr>
          <w:lang w:val="es-ES_tradnl"/>
        </w:rPr>
        <w:t xml:space="preserve"> </w:t>
      </w:r>
      <w:r w:rsidR="00BE31AE">
        <w:rPr>
          <w:lang w:val="es-ES_tradnl"/>
        </w:rPr>
        <w:t xml:space="preserve">para el currículum </w:t>
      </w:r>
      <w:r w:rsidR="00294EF4" w:rsidRPr="00294EF4">
        <w:rPr>
          <w:lang w:val="es-ES_tradnl"/>
        </w:rPr>
        <w:t xml:space="preserve">actualizado </w:t>
      </w:r>
      <w:r w:rsidR="00BE31AE">
        <w:rPr>
          <w:lang w:val="es-ES_tradnl"/>
        </w:rPr>
        <w:t>de capacitación</w:t>
      </w:r>
      <w:r w:rsidR="00A13BEA" w:rsidRPr="00B924EB">
        <w:rPr>
          <w:lang w:val="es-ES_tradnl"/>
        </w:rPr>
        <w:t xml:space="preserve"> </w:t>
      </w:r>
      <w:r w:rsidR="00C33AF2">
        <w:rPr>
          <w:lang w:val="es-ES_tradnl"/>
        </w:rPr>
        <w:t>(</w:t>
      </w:r>
      <w:r w:rsidR="00751BAF" w:rsidRPr="00B924EB">
        <w:rPr>
          <w:lang w:val="es-ES_tradnl"/>
        </w:rPr>
        <w:t>6</w:t>
      </w:r>
      <w:r w:rsidR="00755C5D" w:rsidRPr="00B924EB">
        <w:rPr>
          <w:lang w:val="es-ES_tradnl"/>
        </w:rPr>
        <w:t>0.</w:t>
      </w:r>
      <w:r w:rsidR="00751BAF" w:rsidRPr="00B924EB">
        <w:rPr>
          <w:lang w:val="es-ES_tradnl"/>
        </w:rPr>
        <w:t>000</w:t>
      </w:r>
      <w:r w:rsidR="00E31A6C" w:rsidRPr="00E31A6C">
        <w:rPr>
          <w:lang w:val="es-ES_tradnl"/>
        </w:rPr>
        <w:t xml:space="preserve"> $EUA</w:t>
      </w:r>
      <w:r w:rsidR="00751BAF" w:rsidRPr="00B924EB">
        <w:rPr>
          <w:lang w:val="es-ES_tradnl"/>
        </w:rPr>
        <w:t>);</w:t>
      </w:r>
      <w:r w:rsidR="00A13BEA" w:rsidRPr="00B924EB">
        <w:rPr>
          <w:lang w:val="es-ES_tradnl"/>
        </w:rPr>
        <w:t xml:space="preserve"> </w:t>
      </w:r>
      <w:r w:rsidRPr="00B924EB">
        <w:rPr>
          <w:lang w:val="es-ES_tradnl"/>
        </w:rPr>
        <w:t>capacitación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3.</w:t>
      </w:r>
      <w:r w:rsidR="00751BAF" w:rsidRPr="00B924EB">
        <w:rPr>
          <w:lang w:val="es-ES_tradnl"/>
        </w:rPr>
        <w:t>000</w:t>
      </w:r>
      <w:r w:rsidR="00A13BEA" w:rsidRPr="00B924EB">
        <w:rPr>
          <w:lang w:val="es-ES_tradnl"/>
        </w:rPr>
        <w:t xml:space="preserve"> </w:t>
      </w:r>
      <w:r w:rsidR="00E26F0F" w:rsidRPr="00B924EB">
        <w:rPr>
          <w:lang w:val="es-ES_tradnl"/>
        </w:rPr>
        <w:t>técnico</w:t>
      </w:r>
      <w:r w:rsidR="00751BAF" w:rsidRPr="00B924EB">
        <w:rPr>
          <w:lang w:val="es-ES_tradnl"/>
        </w:rPr>
        <w:t>s</w:t>
      </w:r>
      <w:r w:rsidR="00A13BEA" w:rsidRPr="00B924EB">
        <w:rPr>
          <w:lang w:val="es-ES_tradnl"/>
        </w:rPr>
        <w:t xml:space="preserve"> </w:t>
      </w:r>
      <w:r w:rsidR="006903A2" w:rsidRPr="00B924EB">
        <w:rPr>
          <w:lang w:val="es-ES_tradnl"/>
        </w:rPr>
        <w:t>(</w:t>
      </w:r>
      <w:r w:rsidR="006A47A1">
        <w:rPr>
          <w:lang w:val="es-ES_tradnl"/>
        </w:rPr>
        <w:t>elevado a</w:t>
      </w:r>
      <w:r w:rsidR="00A13BEA" w:rsidRPr="00B924EB">
        <w:rPr>
          <w:lang w:val="es-ES_tradnl"/>
        </w:rPr>
        <w:t xml:space="preserve"> </w:t>
      </w:r>
      <w:r w:rsidR="00755C5D" w:rsidRPr="00B924EB">
        <w:rPr>
          <w:lang w:val="es-ES_tradnl"/>
        </w:rPr>
        <w:t>3.</w:t>
      </w:r>
      <w:r w:rsidR="006903A2" w:rsidRPr="00B924EB">
        <w:rPr>
          <w:lang w:val="es-ES_tradnl"/>
        </w:rPr>
        <w:t>100</w:t>
      </w:r>
      <w:r w:rsidR="00A13BEA" w:rsidRPr="00B924EB">
        <w:rPr>
          <w:lang w:val="es-ES_tradnl"/>
        </w:rPr>
        <w:t xml:space="preserve"> </w:t>
      </w:r>
      <w:r w:rsidR="00106E4D">
        <w:rPr>
          <w:lang w:val="es-ES_tradnl"/>
        </w:rPr>
        <w:t>tras conversaciones</w:t>
      </w:r>
      <w:r w:rsidR="006903A2" w:rsidRPr="00B924EB">
        <w:rPr>
          <w:lang w:val="es-ES_tradnl"/>
        </w:rPr>
        <w:t>)</w:t>
      </w:r>
      <w:r w:rsidR="00A13BEA" w:rsidRPr="00B924EB">
        <w:rPr>
          <w:lang w:val="es-ES_tradnl"/>
        </w:rPr>
        <w:t xml:space="preserve"> </w:t>
      </w:r>
      <w:r w:rsidRPr="00B924EB">
        <w:rPr>
          <w:lang w:val="es-ES_tradnl"/>
        </w:rPr>
        <w:t>en</w:t>
      </w:r>
      <w:r w:rsidR="00A13BEA" w:rsidRPr="00B924EB">
        <w:rPr>
          <w:lang w:val="es-ES_tradnl"/>
        </w:rPr>
        <w:t xml:space="preserve"> </w:t>
      </w:r>
      <w:r w:rsidR="003208A7" w:rsidRPr="00B924EB">
        <w:rPr>
          <w:lang w:val="es-ES_tradnl"/>
        </w:rPr>
        <w:t>buenas</w:t>
      </w:r>
      <w:r w:rsidR="00A13BEA" w:rsidRPr="00B924EB">
        <w:rPr>
          <w:lang w:val="es-ES_tradnl"/>
        </w:rPr>
        <w:t xml:space="preserve"> </w:t>
      </w:r>
      <w:r w:rsidR="003208A7" w:rsidRPr="00B924EB">
        <w:rPr>
          <w:lang w:val="es-ES_tradnl"/>
        </w:rPr>
        <w:t>prácticas</w:t>
      </w:r>
      <w:r w:rsidR="00A13BEA" w:rsidRPr="00B924EB">
        <w:rPr>
          <w:lang w:val="es-ES_tradnl"/>
        </w:rPr>
        <w:t xml:space="preserve"> </w:t>
      </w:r>
      <w:r w:rsidR="003208A7" w:rsidRPr="00B924EB">
        <w:rPr>
          <w:lang w:val="es-ES_tradnl"/>
        </w:rPr>
        <w:t>de</w:t>
      </w:r>
      <w:r w:rsidR="00A13BEA" w:rsidRPr="00B924EB">
        <w:rPr>
          <w:lang w:val="es-ES_tradnl"/>
        </w:rPr>
        <w:t xml:space="preserve"> </w:t>
      </w:r>
      <w:r w:rsidR="003208A7" w:rsidRPr="00B924EB">
        <w:rPr>
          <w:lang w:val="es-ES_tradnl"/>
        </w:rPr>
        <w:t>servicio</w:t>
      </w:r>
      <w:r w:rsidR="002E3BA1">
        <w:rPr>
          <w:lang w:val="es-ES_tradnl"/>
        </w:rPr>
        <w:t xml:space="preserve">, </w:t>
      </w:r>
      <w:r w:rsidR="00E26F0F" w:rsidRPr="00B924EB">
        <w:rPr>
          <w:lang w:val="es-ES_tradnl"/>
        </w:rPr>
        <w:t>incluyendo</w:t>
      </w:r>
      <w:r w:rsidR="00A13BEA" w:rsidRPr="00B924EB">
        <w:rPr>
          <w:lang w:val="es-ES_tradnl"/>
        </w:rPr>
        <w:t xml:space="preserve"> </w:t>
      </w:r>
      <w:r w:rsidR="00CB72CE" w:rsidRPr="00B924EB">
        <w:rPr>
          <w:lang w:val="es-ES_tradnl"/>
        </w:rPr>
        <w:t>alternativas</w:t>
      </w:r>
      <w:r w:rsidR="00A13BEA" w:rsidRPr="00B924EB">
        <w:rPr>
          <w:lang w:val="es-ES_tradnl"/>
        </w:rPr>
        <w:t xml:space="preserve"> </w:t>
      </w:r>
      <w:r w:rsidR="00CB72CE" w:rsidRPr="00B924EB">
        <w:rPr>
          <w:lang w:val="es-ES_tradnl"/>
        </w:rPr>
        <w:t>de</w:t>
      </w:r>
      <w:r w:rsidR="00A13BEA" w:rsidRPr="00B924EB">
        <w:rPr>
          <w:lang w:val="es-ES_tradnl"/>
        </w:rPr>
        <w:t xml:space="preserve"> </w:t>
      </w:r>
      <w:r w:rsidR="00CB72CE" w:rsidRPr="00B924EB">
        <w:rPr>
          <w:lang w:val="es-ES_tradnl"/>
        </w:rPr>
        <w:t>bajo</w:t>
      </w:r>
      <w:r w:rsidR="00A13BEA" w:rsidRPr="00B924EB">
        <w:rPr>
          <w:lang w:val="es-ES_tradnl"/>
        </w:rPr>
        <w:t xml:space="preserve"> </w:t>
      </w:r>
      <w:r w:rsidR="00CB72CE" w:rsidRPr="00B924EB">
        <w:rPr>
          <w:lang w:val="es-ES_tradnl"/>
        </w:rPr>
        <w:t>PCA</w:t>
      </w:r>
      <w:r w:rsidR="00A13BEA" w:rsidRPr="00B924EB">
        <w:rPr>
          <w:lang w:val="es-ES_tradnl"/>
        </w:rPr>
        <w:t xml:space="preserve"> </w:t>
      </w:r>
      <w:r w:rsidR="00C33AF2">
        <w:rPr>
          <w:lang w:val="es-ES_tradnl"/>
        </w:rPr>
        <w:t>(</w:t>
      </w:r>
      <w:r w:rsidR="00751BAF" w:rsidRPr="00B924EB">
        <w:rPr>
          <w:lang w:val="es-ES_tradnl"/>
        </w:rPr>
        <w:t>44</w:t>
      </w:r>
      <w:r w:rsidRPr="00B924EB">
        <w:rPr>
          <w:lang w:val="es-ES_tradnl"/>
        </w:rPr>
        <w:t>5.</w:t>
      </w:r>
      <w:r w:rsidR="00751BAF" w:rsidRPr="00B924EB">
        <w:rPr>
          <w:lang w:val="es-ES_tradnl"/>
        </w:rPr>
        <w:t>000</w:t>
      </w:r>
      <w:r w:rsidR="00D63561" w:rsidRPr="00D63561">
        <w:rPr>
          <w:lang w:val="es-ES_tradnl"/>
        </w:rPr>
        <w:t xml:space="preserve"> $EUA</w:t>
      </w:r>
      <w:r w:rsidR="00751BAF" w:rsidRPr="00B924EB">
        <w:rPr>
          <w:lang w:val="es-ES_tradnl"/>
        </w:rPr>
        <w:t>);</w:t>
      </w:r>
      <w:r w:rsidR="00A13BEA" w:rsidRPr="00B924EB">
        <w:rPr>
          <w:lang w:val="es-ES_tradnl"/>
        </w:rPr>
        <w:t xml:space="preserve"> </w:t>
      </w:r>
      <w:r w:rsidR="00D62CE4">
        <w:rPr>
          <w:lang w:val="es-ES_tradnl"/>
        </w:rPr>
        <w:t xml:space="preserve">actualización del </w:t>
      </w:r>
      <w:r w:rsidR="00C0577F">
        <w:rPr>
          <w:lang w:val="es-ES_tradnl"/>
        </w:rPr>
        <w:t>sistema de acreditación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5D1F2F">
        <w:rPr>
          <w:lang w:val="es-ES_tradnl"/>
        </w:rPr>
        <w:t xml:space="preserve">más de </w:t>
      </w:r>
      <w:r w:rsidR="00755C5D" w:rsidRPr="00B924EB">
        <w:rPr>
          <w:lang w:val="es-ES_tradnl"/>
        </w:rPr>
        <w:t>2.</w:t>
      </w:r>
      <w:r w:rsidR="00751BAF" w:rsidRPr="00B924EB">
        <w:rPr>
          <w:lang w:val="es-ES_tradnl"/>
        </w:rPr>
        <w:t>000</w:t>
      </w:r>
      <w:r w:rsidR="00A13BEA" w:rsidRPr="00B924EB">
        <w:rPr>
          <w:lang w:val="es-ES_tradnl"/>
        </w:rPr>
        <w:t xml:space="preserve"> </w:t>
      </w:r>
      <w:r w:rsidR="00E26F0F" w:rsidRPr="00B924EB">
        <w:rPr>
          <w:lang w:val="es-ES_tradnl"/>
        </w:rPr>
        <w:t>técnico</w:t>
      </w:r>
      <w:r w:rsidR="00751BAF" w:rsidRPr="00B924EB">
        <w:rPr>
          <w:lang w:val="es-ES_tradnl"/>
        </w:rPr>
        <w:t>s</w:t>
      </w:r>
      <w:r w:rsidR="00A13BEA" w:rsidRPr="00B924EB">
        <w:rPr>
          <w:lang w:val="es-ES_tradnl"/>
        </w:rPr>
        <w:t xml:space="preserve"> </w:t>
      </w:r>
      <w:r w:rsidR="00681E84">
        <w:rPr>
          <w:lang w:val="es-ES_tradnl"/>
        </w:rPr>
        <w:t>de</w:t>
      </w:r>
      <w:r w:rsidR="00A13BEA" w:rsidRPr="00B924EB">
        <w:rPr>
          <w:lang w:val="es-ES_tradnl"/>
        </w:rPr>
        <w:t xml:space="preserve"> </w:t>
      </w:r>
      <w:r w:rsidR="004A67DD">
        <w:rPr>
          <w:lang w:val="es-ES_tradnl"/>
        </w:rPr>
        <w:t xml:space="preserve">distintos </w:t>
      </w:r>
      <w:r w:rsidR="00755C5D" w:rsidRPr="00B924EB">
        <w:rPr>
          <w:lang w:val="es-ES_tradnl"/>
        </w:rPr>
        <w:t>subsectores</w:t>
      </w:r>
      <w:r w:rsidR="00A13BEA" w:rsidRPr="00B924EB">
        <w:rPr>
          <w:lang w:val="es-ES_tradnl"/>
        </w:rPr>
        <w:t xml:space="preserve"> </w:t>
      </w:r>
      <w:r w:rsidR="00C33AF2">
        <w:rPr>
          <w:lang w:val="es-ES_tradnl"/>
        </w:rPr>
        <w:t>(</w:t>
      </w:r>
      <w:r w:rsidR="00751BAF" w:rsidRPr="00B924EB">
        <w:rPr>
          <w:lang w:val="es-ES_tradnl"/>
        </w:rPr>
        <w:t>46</w:t>
      </w:r>
      <w:r w:rsidRPr="00B924EB">
        <w:rPr>
          <w:lang w:val="es-ES_tradnl"/>
        </w:rPr>
        <w:t>5.</w:t>
      </w:r>
      <w:r w:rsidR="00751BAF" w:rsidRPr="00B924EB">
        <w:rPr>
          <w:lang w:val="es-ES_tradnl"/>
        </w:rPr>
        <w:t>000</w:t>
      </w:r>
      <w:r w:rsidR="002970D3" w:rsidRPr="002970D3">
        <w:rPr>
          <w:lang w:val="es-ES_tradnl"/>
        </w:rPr>
        <w:t xml:space="preserve"> $EUA</w:t>
      </w:r>
      <w:r w:rsidR="00751BAF" w:rsidRPr="00B924EB">
        <w:rPr>
          <w:lang w:val="es-ES_tradnl"/>
        </w:rPr>
        <w:t>);</w:t>
      </w:r>
      <w:r w:rsidR="00A13BEA" w:rsidRPr="00B924EB">
        <w:rPr>
          <w:lang w:val="es-ES_tradnl"/>
        </w:rPr>
        <w:t xml:space="preserve"> </w:t>
      </w:r>
      <w:r w:rsidR="00F26C46" w:rsidRPr="00F26C46">
        <w:rPr>
          <w:lang w:val="es-ES_tradnl"/>
        </w:rPr>
        <w:t xml:space="preserve">programa </w:t>
      </w:r>
      <w:r w:rsidR="00C37416">
        <w:rPr>
          <w:lang w:val="es-ES_tradnl"/>
        </w:rPr>
        <w:t xml:space="preserve">de </w:t>
      </w:r>
      <w:r w:rsidR="00E42707" w:rsidRPr="00E42707">
        <w:rPr>
          <w:lang w:val="es-ES_tradnl"/>
        </w:rPr>
        <w:t>orientación</w:t>
      </w:r>
      <w:r w:rsidR="0026021C" w:rsidRPr="0026021C">
        <w:rPr>
          <w:lang w:val="es-ES_tradnl"/>
        </w:rPr>
        <w:t xml:space="preserve"> </w:t>
      </w:r>
      <w:r w:rsidR="0026021C">
        <w:rPr>
          <w:lang w:val="es-ES_tradnl"/>
        </w:rPr>
        <w:t xml:space="preserve">y </w:t>
      </w:r>
      <w:r w:rsidR="00F26C46">
        <w:rPr>
          <w:lang w:val="es-ES_tradnl"/>
        </w:rPr>
        <w:t xml:space="preserve">capacitación </w:t>
      </w:r>
      <w:r w:rsidR="00DC5029" w:rsidRPr="00DC5029">
        <w:rPr>
          <w:lang w:val="es-ES_tradnl"/>
        </w:rPr>
        <w:t xml:space="preserve">técnica </w:t>
      </w:r>
      <w:r w:rsidR="005226DA">
        <w:rPr>
          <w:lang w:val="es-ES_tradnl"/>
        </w:rPr>
        <w:t>para grandes</w:t>
      </w:r>
      <w:r w:rsidR="00E013B4">
        <w:rPr>
          <w:lang w:val="es-ES_tradnl"/>
        </w:rPr>
        <w:t xml:space="preserve"> usuarios</w:t>
      </w:r>
      <w:r w:rsidR="00055F50" w:rsidRPr="00B924EB">
        <w:rPr>
          <w:lang w:val="es-ES_tradnl"/>
        </w:rPr>
        <w:t xml:space="preserve"> finales</w:t>
      </w:r>
      <w:r w:rsidR="00751BAF" w:rsidRPr="00B924EB">
        <w:rPr>
          <w:lang w:val="es-ES_tradnl"/>
        </w:rPr>
        <w:t>,</w:t>
      </w:r>
      <w:r w:rsidR="00A13BEA" w:rsidRPr="00B924EB">
        <w:rPr>
          <w:lang w:val="es-ES_tradnl"/>
        </w:rPr>
        <w:t xml:space="preserve"> </w:t>
      </w:r>
      <w:r w:rsidR="00EA5AE4">
        <w:rPr>
          <w:lang w:val="es-ES_tradnl"/>
        </w:rPr>
        <w:t>empresas inmobiliarias</w:t>
      </w:r>
      <w:r w:rsidR="00751BAF" w:rsidRPr="00B924EB">
        <w:rPr>
          <w:lang w:val="es-ES_tradnl"/>
        </w:rPr>
        <w:t>,</w:t>
      </w:r>
      <w:r w:rsidR="00A13BEA" w:rsidRPr="00B924EB">
        <w:rPr>
          <w:lang w:val="es-ES_tradnl"/>
        </w:rPr>
        <w:t xml:space="preserve"> </w:t>
      </w:r>
      <w:r w:rsidR="00452F79" w:rsidRPr="00B924EB">
        <w:rPr>
          <w:lang w:val="es-ES_tradnl"/>
        </w:rPr>
        <w:t>consultores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DC030B" w:rsidRPr="00DC030B">
        <w:rPr>
          <w:lang w:val="es-ES_tradnl"/>
        </w:rPr>
        <w:t xml:space="preserve">autoridades </w:t>
      </w:r>
      <w:r w:rsidR="003B3F02">
        <w:rPr>
          <w:lang w:val="es-ES_tradnl"/>
        </w:rPr>
        <w:t>técnicas de nivel gubernamental</w:t>
      </w:r>
      <w:r w:rsidR="00A13BEA" w:rsidRPr="00B924EB">
        <w:rPr>
          <w:lang w:val="es-ES_tradnl"/>
        </w:rPr>
        <w:t xml:space="preserve"> </w:t>
      </w:r>
      <w:r w:rsidR="00DA75C6">
        <w:rPr>
          <w:lang w:val="es-ES_tradnl"/>
        </w:rPr>
        <w:t xml:space="preserve">sobre </w:t>
      </w:r>
      <w:r w:rsidR="00CB72CE" w:rsidRPr="00B924EB">
        <w:rPr>
          <w:lang w:val="es-ES_tradnl"/>
        </w:rPr>
        <w:t>alternativas</w:t>
      </w:r>
      <w:r w:rsidR="00A13BEA" w:rsidRPr="00B924EB">
        <w:rPr>
          <w:lang w:val="es-ES_tradnl"/>
        </w:rPr>
        <w:t xml:space="preserve"> </w:t>
      </w:r>
      <w:r w:rsidR="00CB72CE" w:rsidRPr="00B924EB">
        <w:rPr>
          <w:lang w:val="es-ES_tradnl"/>
        </w:rPr>
        <w:t>de</w:t>
      </w:r>
      <w:r w:rsidR="00A13BEA" w:rsidRPr="00B924EB">
        <w:rPr>
          <w:lang w:val="es-ES_tradnl"/>
        </w:rPr>
        <w:t xml:space="preserve"> </w:t>
      </w:r>
      <w:r w:rsidR="00CB72CE" w:rsidRPr="00B924EB">
        <w:rPr>
          <w:lang w:val="es-ES_tradnl"/>
        </w:rPr>
        <w:t>bajo</w:t>
      </w:r>
      <w:r w:rsidR="00A13BEA" w:rsidRPr="00B924EB">
        <w:rPr>
          <w:lang w:val="es-ES_tradnl"/>
        </w:rPr>
        <w:t xml:space="preserve"> </w:t>
      </w:r>
      <w:r w:rsidR="00CB72CE" w:rsidRPr="00B924EB">
        <w:rPr>
          <w:lang w:val="es-ES_tradnl"/>
        </w:rPr>
        <w:t>PCA</w:t>
      </w:r>
      <w:r w:rsidR="00A13BEA" w:rsidRPr="00B924EB">
        <w:rPr>
          <w:lang w:val="es-ES_tradnl"/>
        </w:rPr>
        <w:t xml:space="preserve"> </w:t>
      </w:r>
      <w:r w:rsidR="00FD167A">
        <w:rPr>
          <w:lang w:val="es-ES_tradnl"/>
        </w:rPr>
        <w:t xml:space="preserve">a los </w:t>
      </w:r>
      <w:r w:rsidR="00E26F0F" w:rsidRPr="00B924EB">
        <w:rPr>
          <w:lang w:val="es-ES_tradnl"/>
        </w:rPr>
        <w:t>HCFC</w:t>
      </w:r>
      <w:r w:rsidR="00A13BEA" w:rsidRPr="00B924EB">
        <w:rPr>
          <w:lang w:val="es-ES_tradnl"/>
        </w:rPr>
        <w:t xml:space="preserve"> </w:t>
      </w:r>
      <w:r w:rsidRPr="00B924EB">
        <w:rPr>
          <w:lang w:val="es-ES_tradnl"/>
        </w:rPr>
        <w:t>en</w:t>
      </w:r>
      <w:r w:rsidR="00A13BEA" w:rsidRPr="00B924EB">
        <w:rPr>
          <w:lang w:val="es-ES_tradnl"/>
        </w:rPr>
        <w:t xml:space="preserve"> </w:t>
      </w:r>
      <w:r w:rsidR="00D47720">
        <w:rPr>
          <w:lang w:val="es-ES_tradnl"/>
        </w:rPr>
        <w:t>diversas aplicaci</w:t>
      </w:r>
      <w:r w:rsidR="00352FE1">
        <w:rPr>
          <w:lang w:val="es-ES_tradnl"/>
        </w:rPr>
        <w:t xml:space="preserve">ones </w:t>
      </w:r>
      <w:r w:rsidR="00C33AF2">
        <w:rPr>
          <w:lang w:val="es-ES_tradnl"/>
        </w:rPr>
        <w:t>(</w:t>
      </w:r>
      <w:r w:rsidR="00751BAF" w:rsidRPr="00B924EB">
        <w:rPr>
          <w:lang w:val="es-ES_tradnl"/>
        </w:rPr>
        <w:t>30</w:t>
      </w:r>
      <w:r w:rsidR="00755C5D" w:rsidRPr="00B924EB">
        <w:rPr>
          <w:lang w:val="es-ES_tradnl"/>
        </w:rPr>
        <w:t>0.</w:t>
      </w:r>
      <w:r w:rsidR="00751BAF" w:rsidRPr="00B924EB">
        <w:rPr>
          <w:lang w:val="es-ES_tradnl"/>
        </w:rPr>
        <w:t>000</w:t>
      </w:r>
      <w:r w:rsidR="00831D97" w:rsidRPr="00831D97">
        <w:rPr>
          <w:lang w:val="es-ES_tradnl"/>
        </w:rPr>
        <w:t xml:space="preserve"> $EUA</w:t>
      </w:r>
      <w:r w:rsidR="001C6D6F" w:rsidRPr="00B924EB">
        <w:rPr>
          <w:lang w:val="es-ES_tradnl"/>
        </w:rPr>
        <w:t>);</w:t>
      </w:r>
    </w:p>
    <w:p w14:paraId="3FB88B0E" w14:textId="232D4D4A" w:rsidR="00751BAF" w:rsidRPr="00B924EB" w:rsidRDefault="00C3546E" w:rsidP="003A3217">
      <w:pPr>
        <w:pStyle w:val="Heading2"/>
        <w:rPr>
          <w:sz w:val="24"/>
          <w:lang w:val="es-ES_tradnl"/>
        </w:rPr>
      </w:pPr>
      <w:r>
        <w:rPr>
          <w:i/>
          <w:lang w:val="es-ES_tradnl"/>
        </w:rPr>
        <w:t>Asistencia al sector servicio técnico</w:t>
      </w:r>
      <w:r w:rsidR="00A13BEA" w:rsidRPr="00B924EB">
        <w:rPr>
          <w:i/>
          <w:lang w:val="es-ES_tradnl"/>
        </w:rPr>
        <w:t xml:space="preserve"> </w:t>
      </w:r>
      <w:r w:rsidR="000521A3" w:rsidRPr="00B924EB">
        <w:rPr>
          <w:i/>
          <w:lang w:val="es-ES_tradnl"/>
        </w:rPr>
        <w:t>(ONUDI)</w:t>
      </w:r>
      <w:r w:rsidR="00A13BEA" w:rsidRPr="00B924EB">
        <w:rPr>
          <w:i/>
          <w:lang w:val="es-ES_tradnl"/>
        </w:rPr>
        <w:t xml:space="preserve"> </w:t>
      </w:r>
      <w:r w:rsidR="009801B8">
        <w:rPr>
          <w:i/>
          <w:lang w:val="es-ES_tradnl"/>
        </w:rPr>
        <w:t>(</w:t>
      </w:r>
      <w:r w:rsidR="00751BAF" w:rsidRPr="00B924EB">
        <w:rPr>
          <w:i/>
          <w:lang w:val="es-ES_tradnl"/>
        </w:rPr>
        <w:t>8</w:t>
      </w:r>
      <w:r w:rsidR="008E2190" w:rsidRPr="00B924EB">
        <w:rPr>
          <w:i/>
          <w:lang w:val="es-ES_tradnl"/>
        </w:rPr>
        <w:t>2</w:t>
      </w:r>
      <w:r w:rsidR="00755C5D" w:rsidRPr="00B924EB">
        <w:rPr>
          <w:i/>
          <w:lang w:val="es-ES_tradnl"/>
        </w:rPr>
        <w:t>0.</w:t>
      </w:r>
      <w:r w:rsidR="00751BAF" w:rsidRPr="00B924EB">
        <w:rPr>
          <w:i/>
          <w:lang w:val="es-ES_tradnl"/>
        </w:rPr>
        <w:t>000</w:t>
      </w:r>
      <w:r w:rsidR="00C33AF2" w:rsidRPr="00C33AF2">
        <w:rPr>
          <w:i/>
          <w:lang w:val="es-ES_tradnl"/>
        </w:rPr>
        <w:t xml:space="preserve"> $EUA</w:t>
      </w:r>
      <w:r w:rsidR="00751BAF" w:rsidRPr="00B924EB">
        <w:rPr>
          <w:i/>
          <w:lang w:val="es-ES_tradnl"/>
        </w:rPr>
        <w:t>)</w:t>
      </w:r>
      <w:r w:rsidR="00751BAF" w:rsidRPr="00B924EB">
        <w:rPr>
          <w:lang w:val="es-ES_tradnl"/>
        </w:rPr>
        <w:t>:</w:t>
      </w:r>
      <w:r w:rsidR="00A13BEA" w:rsidRPr="00B924EB">
        <w:rPr>
          <w:lang w:val="es-ES_tradnl"/>
        </w:rPr>
        <w:t xml:space="preserve"> </w:t>
      </w:r>
      <w:r w:rsidR="002671A6" w:rsidRPr="00B924EB">
        <w:rPr>
          <w:lang w:val="es-ES_tradnl"/>
        </w:rPr>
        <w:t xml:space="preserve">Distribución </w:t>
      </w:r>
      <w:r w:rsidR="00755C5D" w:rsidRPr="00B924EB">
        <w:rPr>
          <w:lang w:val="es-ES_tradnl"/>
        </w:rPr>
        <w:t>de</w:t>
      </w:r>
      <w:r w:rsidR="00A13BEA" w:rsidRPr="00B924EB">
        <w:rPr>
          <w:lang w:val="es-ES_tradnl"/>
        </w:rPr>
        <w:t xml:space="preserve"> </w:t>
      </w:r>
      <w:r w:rsidR="00751BAF" w:rsidRPr="00B924EB">
        <w:rPr>
          <w:lang w:val="es-ES_tradnl"/>
        </w:rPr>
        <w:t>6</w:t>
      </w:r>
      <w:r w:rsidR="008E2190" w:rsidRPr="00B924EB">
        <w:rPr>
          <w:lang w:val="es-ES_tradnl"/>
        </w:rPr>
        <w:t>5</w:t>
      </w:r>
      <w:r w:rsidR="00751BAF" w:rsidRPr="00B924EB">
        <w:rPr>
          <w:lang w:val="es-ES_tradnl"/>
        </w:rPr>
        <w:t>0</w:t>
      </w:r>
      <w:r w:rsidR="00A13BEA" w:rsidRPr="00B924EB">
        <w:rPr>
          <w:lang w:val="es-ES_tradnl"/>
        </w:rPr>
        <w:t xml:space="preserve"> </w:t>
      </w:r>
      <w:r w:rsidR="00606801">
        <w:rPr>
          <w:lang w:val="es-ES_tradnl"/>
        </w:rPr>
        <w:t xml:space="preserve">juegos </w:t>
      </w:r>
      <w:r w:rsidR="00606801">
        <w:rPr>
          <w:lang w:val="es-ES_tradnl"/>
        </w:rPr>
        <w:lastRenderedPageBreak/>
        <w:t>de herramientas</w:t>
      </w:r>
      <w:r w:rsidR="00751BAF" w:rsidRPr="00B924EB">
        <w:rPr>
          <w:rStyle w:val="FootnoteReference"/>
          <w:color w:val="000000"/>
          <w:szCs w:val="20"/>
          <w:lang w:val="es-ES_tradnl"/>
        </w:rPr>
        <w:footnoteReference w:id="9"/>
      </w:r>
      <w:r w:rsidR="00A13BEA" w:rsidRPr="00B924EB">
        <w:rPr>
          <w:lang w:val="es-ES_tradnl"/>
        </w:rPr>
        <w:t xml:space="preserve"> </w:t>
      </w:r>
      <w:r w:rsidR="00B14D7A" w:rsidRPr="00B924EB">
        <w:rPr>
          <w:lang w:val="es-ES_tradnl"/>
        </w:rPr>
        <w:t>(</w:t>
      </w:r>
      <w:r w:rsidR="006A47A1">
        <w:rPr>
          <w:lang w:val="es-ES_tradnl"/>
        </w:rPr>
        <w:t>elevado a</w:t>
      </w:r>
      <w:r w:rsidR="00A13BEA" w:rsidRPr="00B924EB">
        <w:rPr>
          <w:lang w:val="es-ES_tradnl"/>
        </w:rPr>
        <w:t xml:space="preserve"> </w:t>
      </w:r>
      <w:r w:rsidR="00B14D7A" w:rsidRPr="00B924EB">
        <w:rPr>
          <w:lang w:val="es-ES_tradnl"/>
        </w:rPr>
        <w:t>750</w:t>
      </w:r>
      <w:r w:rsidR="00A13BEA" w:rsidRPr="00B924EB">
        <w:rPr>
          <w:lang w:val="es-ES_tradnl"/>
        </w:rPr>
        <w:t xml:space="preserve"> </w:t>
      </w:r>
      <w:r w:rsidR="00106E4D">
        <w:rPr>
          <w:lang w:val="es-ES_tradnl"/>
        </w:rPr>
        <w:t>tras conversaciones</w:t>
      </w:r>
      <w:r w:rsidR="00B14D7A" w:rsidRPr="00B924EB">
        <w:rPr>
          <w:lang w:val="es-ES_tradnl"/>
        </w:rPr>
        <w:t>)</w:t>
      </w:r>
      <w:r w:rsidR="00A13BEA" w:rsidRPr="00B924EB">
        <w:rPr>
          <w:lang w:val="es-ES_tradnl"/>
        </w:rPr>
        <w:t xml:space="preserve"> </w:t>
      </w:r>
      <w:r w:rsidR="00BA25A9">
        <w:rPr>
          <w:lang w:val="es-ES_tradnl"/>
        </w:rPr>
        <w:t xml:space="preserve">para </w:t>
      </w:r>
      <w:r w:rsidR="003B573A">
        <w:rPr>
          <w:lang w:val="es-ES_tradnl"/>
        </w:rPr>
        <w:t>pequeños y medianos talleres</w:t>
      </w:r>
      <w:r w:rsidR="00BA25A9">
        <w:rPr>
          <w:lang w:val="es-ES_tradnl"/>
        </w:rPr>
        <w:t xml:space="preserve"> </w:t>
      </w:r>
      <w:r w:rsidR="00493478">
        <w:rPr>
          <w:lang w:val="es-ES_tradnl"/>
        </w:rPr>
        <w:t xml:space="preserve">a fin de promover </w:t>
      </w:r>
      <w:r w:rsidR="00E74272" w:rsidRPr="00B924EB">
        <w:rPr>
          <w:lang w:val="es-ES_tradnl"/>
        </w:rPr>
        <w:t>buenas</w:t>
      </w:r>
      <w:r w:rsidR="00A13BEA" w:rsidRPr="00B924EB">
        <w:rPr>
          <w:lang w:val="es-ES_tradnl"/>
        </w:rPr>
        <w:t xml:space="preserve"> </w:t>
      </w:r>
      <w:r w:rsidR="00E74272" w:rsidRPr="00B924EB">
        <w:rPr>
          <w:lang w:val="es-ES_tradnl"/>
        </w:rPr>
        <w:t>prácticas</w:t>
      </w:r>
      <w:r w:rsidR="00A13BEA" w:rsidRPr="00B924EB">
        <w:rPr>
          <w:lang w:val="es-ES_tradnl"/>
        </w:rPr>
        <w:t xml:space="preserve"> </w:t>
      </w:r>
      <w:r w:rsidR="009374DA" w:rsidRPr="00B924EB">
        <w:rPr>
          <w:lang w:val="es-ES_tradnl"/>
        </w:rPr>
        <w:t>en</w:t>
      </w:r>
      <w:r w:rsidR="00A13BEA" w:rsidRPr="00B924EB">
        <w:rPr>
          <w:lang w:val="es-ES_tradnl"/>
        </w:rPr>
        <w:t xml:space="preserve"> </w:t>
      </w:r>
      <w:r w:rsidR="00755C5D" w:rsidRPr="00B924EB">
        <w:rPr>
          <w:lang w:val="es-ES_tradnl"/>
        </w:rPr>
        <w:t>refrigeración</w:t>
      </w:r>
      <w:r w:rsidR="00A13BEA" w:rsidRPr="00B924EB">
        <w:rPr>
          <w:lang w:val="es-ES_tradnl"/>
        </w:rPr>
        <w:t xml:space="preserve"> </w:t>
      </w:r>
      <w:r w:rsidR="00C56FDE">
        <w:rPr>
          <w:lang w:val="es-ES_tradnl"/>
        </w:rPr>
        <w:t>(</w:t>
      </w:r>
      <w:r w:rsidR="008E2190" w:rsidRPr="00B924EB">
        <w:rPr>
          <w:lang w:val="es-ES_tradnl"/>
        </w:rPr>
        <w:t>76</w:t>
      </w:r>
      <w:r w:rsidR="00755C5D" w:rsidRPr="00B924EB">
        <w:rPr>
          <w:lang w:val="es-ES_tradnl"/>
        </w:rPr>
        <w:t>0.</w:t>
      </w:r>
      <w:r w:rsidR="00751BAF" w:rsidRPr="00B924EB">
        <w:rPr>
          <w:lang w:val="es-ES_tradnl"/>
        </w:rPr>
        <w:t>000</w:t>
      </w:r>
      <w:r w:rsidR="009801B8" w:rsidRPr="009801B8">
        <w:rPr>
          <w:lang w:val="es-ES_tradnl"/>
        </w:rPr>
        <w:t xml:space="preserve"> $EUA</w:t>
      </w:r>
      <w:r w:rsidR="00751BAF" w:rsidRPr="00B924EB">
        <w:rPr>
          <w:lang w:val="es-ES_tradnl"/>
        </w:rPr>
        <w:t>);</w:t>
      </w:r>
      <w:r w:rsidR="00A13BEA" w:rsidRPr="00B924EB">
        <w:rPr>
          <w:lang w:val="es-ES_tradnl"/>
        </w:rPr>
        <w:t xml:space="preserve"> </w:t>
      </w:r>
      <w:r w:rsidR="009374DA" w:rsidRPr="00B924EB">
        <w:rPr>
          <w:lang w:val="es-ES_tradnl"/>
        </w:rPr>
        <w:t>asistencia</w:t>
      </w:r>
      <w:r w:rsidR="00A13BEA" w:rsidRPr="00B924EB">
        <w:rPr>
          <w:lang w:val="es-ES_tradnl"/>
        </w:rPr>
        <w:t xml:space="preserve"> </w:t>
      </w:r>
      <w:r w:rsidR="00123B8D">
        <w:rPr>
          <w:lang w:val="es-ES_tradnl"/>
        </w:rPr>
        <w:t xml:space="preserve">a </w:t>
      </w:r>
      <w:r w:rsidR="00755C5D" w:rsidRPr="00B924EB">
        <w:rPr>
          <w:lang w:val="es-ES_tradnl"/>
        </w:rPr>
        <w:t>tres</w:t>
      </w:r>
      <w:r w:rsidR="00A13BEA" w:rsidRPr="00B924EB">
        <w:rPr>
          <w:lang w:val="es-ES_tradnl"/>
        </w:rPr>
        <w:t xml:space="preserve"> </w:t>
      </w:r>
      <w:r w:rsidR="00C75FF5">
        <w:rPr>
          <w:lang w:val="es-ES_tradnl"/>
        </w:rPr>
        <w:t>centros de recuperación</w:t>
      </w:r>
      <w:r w:rsidR="00A13BEA" w:rsidRPr="00B924EB">
        <w:rPr>
          <w:lang w:val="es-ES_tradnl"/>
        </w:rPr>
        <w:t xml:space="preserve"> </w:t>
      </w:r>
      <w:r w:rsidR="00E55856">
        <w:rPr>
          <w:lang w:val="es-ES_tradnl"/>
        </w:rPr>
        <w:t xml:space="preserve">para </w:t>
      </w:r>
      <w:r w:rsidR="00945790">
        <w:rPr>
          <w:lang w:val="es-ES_tradnl"/>
        </w:rPr>
        <w:t>desarrollar</w:t>
      </w:r>
      <w:r w:rsidR="00A13BEA" w:rsidRPr="00B924EB">
        <w:rPr>
          <w:lang w:val="es-ES_tradnl"/>
        </w:rPr>
        <w:t xml:space="preserve"> </w:t>
      </w:r>
      <w:r w:rsidR="002445DA">
        <w:rPr>
          <w:lang w:val="es-ES_tradnl"/>
        </w:rPr>
        <w:t xml:space="preserve">un </w:t>
      </w:r>
      <w:r w:rsidR="00B924EB">
        <w:rPr>
          <w:lang w:val="es-ES_tradnl"/>
        </w:rPr>
        <w:t>modelo de negocios</w:t>
      </w:r>
      <w:r w:rsidR="00A13BEA" w:rsidRPr="00B924EB">
        <w:rPr>
          <w:lang w:val="es-ES_tradnl"/>
        </w:rPr>
        <w:t xml:space="preserve"> </w:t>
      </w:r>
      <w:r w:rsidR="0098109D">
        <w:rPr>
          <w:lang w:val="es-ES_tradnl"/>
        </w:rPr>
        <w:t>autosustentable</w:t>
      </w:r>
      <w:r w:rsidR="009C7340">
        <w:rPr>
          <w:lang w:val="es-ES_tradnl"/>
        </w:rPr>
        <w:t xml:space="preserve"> </w:t>
      </w:r>
      <w:r w:rsidR="00C56FDE">
        <w:rPr>
          <w:lang w:val="es-ES_tradnl"/>
        </w:rPr>
        <w:t>(</w:t>
      </w:r>
      <w:r w:rsidR="00751BAF" w:rsidRPr="00B924EB">
        <w:rPr>
          <w:lang w:val="es-ES_tradnl"/>
        </w:rPr>
        <w:t>3</w:t>
      </w:r>
      <w:r w:rsidR="00755C5D" w:rsidRPr="00B924EB">
        <w:rPr>
          <w:lang w:val="es-ES_tradnl"/>
        </w:rPr>
        <w:t>0.</w:t>
      </w:r>
      <w:r w:rsidR="00751BAF" w:rsidRPr="00B924EB">
        <w:rPr>
          <w:lang w:val="es-ES_tradnl"/>
        </w:rPr>
        <w:t>000</w:t>
      </w:r>
      <w:r w:rsidR="005E5348" w:rsidRPr="005E5348">
        <w:rPr>
          <w:lang w:val="es-ES_tradnl"/>
        </w:rPr>
        <w:t xml:space="preserve"> $EUA</w:t>
      </w:r>
      <w:r w:rsidR="00751BAF" w:rsidRPr="00B924EB">
        <w:rPr>
          <w:lang w:val="es-ES_tradnl"/>
        </w:rPr>
        <w:t>);</w:t>
      </w:r>
      <w:r w:rsidR="00A13BEA" w:rsidRPr="00B924EB">
        <w:rPr>
          <w:lang w:val="es-ES_tradnl"/>
        </w:rPr>
        <w:t xml:space="preserve"> </w:t>
      </w:r>
      <w:r w:rsidR="001A1006" w:rsidRPr="00B924EB">
        <w:rPr>
          <w:lang w:val="es-ES_tradnl"/>
        </w:rPr>
        <w:t>organización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cinco</w:t>
      </w:r>
      <w:r w:rsidR="00A13BEA" w:rsidRPr="00B924EB">
        <w:rPr>
          <w:lang w:val="es-ES_tradnl"/>
        </w:rPr>
        <w:t xml:space="preserve"> </w:t>
      </w:r>
      <w:r w:rsidR="009374DA" w:rsidRPr="00B924EB">
        <w:rPr>
          <w:lang w:val="es-ES_tradnl"/>
        </w:rPr>
        <w:t>talleres</w:t>
      </w:r>
      <w:r w:rsidR="00A13BEA" w:rsidRPr="00B924EB">
        <w:rPr>
          <w:lang w:val="es-ES_tradnl"/>
        </w:rPr>
        <w:t xml:space="preserve"> </w:t>
      </w:r>
      <w:r w:rsidR="00CA2177">
        <w:rPr>
          <w:lang w:val="es-ES_tradnl"/>
        </w:rPr>
        <w:t xml:space="preserve">de </w:t>
      </w:r>
      <w:r w:rsidR="00F51E19" w:rsidRPr="00F51E19">
        <w:rPr>
          <w:lang w:val="es-ES_tradnl"/>
        </w:rPr>
        <w:t xml:space="preserve">orientación </w:t>
      </w:r>
      <w:r w:rsidR="00CA2177">
        <w:rPr>
          <w:lang w:val="es-ES_tradnl"/>
        </w:rPr>
        <w:t xml:space="preserve">para </w:t>
      </w:r>
      <w:r w:rsidR="00E013B4">
        <w:rPr>
          <w:lang w:val="es-ES_tradnl"/>
        </w:rPr>
        <w:t>grandes usuarios</w:t>
      </w:r>
      <w:r w:rsidR="00055F50" w:rsidRPr="00B924EB">
        <w:rPr>
          <w:lang w:val="es-ES_tradnl"/>
        </w:rPr>
        <w:t xml:space="preserve"> finales</w:t>
      </w:r>
      <w:r w:rsidR="00A13BEA" w:rsidRPr="00B924EB">
        <w:rPr>
          <w:lang w:val="es-ES_tradnl"/>
        </w:rPr>
        <w:t xml:space="preserve"> </w:t>
      </w:r>
      <w:r w:rsidR="00C56FDE">
        <w:rPr>
          <w:lang w:val="es-ES_tradnl"/>
        </w:rPr>
        <w:t>(</w:t>
      </w:r>
      <w:r w:rsidR="00751BAF" w:rsidRPr="00B924EB">
        <w:rPr>
          <w:lang w:val="es-ES_tradnl"/>
        </w:rPr>
        <w:t>3</w:t>
      </w:r>
      <w:r w:rsidR="00755C5D" w:rsidRPr="00B924EB">
        <w:rPr>
          <w:lang w:val="es-ES_tradnl"/>
        </w:rPr>
        <w:t>0.</w:t>
      </w:r>
      <w:r w:rsidR="00751BAF" w:rsidRPr="00B924EB">
        <w:rPr>
          <w:lang w:val="es-ES_tradnl"/>
        </w:rPr>
        <w:t>000</w:t>
      </w:r>
      <w:r w:rsidR="00645B8F" w:rsidRPr="00645B8F">
        <w:rPr>
          <w:lang w:val="es-ES_tradnl"/>
        </w:rPr>
        <w:t xml:space="preserve"> $EUA</w:t>
      </w:r>
      <w:r w:rsidR="00751BAF" w:rsidRPr="00B924EB">
        <w:rPr>
          <w:lang w:val="es-ES_tradnl"/>
        </w:rPr>
        <w:t>);</w:t>
      </w:r>
      <w:r w:rsidR="00A13BEA" w:rsidRPr="00B924EB">
        <w:rPr>
          <w:lang w:val="es-ES_tradnl"/>
        </w:rPr>
        <w:t xml:space="preserve"> </w:t>
      </w:r>
      <w:r w:rsidR="00755C5D" w:rsidRPr="00B924EB">
        <w:rPr>
          <w:lang w:val="es-ES_tradnl"/>
        </w:rPr>
        <w:t>y</w:t>
      </w:r>
    </w:p>
    <w:p w14:paraId="25BB61D1" w14:textId="08FCF87D" w:rsidR="008F142C" w:rsidRPr="00B924EB" w:rsidRDefault="009374DA" w:rsidP="00605657">
      <w:pPr>
        <w:pStyle w:val="Heading2"/>
        <w:rPr>
          <w:lang w:val="es-ES_tradnl"/>
        </w:rPr>
      </w:pPr>
      <w:r w:rsidRPr="00B924EB">
        <w:rPr>
          <w:i/>
          <w:lang w:val="es-ES_tradnl"/>
        </w:rPr>
        <w:t>Asistencia</w:t>
      </w:r>
      <w:r w:rsidR="00A13BEA" w:rsidRPr="00B924EB">
        <w:rPr>
          <w:i/>
          <w:lang w:val="es-ES_tradnl"/>
        </w:rPr>
        <w:t xml:space="preserve"> </w:t>
      </w:r>
      <w:r w:rsidRPr="00B924EB">
        <w:rPr>
          <w:i/>
          <w:lang w:val="es-ES_tradnl"/>
        </w:rPr>
        <w:t>técnica</w:t>
      </w:r>
      <w:r w:rsidR="00A13BEA" w:rsidRPr="00B924EB">
        <w:rPr>
          <w:i/>
          <w:lang w:val="es-ES_tradnl"/>
        </w:rPr>
        <w:t xml:space="preserve"> </w:t>
      </w:r>
      <w:r w:rsidR="00680026">
        <w:rPr>
          <w:i/>
          <w:lang w:val="es-ES_tradnl"/>
        </w:rPr>
        <w:t>a</w:t>
      </w:r>
      <w:r w:rsidR="00A13BEA" w:rsidRPr="00B924EB">
        <w:rPr>
          <w:i/>
          <w:lang w:val="es-ES_tradnl"/>
        </w:rPr>
        <w:t xml:space="preserve"> </w:t>
      </w:r>
      <w:r w:rsidR="004135A5" w:rsidRPr="00B924EB">
        <w:rPr>
          <w:i/>
          <w:lang w:val="es-ES_tradnl"/>
        </w:rPr>
        <w:t>un</w:t>
      </w:r>
      <w:r w:rsidR="00A13BEA" w:rsidRPr="00B924EB">
        <w:rPr>
          <w:i/>
          <w:lang w:val="es-ES_tradnl"/>
        </w:rPr>
        <w:t xml:space="preserve"> </w:t>
      </w:r>
      <w:r w:rsidR="00E74272" w:rsidRPr="00B924EB">
        <w:rPr>
          <w:i/>
          <w:lang w:val="es-ES_tradnl"/>
        </w:rPr>
        <w:t>fabricante</w:t>
      </w:r>
      <w:r w:rsidR="00A13BEA" w:rsidRPr="00B924EB">
        <w:rPr>
          <w:i/>
          <w:lang w:val="es-ES_tradnl"/>
        </w:rPr>
        <w:t xml:space="preserve"> </w:t>
      </w:r>
      <w:r w:rsidR="000521A3" w:rsidRPr="00B924EB">
        <w:rPr>
          <w:i/>
          <w:lang w:val="es-ES_tradnl"/>
        </w:rPr>
        <w:t>(ONUDI)</w:t>
      </w:r>
      <w:r w:rsidR="00A13BEA" w:rsidRPr="00B924EB">
        <w:rPr>
          <w:i/>
          <w:lang w:val="es-ES_tradnl"/>
        </w:rPr>
        <w:t xml:space="preserve"> </w:t>
      </w:r>
      <w:r w:rsidR="00C56FDE">
        <w:rPr>
          <w:i/>
          <w:lang w:val="es-ES_tradnl"/>
        </w:rPr>
        <w:t>(</w:t>
      </w:r>
      <w:r w:rsidR="001B6E90" w:rsidRPr="00B924EB">
        <w:rPr>
          <w:i/>
          <w:lang w:val="es-ES_tradnl"/>
        </w:rPr>
        <w:t>3</w:t>
      </w:r>
      <w:r w:rsidR="00755C5D" w:rsidRPr="00B924EB">
        <w:rPr>
          <w:i/>
          <w:lang w:val="es-ES_tradnl"/>
        </w:rPr>
        <w:t>0.</w:t>
      </w:r>
      <w:r w:rsidR="001B6E90" w:rsidRPr="00B924EB">
        <w:rPr>
          <w:i/>
          <w:lang w:val="es-ES_tradnl"/>
        </w:rPr>
        <w:t>000</w:t>
      </w:r>
      <w:r w:rsidR="003B3993" w:rsidRPr="003B3993">
        <w:rPr>
          <w:i/>
          <w:lang w:val="es-ES_tradnl"/>
        </w:rPr>
        <w:t xml:space="preserve"> $EUA</w:t>
      </w:r>
      <w:r w:rsidR="001B6E90" w:rsidRPr="00B924EB">
        <w:rPr>
          <w:i/>
          <w:lang w:val="es-ES_tradnl"/>
        </w:rPr>
        <w:t>)</w:t>
      </w:r>
      <w:r w:rsidR="00E472AC" w:rsidRPr="00B924EB">
        <w:rPr>
          <w:lang w:val="es-ES_tradnl"/>
        </w:rPr>
        <w:t>:</w:t>
      </w:r>
      <w:r w:rsidR="00A13BEA" w:rsidRPr="00B924EB">
        <w:rPr>
          <w:lang w:val="es-ES_tradnl"/>
        </w:rPr>
        <w:t xml:space="preserve"> </w:t>
      </w:r>
      <w:r w:rsidR="002D2BA8">
        <w:rPr>
          <w:lang w:val="es-ES_tradnl"/>
        </w:rPr>
        <w:t>Ayuda</w:t>
      </w:r>
      <w:r w:rsidR="00840C23" w:rsidRPr="00B924EB">
        <w:rPr>
          <w:lang w:val="es-ES_tradnl"/>
        </w:rPr>
        <w:t xml:space="preserve"> </w:t>
      </w:r>
      <w:r w:rsidR="006D4C37">
        <w:rPr>
          <w:lang w:val="es-ES_tradnl"/>
        </w:rPr>
        <w:t xml:space="preserve">orientada a </w:t>
      </w:r>
      <w:r w:rsidR="002A3825">
        <w:rPr>
          <w:lang w:val="es-ES_tradnl"/>
        </w:rPr>
        <w:t xml:space="preserve">facilitar </w:t>
      </w:r>
      <w:r w:rsidR="006A6FC8">
        <w:rPr>
          <w:lang w:val="es-ES_tradnl"/>
        </w:rPr>
        <w:t xml:space="preserve">la </w:t>
      </w:r>
      <w:r w:rsidR="006F7378">
        <w:rPr>
          <w:lang w:val="es-ES_tradnl"/>
        </w:rPr>
        <w:t>comprensión</w:t>
      </w:r>
      <w:r w:rsidR="006A6FC8">
        <w:rPr>
          <w:lang w:val="es-ES_tradnl"/>
        </w:rPr>
        <w:t xml:space="preserve"> </w:t>
      </w:r>
      <w:r w:rsidR="00E26F0F" w:rsidRPr="00B924EB">
        <w:rPr>
          <w:lang w:val="es-ES_tradnl"/>
        </w:rPr>
        <w:t>del</w:t>
      </w:r>
      <w:r w:rsidR="00A13BEA" w:rsidRPr="00B924EB">
        <w:rPr>
          <w:lang w:val="es-ES_tradnl"/>
        </w:rPr>
        <w:t xml:space="preserve"> </w:t>
      </w:r>
      <w:r w:rsidR="00363607" w:rsidRPr="00B924EB">
        <w:rPr>
          <w:lang w:val="es-ES_tradnl"/>
        </w:rPr>
        <w:t>potencial</w:t>
      </w:r>
      <w:r w:rsidR="00A13BEA" w:rsidRPr="00B924EB">
        <w:rPr>
          <w:lang w:val="es-ES_tradnl"/>
        </w:rPr>
        <w:t xml:space="preserve"> </w:t>
      </w:r>
      <w:r w:rsidR="005E1320" w:rsidRPr="00B924EB">
        <w:rPr>
          <w:lang w:val="es-ES_tradnl"/>
        </w:rPr>
        <w:t>a</w:t>
      </w:r>
      <w:r w:rsidR="00A13BEA" w:rsidRPr="00B924EB">
        <w:rPr>
          <w:lang w:val="es-ES_tradnl"/>
        </w:rPr>
        <w:t xml:space="preserve"> </w:t>
      </w:r>
      <w:r w:rsidR="005E1320" w:rsidRPr="00B924EB">
        <w:rPr>
          <w:lang w:val="es-ES_tradnl"/>
        </w:rPr>
        <w:t>largo</w:t>
      </w:r>
      <w:r w:rsidR="00A13BEA" w:rsidRPr="00B924EB">
        <w:rPr>
          <w:lang w:val="es-ES_tradnl"/>
        </w:rPr>
        <w:t xml:space="preserve"> </w:t>
      </w:r>
      <w:r w:rsidR="005E1320" w:rsidRPr="00B924EB">
        <w:rPr>
          <w:lang w:val="es-ES_tradnl"/>
        </w:rPr>
        <w:t>plazo</w:t>
      </w:r>
      <w:r w:rsidR="00A13BEA" w:rsidRPr="00B924EB">
        <w:rPr>
          <w:lang w:val="es-ES_tradnl"/>
        </w:rPr>
        <w:t xml:space="preserve"> </w:t>
      </w:r>
      <w:r w:rsidR="006F7378">
        <w:rPr>
          <w:lang w:val="es-ES_tradnl"/>
        </w:rPr>
        <w:t xml:space="preserve">de las </w:t>
      </w:r>
      <w:r w:rsidRPr="00B924EB">
        <w:rPr>
          <w:lang w:val="es-ES_tradnl"/>
        </w:rPr>
        <w:t>tecnologías</w:t>
      </w:r>
      <w:r w:rsidR="00A13BEA" w:rsidRPr="00B924EB">
        <w:rPr>
          <w:lang w:val="es-ES_tradnl"/>
        </w:rPr>
        <w:t xml:space="preserve"> </w:t>
      </w:r>
      <w:r w:rsidRPr="00B924EB">
        <w:rPr>
          <w:lang w:val="es-ES_tradnl"/>
        </w:rPr>
        <w:t>alternativas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945790">
        <w:rPr>
          <w:lang w:val="es-ES_tradnl"/>
        </w:rPr>
        <w:t>sus</w:t>
      </w:r>
      <w:r w:rsidR="00A13BEA" w:rsidRPr="00B924EB">
        <w:rPr>
          <w:lang w:val="es-ES_tradnl"/>
        </w:rPr>
        <w:t xml:space="preserve"> </w:t>
      </w:r>
      <w:r w:rsidRPr="00B924EB">
        <w:rPr>
          <w:lang w:val="es-ES_tradnl"/>
        </w:rPr>
        <w:t>efecto</w:t>
      </w:r>
      <w:r w:rsidR="007E6ABD">
        <w:rPr>
          <w:lang w:val="es-ES_tradnl"/>
        </w:rPr>
        <w:t>s</w:t>
      </w:r>
      <w:r w:rsidR="00A13BEA" w:rsidRPr="00B924EB">
        <w:rPr>
          <w:lang w:val="es-ES_tradnl"/>
        </w:rPr>
        <w:t xml:space="preserve"> </w:t>
      </w:r>
      <w:r w:rsidR="008240EC">
        <w:rPr>
          <w:lang w:val="es-ES_tradnl"/>
        </w:rPr>
        <w:t xml:space="preserve">sobre </w:t>
      </w:r>
      <w:r w:rsidR="00012FB7">
        <w:rPr>
          <w:lang w:val="es-ES_tradnl"/>
        </w:rPr>
        <w:t xml:space="preserve">los </w:t>
      </w:r>
      <w:r w:rsidR="00363607" w:rsidRPr="00B924EB">
        <w:rPr>
          <w:lang w:val="es-ES_tradnl"/>
        </w:rPr>
        <w:t>productos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012FB7">
        <w:rPr>
          <w:lang w:val="es-ES_tradnl"/>
        </w:rPr>
        <w:t>el proceso de fabricación</w:t>
      </w:r>
      <w:r w:rsidR="00751BAF" w:rsidRPr="00B924EB">
        <w:rPr>
          <w:lang w:val="es-ES_tradnl"/>
        </w:rPr>
        <w:t>.</w:t>
      </w:r>
    </w:p>
    <w:p w14:paraId="6595A1E7" w14:textId="43CB2820" w:rsidR="000521A3" w:rsidRPr="00B924EB" w:rsidRDefault="00BB3103" w:rsidP="001D07A0">
      <w:pPr>
        <w:keepNext/>
        <w:keepLines/>
        <w:rPr>
          <w:i/>
          <w:lang w:val="es-ES_tradnl"/>
        </w:rPr>
      </w:pPr>
      <w:r w:rsidRPr="00BB3103">
        <w:rPr>
          <w:i/>
          <w:lang w:val="es-ES_tradnl"/>
        </w:rPr>
        <w:t>Ejecución y supervisión del proyecto</w:t>
      </w:r>
    </w:p>
    <w:p w14:paraId="5CCD0A76" w14:textId="53044345" w:rsidR="00C679D6" w:rsidRPr="006E70FF" w:rsidRDefault="00C679D6" w:rsidP="001D07A0">
      <w:pPr>
        <w:keepNext/>
        <w:keepLines/>
        <w:rPr>
          <w:lang w:val="es-ES_tradnl"/>
        </w:rPr>
      </w:pPr>
    </w:p>
    <w:p w14:paraId="411741A2" w14:textId="75334DDE" w:rsidR="00C679D6" w:rsidRPr="00B924EB" w:rsidRDefault="00DC7C93" w:rsidP="001C6D6F">
      <w:pPr>
        <w:pStyle w:val="Heading1"/>
        <w:rPr>
          <w:lang w:val="es-ES_tradnl"/>
        </w:rPr>
      </w:pPr>
      <w:r>
        <w:rPr>
          <w:lang w:val="es-ES_tradnl"/>
        </w:rPr>
        <w:t>L</w:t>
      </w:r>
      <w:r w:rsidR="004C635F" w:rsidRPr="000A3A02">
        <w:rPr>
          <w:lang w:val="es-ES_tradnl"/>
        </w:rPr>
        <w:t xml:space="preserve">a etapa II </w:t>
      </w:r>
      <w:r w:rsidR="00B34EA2" w:rsidRPr="000A3A02">
        <w:rPr>
          <w:lang w:val="es-ES_tradnl"/>
        </w:rPr>
        <w:t xml:space="preserve">del PGEH </w:t>
      </w:r>
      <w:r w:rsidR="00A56AA6" w:rsidRPr="000A3A02">
        <w:rPr>
          <w:lang w:val="es-ES_tradnl"/>
        </w:rPr>
        <w:t xml:space="preserve">mantendrá el </w:t>
      </w:r>
      <w:r w:rsidR="00DB3D7B" w:rsidRPr="000A3A02">
        <w:rPr>
          <w:lang w:val="es-ES_tradnl"/>
        </w:rPr>
        <w:t>sistema</w:t>
      </w:r>
      <w:r w:rsidR="00A13BEA" w:rsidRPr="000A3A02">
        <w:rPr>
          <w:lang w:val="es-ES_tradnl"/>
        </w:rPr>
        <w:t xml:space="preserve"> </w:t>
      </w:r>
      <w:r w:rsidR="00A56AA6" w:rsidRPr="000A3A02">
        <w:rPr>
          <w:lang w:val="es-ES_tradnl"/>
        </w:rPr>
        <w:t xml:space="preserve">establecido </w:t>
      </w:r>
      <w:r w:rsidR="001A1006" w:rsidRPr="000A3A02">
        <w:rPr>
          <w:lang w:val="es-ES_tradnl"/>
        </w:rPr>
        <w:t>en</w:t>
      </w:r>
      <w:r w:rsidR="00A13BEA" w:rsidRPr="000A3A02">
        <w:rPr>
          <w:lang w:val="es-ES_tradnl"/>
        </w:rPr>
        <w:t xml:space="preserve"> </w:t>
      </w:r>
      <w:r w:rsidR="001A1006" w:rsidRPr="000A3A02">
        <w:rPr>
          <w:lang w:val="es-ES_tradnl"/>
        </w:rPr>
        <w:t>la</w:t>
      </w:r>
      <w:r w:rsidR="00A13BEA" w:rsidRPr="000A3A02">
        <w:rPr>
          <w:lang w:val="es-ES_tradnl"/>
        </w:rPr>
        <w:t xml:space="preserve"> </w:t>
      </w:r>
      <w:r w:rsidR="001A1006" w:rsidRPr="000A3A02">
        <w:rPr>
          <w:lang w:val="es-ES_tradnl"/>
        </w:rPr>
        <w:t>etapa</w:t>
      </w:r>
      <w:r w:rsidR="00A13BEA" w:rsidRPr="000A3A02">
        <w:rPr>
          <w:lang w:val="es-ES_tradnl"/>
        </w:rPr>
        <w:t xml:space="preserve"> </w:t>
      </w:r>
      <w:r w:rsidR="003208A7" w:rsidRPr="000A3A02">
        <w:rPr>
          <w:lang w:val="es-ES_tradnl"/>
        </w:rPr>
        <w:t>I</w:t>
      </w:r>
      <w:r w:rsidR="009E7CE0" w:rsidRPr="000A3A02">
        <w:rPr>
          <w:lang w:val="es-ES_tradnl"/>
        </w:rPr>
        <w:t xml:space="preserve">, con la </w:t>
      </w:r>
      <w:r w:rsidR="000521A3" w:rsidRPr="000A3A02">
        <w:rPr>
          <w:lang w:val="es-ES_tradnl"/>
        </w:rPr>
        <w:t>ONO</w:t>
      </w:r>
      <w:r w:rsidR="00A13BEA" w:rsidRPr="000A3A02">
        <w:rPr>
          <w:lang w:val="es-ES_tradnl"/>
        </w:rPr>
        <w:t xml:space="preserve"> </w:t>
      </w:r>
      <w:r w:rsidR="00755C5D" w:rsidRPr="000A3A02">
        <w:rPr>
          <w:lang w:val="es-ES_tradnl"/>
        </w:rPr>
        <w:t>y</w:t>
      </w:r>
      <w:r w:rsidR="00A13BEA" w:rsidRPr="000A3A02">
        <w:rPr>
          <w:lang w:val="es-ES_tradnl"/>
        </w:rPr>
        <w:t xml:space="preserve"> </w:t>
      </w:r>
      <w:r w:rsidR="00755C5D" w:rsidRPr="000A3A02">
        <w:rPr>
          <w:lang w:val="es-ES_tradnl"/>
        </w:rPr>
        <w:t>el</w:t>
      </w:r>
      <w:r w:rsidR="00A13BEA" w:rsidRPr="000A3A02">
        <w:rPr>
          <w:lang w:val="es-ES_tradnl"/>
        </w:rPr>
        <w:t xml:space="preserve"> </w:t>
      </w:r>
      <w:r w:rsidR="00755C5D" w:rsidRPr="000A3A02">
        <w:rPr>
          <w:lang w:val="es-ES_tradnl"/>
        </w:rPr>
        <w:t>PNUMA</w:t>
      </w:r>
      <w:r w:rsidR="00A13BEA" w:rsidRPr="000A3A02">
        <w:rPr>
          <w:lang w:val="es-ES_tradnl"/>
        </w:rPr>
        <w:t xml:space="preserve"> </w:t>
      </w:r>
      <w:r w:rsidR="003935FE">
        <w:rPr>
          <w:lang w:val="es-ES_tradnl"/>
        </w:rPr>
        <w:t>a cargo de</w:t>
      </w:r>
      <w:r w:rsidR="009E7CE0" w:rsidRPr="000A3A02">
        <w:rPr>
          <w:lang w:val="es-ES_tradnl"/>
        </w:rPr>
        <w:t xml:space="preserve"> </w:t>
      </w:r>
      <w:r w:rsidR="00DB652D" w:rsidRPr="000A3A02">
        <w:rPr>
          <w:lang w:val="es-ES_tradnl"/>
        </w:rPr>
        <w:t>control</w:t>
      </w:r>
      <w:r w:rsidR="003935FE">
        <w:rPr>
          <w:lang w:val="es-ES_tradnl"/>
        </w:rPr>
        <w:t>ar</w:t>
      </w:r>
      <w:r w:rsidR="00A60438" w:rsidRPr="000A3A02">
        <w:rPr>
          <w:lang w:val="es-ES_tradnl"/>
        </w:rPr>
        <w:t xml:space="preserve"> las </w:t>
      </w:r>
      <w:r w:rsidR="00755C5D" w:rsidRPr="000A3A02">
        <w:rPr>
          <w:lang w:val="es-ES_tradnl"/>
        </w:rPr>
        <w:t>actividades</w:t>
      </w:r>
      <w:r w:rsidR="00C679D6" w:rsidRPr="000A3A02">
        <w:rPr>
          <w:lang w:val="es-ES_tradnl"/>
        </w:rPr>
        <w:t>,</w:t>
      </w:r>
      <w:r w:rsidR="00A13BEA" w:rsidRPr="000A3A02">
        <w:rPr>
          <w:lang w:val="es-ES_tradnl"/>
        </w:rPr>
        <w:t xml:space="preserve"> </w:t>
      </w:r>
      <w:r w:rsidR="00AD6768" w:rsidRPr="000A3A02">
        <w:rPr>
          <w:lang w:val="es-ES_tradnl"/>
        </w:rPr>
        <w:t xml:space="preserve">de los </w:t>
      </w:r>
      <w:r w:rsidR="006019E8" w:rsidRPr="000A3A02">
        <w:rPr>
          <w:lang w:val="es-ES_tradnl"/>
        </w:rPr>
        <w:t>informe</w:t>
      </w:r>
      <w:r w:rsidR="00AD6768" w:rsidRPr="000A3A02">
        <w:rPr>
          <w:lang w:val="es-ES_tradnl"/>
        </w:rPr>
        <w:t>s</w:t>
      </w:r>
      <w:r w:rsidR="006019E8" w:rsidRPr="000A3A02">
        <w:rPr>
          <w:lang w:val="es-ES_tradnl"/>
        </w:rPr>
        <w:t xml:space="preserve"> de avance</w:t>
      </w:r>
      <w:r w:rsidR="00A13BEA" w:rsidRPr="000A3A02">
        <w:rPr>
          <w:lang w:val="es-ES_tradnl"/>
        </w:rPr>
        <w:t xml:space="preserve"> </w:t>
      </w:r>
      <w:r w:rsidR="00755C5D" w:rsidRPr="000A3A02">
        <w:rPr>
          <w:lang w:val="es-ES_tradnl"/>
        </w:rPr>
        <w:t>y</w:t>
      </w:r>
      <w:r w:rsidR="00A13BEA" w:rsidRPr="000A3A02">
        <w:rPr>
          <w:lang w:val="es-ES_tradnl"/>
        </w:rPr>
        <w:t xml:space="preserve"> </w:t>
      </w:r>
      <w:r w:rsidR="003D7A7C" w:rsidRPr="000A3A02">
        <w:rPr>
          <w:lang w:val="es-ES_tradnl"/>
        </w:rPr>
        <w:t xml:space="preserve">de </w:t>
      </w:r>
      <w:r w:rsidR="00A66013" w:rsidRPr="000A3A02">
        <w:rPr>
          <w:lang w:val="es-ES_tradnl"/>
        </w:rPr>
        <w:t xml:space="preserve">trabajar </w:t>
      </w:r>
      <w:r w:rsidR="009374DA" w:rsidRPr="000A3A02">
        <w:rPr>
          <w:lang w:val="es-ES_tradnl"/>
        </w:rPr>
        <w:t>con</w:t>
      </w:r>
      <w:r w:rsidR="00A13BEA" w:rsidRPr="000A3A02">
        <w:rPr>
          <w:lang w:val="es-ES_tradnl"/>
        </w:rPr>
        <w:t xml:space="preserve"> </w:t>
      </w:r>
      <w:r w:rsidR="001D7D11" w:rsidRPr="000A3A02">
        <w:rPr>
          <w:lang w:val="es-ES_tradnl"/>
        </w:rPr>
        <w:t xml:space="preserve">los </w:t>
      </w:r>
      <w:r w:rsidR="00443CCE" w:rsidRPr="000A3A02">
        <w:rPr>
          <w:lang w:val="es-ES_tradnl"/>
        </w:rPr>
        <w:t>actores intervinientes</w:t>
      </w:r>
      <w:r w:rsidR="00A13BEA" w:rsidRPr="000A3A02">
        <w:rPr>
          <w:lang w:val="es-ES_tradnl"/>
        </w:rPr>
        <w:t xml:space="preserve"> </w:t>
      </w:r>
      <w:r w:rsidR="0009558C" w:rsidRPr="000A3A02">
        <w:rPr>
          <w:lang w:val="es-ES_tradnl"/>
        </w:rPr>
        <w:t>en la eliminación</w:t>
      </w:r>
      <w:r w:rsidR="00A13BEA" w:rsidRPr="000A3A02">
        <w:rPr>
          <w:lang w:val="es-ES_tradnl"/>
        </w:rPr>
        <w:t xml:space="preserve"> </w:t>
      </w:r>
      <w:r w:rsidR="0009558C" w:rsidRPr="000A3A02">
        <w:rPr>
          <w:lang w:val="es-ES_tradnl"/>
        </w:rPr>
        <w:t xml:space="preserve">de </w:t>
      </w:r>
      <w:r w:rsidR="00E26F0F" w:rsidRPr="000A3A02">
        <w:rPr>
          <w:lang w:val="es-ES_tradnl"/>
        </w:rPr>
        <w:t>HCFC</w:t>
      </w:r>
      <w:r w:rsidR="00C679D6" w:rsidRPr="000A3A02">
        <w:rPr>
          <w:lang w:val="es-ES_tradnl"/>
        </w:rPr>
        <w:t>.</w:t>
      </w:r>
      <w:r w:rsidR="00A13BEA" w:rsidRPr="000A3A02">
        <w:rPr>
          <w:lang w:val="es-ES_tradnl"/>
        </w:rPr>
        <w:t xml:space="preserve"> </w:t>
      </w:r>
      <w:r w:rsidR="00755C5D" w:rsidRPr="000A3A02">
        <w:rPr>
          <w:lang w:val="es-ES_tradnl"/>
        </w:rPr>
        <w:t>El</w:t>
      </w:r>
      <w:r w:rsidR="00A13BEA" w:rsidRPr="000A3A02">
        <w:rPr>
          <w:lang w:val="es-ES_tradnl"/>
        </w:rPr>
        <w:t xml:space="preserve"> </w:t>
      </w:r>
      <w:r w:rsidR="00755C5D" w:rsidRPr="000A3A02">
        <w:rPr>
          <w:lang w:val="es-ES_tradnl"/>
        </w:rPr>
        <w:t>costo</w:t>
      </w:r>
      <w:r w:rsidR="00A13BEA" w:rsidRPr="000A3A02">
        <w:rPr>
          <w:lang w:val="es-ES_tradnl"/>
        </w:rPr>
        <w:t xml:space="preserve"> </w:t>
      </w:r>
      <w:r w:rsidR="00755C5D" w:rsidRPr="000A3A02">
        <w:rPr>
          <w:lang w:val="es-ES_tradnl"/>
        </w:rPr>
        <w:t>de</w:t>
      </w:r>
      <w:r w:rsidR="00A13BEA" w:rsidRPr="000A3A02">
        <w:rPr>
          <w:lang w:val="es-ES_tradnl"/>
        </w:rPr>
        <w:t xml:space="preserve"> </w:t>
      </w:r>
      <w:r w:rsidR="001A5D9F" w:rsidRPr="000A3A02">
        <w:rPr>
          <w:lang w:val="es-ES_tradnl"/>
        </w:rPr>
        <w:t>las</w:t>
      </w:r>
      <w:r w:rsidR="00257EC2" w:rsidRPr="000A3A02">
        <w:rPr>
          <w:lang w:val="es-ES_tradnl"/>
        </w:rPr>
        <w:t xml:space="preserve"> actividades</w:t>
      </w:r>
      <w:r w:rsidR="00A13BEA" w:rsidRPr="000A3A02">
        <w:rPr>
          <w:lang w:val="es-ES_tradnl"/>
        </w:rPr>
        <w:t xml:space="preserve"> </w:t>
      </w:r>
      <w:r w:rsidR="00CA4C93" w:rsidRPr="000A3A02">
        <w:rPr>
          <w:lang w:val="es-ES_tradnl"/>
        </w:rPr>
        <w:t>de</w:t>
      </w:r>
      <w:r w:rsidR="00A13BEA" w:rsidRPr="000A3A02">
        <w:rPr>
          <w:lang w:val="es-ES_tradnl"/>
        </w:rPr>
        <w:t xml:space="preserve"> </w:t>
      </w:r>
      <w:r w:rsidR="003208A7" w:rsidRPr="000A3A02">
        <w:rPr>
          <w:lang w:val="es-ES_tradnl"/>
        </w:rPr>
        <w:t>la</w:t>
      </w:r>
      <w:r w:rsidR="00A13BEA" w:rsidRPr="000A3A02">
        <w:rPr>
          <w:lang w:val="es-ES_tradnl"/>
        </w:rPr>
        <w:t xml:space="preserve"> </w:t>
      </w:r>
      <w:r w:rsidR="003208A7" w:rsidRPr="000A3A02">
        <w:rPr>
          <w:lang w:val="es-ES_tradnl"/>
        </w:rPr>
        <w:t>etapa</w:t>
      </w:r>
      <w:r w:rsidR="00A13BEA" w:rsidRPr="000A3A02">
        <w:rPr>
          <w:lang w:val="es-ES_tradnl"/>
        </w:rPr>
        <w:t xml:space="preserve"> </w:t>
      </w:r>
      <w:r w:rsidR="003208A7" w:rsidRPr="000A3A02">
        <w:rPr>
          <w:lang w:val="es-ES_tradnl"/>
        </w:rPr>
        <w:t>I</w:t>
      </w:r>
      <w:r w:rsidR="00C679D6" w:rsidRPr="000A3A02">
        <w:rPr>
          <w:lang w:val="es-ES_tradnl"/>
        </w:rPr>
        <w:t>I</w:t>
      </w:r>
      <w:r w:rsidR="00CA4C93" w:rsidRPr="000A3A02">
        <w:rPr>
          <w:lang w:val="es-ES_tradnl"/>
        </w:rPr>
        <w:t xml:space="preserve"> </w:t>
      </w:r>
      <w:r w:rsidR="00AE4364">
        <w:rPr>
          <w:lang w:val="es-ES_tradnl"/>
        </w:rPr>
        <w:t>asciende a</w:t>
      </w:r>
      <w:r w:rsidR="00DF1259" w:rsidRPr="000A3A02">
        <w:rPr>
          <w:lang w:val="es-ES_tradnl"/>
        </w:rPr>
        <w:t xml:space="preserve"> </w:t>
      </w:r>
      <w:r w:rsidR="00CA4C93" w:rsidRPr="000A3A02">
        <w:rPr>
          <w:lang w:val="es-ES_tradnl"/>
        </w:rPr>
        <w:t>285.000 $EUA</w:t>
      </w:r>
      <w:r w:rsidR="00C679D6" w:rsidRPr="00B924EB">
        <w:rPr>
          <w:lang w:val="es-ES_tradnl"/>
        </w:rPr>
        <w:t>.</w:t>
      </w:r>
    </w:p>
    <w:p w14:paraId="343DCBDA" w14:textId="7F212CF8" w:rsidR="00C679D6" w:rsidRPr="00B924EB" w:rsidRDefault="00ED2A6E" w:rsidP="00C679D6">
      <w:pPr>
        <w:rPr>
          <w:i/>
          <w:lang w:val="es-ES_tradnl"/>
        </w:rPr>
      </w:pPr>
      <w:r w:rsidRPr="00ED2A6E">
        <w:rPr>
          <w:i/>
          <w:lang w:val="es-ES_tradnl"/>
        </w:rPr>
        <w:t>Aplicación de la política de género</w:t>
      </w:r>
    </w:p>
    <w:p w14:paraId="41C24888" w14:textId="77777777" w:rsidR="00C679D6" w:rsidRPr="00B924EB" w:rsidRDefault="00C679D6" w:rsidP="00C679D6">
      <w:pPr>
        <w:pStyle w:val="Default"/>
        <w:jc w:val="both"/>
        <w:rPr>
          <w:color w:val="auto"/>
          <w:lang w:val="es-ES_tradnl"/>
        </w:rPr>
      </w:pPr>
    </w:p>
    <w:p w14:paraId="5565572E" w14:textId="65077FED" w:rsidR="00C679D6" w:rsidRPr="00796D13" w:rsidRDefault="00DB3D7B" w:rsidP="00590FF4">
      <w:pPr>
        <w:pStyle w:val="Heading1"/>
        <w:rPr>
          <w:lang w:val="es-ES_tradnl"/>
        </w:rPr>
      </w:pPr>
      <w:r w:rsidRPr="00796D13">
        <w:rPr>
          <w:lang w:val="es-ES_tradnl"/>
        </w:rPr>
        <w:t>Conforme</w:t>
      </w:r>
      <w:r w:rsidR="00A13BEA" w:rsidRPr="00796D13">
        <w:rPr>
          <w:lang w:val="es-ES_tradnl"/>
        </w:rPr>
        <w:t xml:space="preserve"> </w:t>
      </w:r>
      <w:r w:rsidRPr="00796D13">
        <w:rPr>
          <w:lang w:val="es-ES_tradnl"/>
        </w:rPr>
        <w:t>a</w:t>
      </w:r>
      <w:r w:rsidR="00A13BEA" w:rsidRPr="00796D13">
        <w:rPr>
          <w:lang w:val="es-ES_tradnl"/>
        </w:rPr>
        <w:t xml:space="preserve"> </w:t>
      </w:r>
      <w:r w:rsidRPr="00796D13">
        <w:rPr>
          <w:lang w:val="es-ES_tradnl"/>
        </w:rPr>
        <w:t>lo</w:t>
      </w:r>
      <w:r w:rsidR="00A13BEA" w:rsidRPr="00796D13">
        <w:rPr>
          <w:lang w:val="es-ES_tradnl"/>
        </w:rPr>
        <w:t xml:space="preserve"> </w:t>
      </w:r>
      <w:r w:rsidRPr="00796D13">
        <w:rPr>
          <w:lang w:val="es-ES_tradnl"/>
        </w:rPr>
        <w:t>dispuesto</w:t>
      </w:r>
      <w:r w:rsidR="00A13BEA" w:rsidRPr="00796D13">
        <w:rPr>
          <w:lang w:val="es-ES_tradnl"/>
        </w:rPr>
        <w:t xml:space="preserve"> </w:t>
      </w:r>
      <w:r w:rsidRPr="00796D13">
        <w:rPr>
          <w:lang w:val="es-ES_tradnl"/>
        </w:rPr>
        <w:t>en</w:t>
      </w:r>
      <w:r w:rsidR="00A13BEA" w:rsidRPr="00796D13">
        <w:rPr>
          <w:lang w:val="es-ES_tradnl"/>
        </w:rPr>
        <w:t xml:space="preserve"> </w:t>
      </w:r>
      <w:r w:rsidRPr="00796D13">
        <w:rPr>
          <w:lang w:val="es-ES_tradnl"/>
        </w:rPr>
        <w:t>la</w:t>
      </w:r>
      <w:r w:rsidR="00A13BEA" w:rsidRPr="00796D13">
        <w:rPr>
          <w:lang w:val="es-ES_tradnl"/>
        </w:rPr>
        <w:t xml:space="preserve"> </w:t>
      </w:r>
      <w:r w:rsidRPr="00796D13">
        <w:rPr>
          <w:lang w:val="es-ES_tradnl"/>
        </w:rPr>
        <w:t>decisión</w:t>
      </w:r>
      <w:r w:rsidR="00A13BEA" w:rsidRPr="00796D13">
        <w:rPr>
          <w:lang w:val="es-ES_tradnl"/>
        </w:rPr>
        <w:t xml:space="preserve"> </w:t>
      </w:r>
      <w:r w:rsidR="001D07A0" w:rsidRPr="00796D13">
        <w:rPr>
          <w:lang w:val="es-ES_tradnl"/>
        </w:rPr>
        <w:t>84/92</w:t>
      </w:r>
      <w:r w:rsidR="00365156" w:rsidRPr="00796D13">
        <w:rPr>
          <w:lang w:val="es-ES_tradnl"/>
        </w:rPr>
        <w:t xml:space="preserve"> d)</w:t>
      </w:r>
      <w:r w:rsidR="001D07A0" w:rsidRPr="00796D13">
        <w:rPr>
          <w:lang w:val="es-ES_tradnl"/>
        </w:rPr>
        <w:t>,</w:t>
      </w:r>
      <w:r w:rsidR="00602308" w:rsidRPr="00796D13">
        <w:rPr>
          <w:rStyle w:val="FootnoteReference"/>
          <w:lang w:val="es-ES_tradnl"/>
        </w:rPr>
        <w:footnoteReference w:id="10"/>
      </w:r>
      <w:r w:rsidR="00A13BEA" w:rsidRPr="00796D13">
        <w:rPr>
          <w:lang w:val="es-ES_tradnl"/>
        </w:rPr>
        <w:t xml:space="preserve"> </w:t>
      </w:r>
      <w:r w:rsidR="00755C5D" w:rsidRPr="00796D13">
        <w:rPr>
          <w:lang w:val="es-ES_tradnl"/>
        </w:rPr>
        <w:t>el</w:t>
      </w:r>
      <w:r w:rsidR="00A13BEA" w:rsidRPr="00796D13">
        <w:rPr>
          <w:lang w:val="es-ES_tradnl"/>
        </w:rPr>
        <w:t xml:space="preserve"> </w:t>
      </w:r>
      <w:r w:rsidR="00755C5D" w:rsidRPr="00796D13">
        <w:rPr>
          <w:lang w:val="es-ES_tradnl"/>
        </w:rPr>
        <w:t>Gobierno</w:t>
      </w:r>
      <w:r w:rsidR="00A13BEA" w:rsidRPr="00796D13">
        <w:rPr>
          <w:lang w:val="es-ES_tradnl"/>
        </w:rPr>
        <w:t xml:space="preserve"> </w:t>
      </w:r>
      <w:r w:rsidR="00755C5D" w:rsidRPr="00796D13">
        <w:rPr>
          <w:lang w:val="es-ES_tradnl"/>
        </w:rPr>
        <w:t>de</w:t>
      </w:r>
      <w:r w:rsidR="00A13BEA" w:rsidRPr="00796D13">
        <w:rPr>
          <w:lang w:val="es-ES_tradnl"/>
        </w:rPr>
        <w:t xml:space="preserve"> </w:t>
      </w:r>
      <w:r w:rsidR="00590FF4" w:rsidRPr="00796D13">
        <w:rPr>
          <w:lang w:val="es-ES_tradnl"/>
        </w:rPr>
        <w:t>Iraq</w:t>
      </w:r>
      <w:r w:rsidR="00A13BEA" w:rsidRPr="00796D13">
        <w:rPr>
          <w:lang w:val="es-ES_tradnl"/>
        </w:rPr>
        <w:t xml:space="preserve"> </w:t>
      </w:r>
      <w:r w:rsidR="001E0FCF" w:rsidRPr="00796D13">
        <w:rPr>
          <w:lang w:val="es-ES_tradnl"/>
        </w:rPr>
        <w:t xml:space="preserve">se compromete </w:t>
      </w:r>
      <w:r w:rsidR="00722D2C" w:rsidRPr="00796D13">
        <w:rPr>
          <w:lang w:val="es-ES_tradnl"/>
        </w:rPr>
        <w:t xml:space="preserve">a </w:t>
      </w:r>
      <w:r w:rsidR="00014084" w:rsidRPr="00796D13">
        <w:rPr>
          <w:lang w:val="es-ES_tradnl"/>
        </w:rPr>
        <w:t xml:space="preserve">tener </w:t>
      </w:r>
      <w:r w:rsidR="00AA6716" w:rsidRPr="00796D13">
        <w:rPr>
          <w:lang w:val="es-ES_tradnl"/>
        </w:rPr>
        <w:t>en</w:t>
      </w:r>
      <w:r w:rsidR="00A13BEA" w:rsidRPr="00796D13">
        <w:rPr>
          <w:lang w:val="es-ES_tradnl"/>
        </w:rPr>
        <w:t xml:space="preserve"> </w:t>
      </w:r>
      <w:r w:rsidR="00AA6716" w:rsidRPr="00796D13">
        <w:rPr>
          <w:lang w:val="es-ES_tradnl"/>
        </w:rPr>
        <w:t>consideración</w:t>
      </w:r>
      <w:r w:rsidR="00A13BEA" w:rsidRPr="00796D13">
        <w:rPr>
          <w:lang w:val="es-ES_tradnl"/>
        </w:rPr>
        <w:t xml:space="preserve"> </w:t>
      </w:r>
      <w:r w:rsidR="00014084" w:rsidRPr="00796D13">
        <w:rPr>
          <w:lang w:val="es-ES_tradnl"/>
        </w:rPr>
        <w:t xml:space="preserve">la igualdad de género </w:t>
      </w:r>
      <w:r w:rsidR="00216FFE" w:rsidRPr="00796D13">
        <w:rPr>
          <w:lang w:val="es-ES_tradnl"/>
        </w:rPr>
        <w:t xml:space="preserve">en </w:t>
      </w:r>
      <w:r w:rsidR="00140282" w:rsidRPr="00796D13">
        <w:rPr>
          <w:lang w:val="es-ES_tradnl"/>
        </w:rPr>
        <w:t>cada etapa</w:t>
      </w:r>
      <w:r w:rsidR="00A13BEA" w:rsidRPr="00796D13">
        <w:rPr>
          <w:lang w:val="es-ES_tradnl"/>
        </w:rPr>
        <w:t xml:space="preserve"> </w:t>
      </w:r>
      <w:r w:rsidR="00755C5D" w:rsidRPr="00796D13">
        <w:rPr>
          <w:lang w:val="es-ES_tradnl"/>
        </w:rPr>
        <w:t>de</w:t>
      </w:r>
      <w:r w:rsidR="00A13BEA" w:rsidRPr="00796D13">
        <w:rPr>
          <w:lang w:val="es-ES_tradnl"/>
        </w:rPr>
        <w:t xml:space="preserve"> </w:t>
      </w:r>
      <w:r w:rsidR="00A10501">
        <w:rPr>
          <w:lang w:val="es-ES_tradnl"/>
        </w:rPr>
        <w:t xml:space="preserve">la </w:t>
      </w:r>
      <w:r w:rsidR="00F41AD4" w:rsidRPr="00796D13">
        <w:rPr>
          <w:lang w:val="es-ES_tradnl"/>
        </w:rPr>
        <w:t>ejecución</w:t>
      </w:r>
      <w:r w:rsidR="00A13BEA" w:rsidRPr="00796D13">
        <w:rPr>
          <w:lang w:val="es-ES_tradnl"/>
        </w:rPr>
        <w:t xml:space="preserve"> </w:t>
      </w:r>
      <w:r w:rsidR="00755C5D" w:rsidRPr="00796D13">
        <w:rPr>
          <w:lang w:val="es-ES_tradnl"/>
        </w:rPr>
        <w:t>del</w:t>
      </w:r>
      <w:r w:rsidR="00A13BEA" w:rsidRPr="00796D13">
        <w:rPr>
          <w:lang w:val="es-ES_tradnl"/>
        </w:rPr>
        <w:t xml:space="preserve"> </w:t>
      </w:r>
      <w:r w:rsidR="00755C5D" w:rsidRPr="00796D13">
        <w:rPr>
          <w:lang w:val="es-ES_tradnl"/>
        </w:rPr>
        <w:t>PGEH</w:t>
      </w:r>
      <w:r w:rsidR="00590FF4" w:rsidRPr="00796D13">
        <w:rPr>
          <w:lang w:val="es-ES_tradnl"/>
        </w:rPr>
        <w:t>.</w:t>
      </w:r>
      <w:r w:rsidR="00A13BEA" w:rsidRPr="00796D13">
        <w:rPr>
          <w:lang w:val="es-ES_tradnl"/>
        </w:rPr>
        <w:t xml:space="preserve"> </w:t>
      </w:r>
      <w:r w:rsidR="005F1389" w:rsidRPr="00796D13">
        <w:rPr>
          <w:lang w:val="es-ES_tradnl"/>
        </w:rPr>
        <w:t xml:space="preserve">Se </w:t>
      </w:r>
      <w:r w:rsidR="00C4075E" w:rsidRPr="00796D13">
        <w:rPr>
          <w:lang w:val="es-ES_tradnl"/>
        </w:rPr>
        <w:t xml:space="preserve">aplicarán </w:t>
      </w:r>
      <w:r w:rsidR="00063A17" w:rsidRPr="00796D13">
        <w:rPr>
          <w:lang w:val="es-ES_tradnl"/>
        </w:rPr>
        <w:t>políticas</w:t>
      </w:r>
      <w:r w:rsidR="00055F50" w:rsidRPr="00796D13">
        <w:rPr>
          <w:lang w:val="es-ES_tradnl"/>
        </w:rPr>
        <w:t xml:space="preserve"> de </w:t>
      </w:r>
      <w:r w:rsidR="00C4075E" w:rsidRPr="00796D13">
        <w:rPr>
          <w:lang w:val="es-ES_tradnl"/>
        </w:rPr>
        <w:t xml:space="preserve">integración de </w:t>
      </w:r>
      <w:r w:rsidR="00055F50" w:rsidRPr="00796D13">
        <w:rPr>
          <w:lang w:val="es-ES_tradnl"/>
        </w:rPr>
        <w:t>la perspectiva de género</w:t>
      </w:r>
      <w:r w:rsidR="00A13BEA" w:rsidRPr="00796D13">
        <w:rPr>
          <w:lang w:val="es-ES_tradnl"/>
        </w:rPr>
        <w:t xml:space="preserve"> </w:t>
      </w:r>
      <w:r w:rsidR="009374DA" w:rsidRPr="00796D13">
        <w:rPr>
          <w:lang w:val="es-ES_tradnl"/>
        </w:rPr>
        <w:t>en</w:t>
      </w:r>
      <w:r w:rsidR="00A13BEA" w:rsidRPr="00796D13">
        <w:rPr>
          <w:lang w:val="es-ES_tradnl"/>
        </w:rPr>
        <w:t xml:space="preserve"> </w:t>
      </w:r>
      <w:r w:rsidR="005E1320" w:rsidRPr="00796D13">
        <w:rPr>
          <w:lang w:val="es-ES_tradnl"/>
        </w:rPr>
        <w:t>la</w:t>
      </w:r>
      <w:r w:rsidR="00A13BEA" w:rsidRPr="00796D13">
        <w:rPr>
          <w:lang w:val="es-ES_tradnl"/>
        </w:rPr>
        <w:t xml:space="preserve"> </w:t>
      </w:r>
      <w:r w:rsidR="005E1320" w:rsidRPr="00796D13">
        <w:rPr>
          <w:lang w:val="es-ES_tradnl"/>
        </w:rPr>
        <w:t>selección</w:t>
      </w:r>
      <w:r w:rsidR="00A13BEA" w:rsidRPr="00796D13">
        <w:rPr>
          <w:lang w:val="es-ES_tradnl"/>
        </w:rPr>
        <w:t xml:space="preserve"> </w:t>
      </w:r>
      <w:r w:rsidR="00755C5D" w:rsidRPr="00796D13">
        <w:rPr>
          <w:lang w:val="es-ES_tradnl"/>
        </w:rPr>
        <w:t>de</w:t>
      </w:r>
      <w:r w:rsidR="00A13BEA" w:rsidRPr="00796D13">
        <w:rPr>
          <w:lang w:val="es-ES_tradnl"/>
        </w:rPr>
        <w:t xml:space="preserve"> </w:t>
      </w:r>
      <w:r w:rsidR="00452F79" w:rsidRPr="00796D13">
        <w:rPr>
          <w:lang w:val="es-ES_tradnl"/>
        </w:rPr>
        <w:t>consultores</w:t>
      </w:r>
      <w:r w:rsidR="00590FF4" w:rsidRPr="00796D13">
        <w:rPr>
          <w:lang w:val="es-ES_tradnl"/>
        </w:rPr>
        <w:t>,</w:t>
      </w:r>
      <w:r w:rsidR="00A13BEA" w:rsidRPr="00796D13">
        <w:rPr>
          <w:lang w:val="es-ES_tradnl"/>
        </w:rPr>
        <w:t xml:space="preserve"> </w:t>
      </w:r>
      <w:r w:rsidR="0022145E" w:rsidRPr="00796D13">
        <w:rPr>
          <w:lang w:val="es-ES_tradnl"/>
        </w:rPr>
        <w:t>colaboradores</w:t>
      </w:r>
      <w:r w:rsidR="00590FF4" w:rsidRPr="00796D13">
        <w:rPr>
          <w:lang w:val="es-ES_tradnl"/>
        </w:rPr>
        <w:t>,</w:t>
      </w:r>
      <w:r w:rsidR="00A13BEA" w:rsidRPr="00796D13">
        <w:rPr>
          <w:lang w:val="es-ES_tradnl"/>
        </w:rPr>
        <w:t xml:space="preserve"> </w:t>
      </w:r>
      <w:r w:rsidR="00E26F0F" w:rsidRPr="00796D13">
        <w:rPr>
          <w:lang w:val="es-ES_tradnl"/>
        </w:rPr>
        <w:t>técnico</w:t>
      </w:r>
      <w:r w:rsidR="00590FF4" w:rsidRPr="00796D13">
        <w:rPr>
          <w:lang w:val="es-ES_tradnl"/>
        </w:rPr>
        <w:t>s</w:t>
      </w:r>
      <w:r w:rsidR="00EA7DAF" w:rsidRPr="00796D13">
        <w:rPr>
          <w:lang w:val="es-ES_tradnl"/>
        </w:rPr>
        <w:t xml:space="preserve"> </w:t>
      </w:r>
      <w:r w:rsidR="00326E84" w:rsidRPr="00796D13">
        <w:rPr>
          <w:lang w:val="es-ES_tradnl"/>
        </w:rPr>
        <w:t>a capacitar</w:t>
      </w:r>
      <w:r w:rsidR="00A13BEA" w:rsidRPr="00796D13">
        <w:rPr>
          <w:lang w:val="es-ES_tradnl"/>
        </w:rPr>
        <w:t xml:space="preserve"> </w:t>
      </w:r>
      <w:r w:rsidR="00326E84" w:rsidRPr="00796D13">
        <w:rPr>
          <w:lang w:val="es-ES_tradnl"/>
        </w:rPr>
        <w:t xml:space="preserve">y </w:t>
      </w:r>
      <w:r w:rsidR="00055F50" w:rsidRPr="00796D13">
        <w:rPr>
          <w:lang w:val="es-ES_tradnl"/>
        </w:rPr>
        <w:t>funcionarios y fiscalizadores</w:t>
      </w:r>
      <w:r w:rsidR="00A13BEA" w:rsidRPr="00796D13">
        <w:rPr>
          <w:lang w:val="es-ES_tradnl"/>
        </w:rPr>
        <w:t xml:space="preserve"> </w:t>
      </w:r>
      <w:r w:rsidR="00326E84" w:rsidRPr="00796D13">
        <w:rPr>
          <w:lang w:val="es-ES_tradnl"/>
        </w:rPr>
        <w:t xml:space="preserve">aduaneros </w:t>
      </w:r>
      <w:r w:rsidR="003C05A9" w:rsidRPr="00796D13">
        <w:rPr>
          <w:lang w:val="es-ES_tradnl"/>
        </w:rPr>
        <w:t xml:space="preserve">a fin de lograr </w:t>
      </w:r>
      <w:r w:rsidR="00E112A7">
        <w:rPr>
          <w:lang w:val="es-ES_tradnl"/>
        </w:rPr>
        <w:t xml:space="preserve">una </w:t>
      </w:r>
      <w:r w:rsidR="003C05A9" w:rsidRPr="00796D13">
        <w:rPr>
          <w:lang w:val="es-ES_tradnl"/>
        </w:rPr>
        <w:t xml:space="preserve">activa </w:t>
      </w:r>
      <w:r w:rsidR="005F20B2" w:rsidRPr="005F20B2">
        <w:rPr>
          <w:lang w:val="es-ES_tradnl"/>
        </w:rPr>
        <w:t xml:space="preserve">participación </w:t>
      </w:r>
      <w:r w:rsidR="00755C5D" w:rsidRPr="00796D13">
        <w:rPr>
          <w:lang w:val="es-ES_tradnl"/>
        </w:rPr>
        <w:t>de</w:t>
      </w:r>
      <w:r w:rsidR="00A13BEA" w:rsidRPr="00796D13">
        <w:rPr>
          <w:lang w:val="es-ES_tradnl"/>
        </w:rPr>
        <w:t xml:space="preserve"> </w:t>
      </w:r>
      <w:r w:rsidR="00DD7505">
        <w:rPr>
          <w:lang w:val="es-ES_tradnl"/>
        </w:rPr>
        <w:t>la mujer</w:t>
      </w:r>
      <w:r w:rsidR="00A13BEA" w:rsidRPr="00796D13">
        <w:rPr>
          <w:lang w:val="es-ES_tradnl"/>
        </w:rPr>
        <w:t xml:space="preserve"> </w:t>
      </w:r>
      <w:r w:rsidR="009374DA" w:rsidRPr="00796D13">
        <w:rPr>
          <w:lang w:val="es-ES_tradnl"/>
        </w:rPr>
        <w:t>en</w:t>
      </w:r>
      <w:r w:rsidR="00A13BEA" w:rsidRPr="00796D13">
        <w:rPr>
          <w:lang w:val="es-ES_tradnl"/>
        </w:rPr>
        <w:t xml:space="preserve"> </w:t>
      </w:r>
      <w:r w:rsidR="009374DA" w:rsidRPr="00796D13">
        <w:rPr>
          <w:lang w:val="es-ES_tradnl"/>
        </w:rPr>
        <w:t>talleres</w:t>
      </w:r>
      <w:r w:rsidR="00A13BEA" w:rsidRPr="00796D13">
        <w:rPr>
          <w:lang w:val="es-ES_tradnl"/>
        </w:rPr>
        <w:t xml:space="preserve"> </w:t>
      </w:r>
      <w:r w:rsidR="00333CD8" w:rsidRPr="00796D13">
        <w:rPr>
          <w:lang w:val="es-ES_tradnl"/>
        </w:rPr>
        <w:t xml:space="preserve">consultivos </w:t>
      </w:r>
      <w:r w:rsidR="00755C5D" w:rsidRPr="00796D13">
        <w:rPr>
          <w:lang w:val="es-ES_tradnl"/>
        </w:rPr>
        <w:t>y</w:t>
      </w:r>
      <w:r w:rsidR="00A13BEA" w:rsidRPr="00796D13">
        <w:rPr>
          <w:lang w:val="es-ES_tradnl"/>
        </w:rPr>
        <w:t xml:space="preserve"> </w:t>
      </w:r>
      <w:r w:rsidR="009374DA" w:rsidRPr="00796D13">
        <w:rPr>
          <w:lang w:val="es-ES_tradnl"/>
        </w:rPr>
        <w:t>reuniones</w:t>
      </w:r>
      <w:r w:rsidR="0059307A" w:rsidRPr="00796D13">
        <w:rPr>
          <w:lang w:val="es-ES_tradnl"/>
        </w:rPr>
        <w:t xml:space="preserve"> de los actores intervinientes</w:t>
      </w:r>
      <w:r w:rsidR="00590FF4" w:rsidRPr="00796D13">
        <w:rPr>
          <w:lang w:val="es-ES_tradnl"/>
        </w:rPr>
        <w:t>.</w:t>
      </w:r>
      <w:r w:rsidR="00A13BEA" w:rsidRPr="00796D13">
        <w:rPr>
          <w:lang w:val="es-ES_tradnl"/>
        </w:rPr>
        <w:t xml:space="preserve"> </w:t>
      </w:r>
      <w:r w:rsidR="000521A3" w:rsidRPr="00796D13">
        <w:rPr>
          <w:lang w:val="es-ES_tradnl"/>
        </w:rPr>
        <w:t>La</w:t>
      </w:r>
      <w:r w:rsidR="00A13BEA" w:rsidRPr="00796D13">
        <w:rPr>
          <w:lang w:val="es-ES_tradnl"/>
        </w:rPr>
        <w:t xml:space="preserve"> </w:t>
      </w:r>
      <w:r w:rsidR="000521A3" w:rsidRPr="00796D13">
        <w:rPr>
          <w:lang w:val="es-ES_tradnl"/>
        </w:rPr>
        <w:t>ONO</w:t>
      </w:r>
      <w:r w:rsidR="00A13BEA" w:rsidRPr="00796D13">
        <w:rPr>
          <w:lang w:val="es-ES_tradnl"/>
        </w:rPr>
        <w:t xml:space="preserve"> </w:t>
      </w:r>
      <w:r w:rsidR="006B3F6E" w:rsidRPr="00796D13">
        <w:rPr>
          <w:lang w:val="es-ES_tradnl"/>
        </w:rPr>
        <w:t xml:space="preserve">verificará </w:t>
      </w:r>
      <w:r w:rsidR="005023DB" w:rsidRPr="00796D13">
        <w:rPr>
          <w:lang w:val="es-ES_tradnl"/>
        </w:rPr>
        <w:t xml:space="preserve">que, en la medida </w:t>
      </w:r>
      <w:r w:rsidR="002659A7" w:rsidRPr="00796D13">
        <w:rPr>
          <w:lang w:val="es-ES_tradnl"/>
        </w:rPr>
        <w:t xml:space="preserve">de </w:t>
      </w:r>
      <w:r w:rsidR="005023DB" w:rsidRPr="00796D13">
        <w:rPr>
          <w:lang w:val="es-ES_tradnl"/>
        </w:rPr>
        <w:t xml:space="preserve">lo posible, </w:t>
      </w:r>
      <w:r w:rsidR="00DC7F39" w:rsidRPr="00796D13">
        <w:rPr>
          <w:lang w:val="es-ES_tradnl"/>
        </w:rPr>
        <w:t xml:space="preserve">las </w:t>
      </w:r>
      <w:r w:rsidR="00B20698" w:rsidRPr="00796D13">
        <w:rPr>
          <w:lang w:val="es-ES_tradnl"/>
        </w:rPr>
        <w:t>mujeres</w:t>
      </w:r>
      <w:r w:rsidR="00A13BEA" w:rsidRPr="00796D13">
        <w:rPr>
          <w:lang w:val="es-ES_tradnl"/>
        </w:rPr>
        <w:t xml:space="preserve"> </w:t>
      </w:r>
      <w:r w:rsidR="00A17BAC" w:rsidRPr="00796D13">
        <w:rPr>
          <w:lang w:val="es-ES_tradnl"/>
        </w:rPr>
        <w:t>representen</w:t>
      </w:r>
      <w:r w:rsidR="00DC7F39" w:rsidRPr="00796D13">
        <w:rPr>
          <w:lang w:val="es-ES_tradnl"/>
        </w:rPr>
        <w:t xml:space="preserve"> </w:t>
      </w:r>
      <w:r w:rsidR="00A17BAC" w:rsidRPr="00796D13">
        <w:rPr>
          <w:lang w:val="es-ES_tradnl"/>
        </w:rPr>
        <w:t xml:space="preserve">del </w:t>
      </w:r>
      <w:r w:rsidR="00590FF4" w:rsidRPr="00796D13">
        <w:rPr>
          <w:lang w:val="es-ES_tradnl"/>
        </w:rPr>
        <w:t>20</w:t>
      </w:r>
      <w:r w:rsidR="00A13BEA" w:rsidRPr="00796D13">
        <w:rPr>
          <w:lang w:val="es-ES_tradnl"/>
        </w:rPr>
        <w:t xml:space="preserve"> </w:t>
      </w:r>
      <w:r w:rsidR="00A17BAC" w:rsidRPr="00796D13">
        <w:rPr>
          <w:lang w:val="es-ES_tradnl"/>
        </w:rPr>
        <w:t xml:space="preserve">al </w:t>
      </w:r>
      <w:r w:rsidR="00590FF4" w:rsidRPr="00796D13">
        <w:rPr>
          <w:lang w:val="es-ES_tradnl"/>
        </w:rPr>
        <w:t>30</w:t>
      </w:r>
      <w:r w:rsidR="00A13BEA" w:rsidRPr="00796D13">
        <w:rPr>
          <w:lang w:val="es-ES_tradnl"/>
        </w:rPr>
        <w:t xml:space="preserve"> </w:t>
      </w:r>
      <w:r w:rsidR="00755C5D" w:rsidRPr="00796D13">
        <w:rPr>
          <w:lang w:val="es-ES_tradnl"/>
        </w:rPr>
        <w:t>por</w:t>
      </w:r>
      <w:r w:rsidR="00A13BEA" w:rsidRPr="00796D13">
        <w:rPr>
          <w:lang w:val="es-ES_tradnl"/>
        </w:rPr>
        <w:t xml:space="preserve"> </w:t>
      </w:r>
      <w:r w:rsidR="00755C5D" w:rsidRPr="00796D13">
        <w:rPr>
          <w:lang w:val="es-ES_tradnl"/>
        </w:rPr>
        <w:t>ciento</w:t>
      </w:r>
      <w:r w:rsidR="00A13BEA" w:rsidRPr="00796D13">
        <w:rPr>
          <w:lang w:val="es-ES_tradnl"/>
        </w:rPr>
        <w:t xml:space="preserve"> </w:t>
      </w:r>
      <w:r w:rsidR="00755C5D" w:rsidRPr="00796D13">
        <w:rPr>
          <w:lang w:val="es-ES_tradnl"/>
        </w:rPr>
        <w:t>de</w:t>
      </w:r>
      <w:r w:rsidR="00A13BEA" w:rsidRPr="00796D13">
        <w:rPr>
          <w:lang w:val="es-ES_tradnl"/>
        </w:rPr>
        <w:t xml:space="preserve"> </w:t>
      </w:r>
      <w:r w:rsidR="008D6308" w:rsidRPr="00796D13">
        <w:rPr>
          <w:lang w:val="es-ES_tradnl"/>
        </w:rPr>
        <w:t xml:space="preserve">los </w:t>
      </w:r>
      <w:r w:rsidR="00CB72CE" w:rsidRPr="00796D13">
        <w:rPr>
          <w:lang w:val="es-ES_tradnl"/>
        </w:rPr>
        <w:t>participante</w:t>
      </w:r>
      <w:r w:rsidR="00590FF4" w:rsidRPr="00796D13">
        <w:rPr>
          <w:lang w:val="es-ES_tradnl"/>
        </w:rPr>
        <w:t>s</w:t>
      </w:r>
      <w:r w:rsidR="00A13BEA" w:rsidRPr="00796D13">
        <w:rPr>
          <w:lang w:val="es-ES_tradnl"/>
        </w:rPr>
        <w:t xml:space="preserve"> </w:t>
      </w:r>
      <w:r w:rsidR="009374DA" w:rsidRPr="00796D13">
        <w:rPr>
          <w:lang w:val="es-ES_tradnl"/>
        </w:rPr>
        <w:t>en</w:t>
      </w:r>
      <w:r w:rsidR="00A13BEA" w:rsidRPr="00796D13">
        <w:rPr>
          <w:lang w:val="es-ES_tradnl"/>
        </w:rPr>
        <w:t xml:space="preserve"> </w:t>
      </w:r>
      <w:r w:rsidR="00C07AD9" w:rsidRPr="00796D13">
        <w:rPr>
          <w:lang w:val="es-ES_tradnl"/>
        </w:rPr>
        <w:t xml:space="preserve">actividades de capacitación </w:t>
      </w:r>
      <w:r w:rsidR="00C546A1" w:rsidRPr="00796D13">
        <w:rPr>
          <w:lang w:val="es-ES_tradnl"/>
        </w:rPr>
        <w:t xml:space="preserve">de funcionarios </w:t>
      </w:r>
      <w:r w:rsidR="009073D3" w:rsidRPr="00796D13">
        <w:rPr>
          <w:lang w:val="es-ES_tradnl"/>
        </w:rPr>
        <w:t>aduaneros</w:t>
      </w:r>
      <w:r w:rsidR="00590FF4" w:rsidRPr="00796D13">
        <w:rPr>
          <w:lang w:val="es-ES_tradnl"/>
        </w:rPr>
        <w:t>,</w:t>
      </w:r>
      <w:r w:rsidR="00A13BEA" w:rsidRPr="00796D13">
        <w:rPr>
          <w:lang w:val="es-ES_tradnl"/>
        </w:rPr>
        <w:t xml:space="preserve"> </w:t>
      </w:r>
      <w:r w:rsidR="002479B1" w:rsidRPr="00796D13">
        <w:rPr>
          <w:lang w:val="es-ES_tradnl"/>
        </w:rPr>
        <w:t>fiscalizadores</w:t>
      </w:r>
      <w:r w:rsidR="00F51DCB" w:rsidRPr="00796D13">
        <w:rPr>
          <w:lang w:val="es-ES_tradnl"/>
        </w:rPr>
        <w:t xml:space="preserve"> y </w:t>
      </w:r>
      <w:r w:rsidR="00C7778F" w:rsidRPr="00796D13">
        <w:rPr>
          <w:lang w:val="es-ES_tradnl"/>
        </w:rPr>
        <w:t>técnicos</w:t>
      </w:r>
      <w:r w:rsidR="00A13BEA" w:rsidRPr="00796D13">
        <w:rPr>
          <w:lang w:val="es-ES_tradnl"/>
        </w:rPr>
        <w:t xml:space="preserve"> </w:t>
      </w:r>
      <w:r w:rsidR="00007A94" w:rsidRPr="00796D13">
        <w:rPr>
          <w:lang w:val="es-ES_tradnl"/>
        </w:rPr>
        <w:t xml:space="preserve">y en </w:t>
      </w:r>
      <w:r w:rsidR="003F38F1">
        <w:rPr>
          <w:lang w:val="es-ES_tradnl"/>
        </w:rPr>
        <w:t xml:space="preserve">los </w:t>
      </w:r>
      <w:r w:rsidR="00007A94" w:rsidRPr="00796D13">
        <w:rPr>
          <w:lang w:val="es-ES_tradnl"/>
        </w:rPr>
        <w:t xml:space="preserve">programas </w:t>
      </w:r>
      <w:r w:rsidR="00EC7447" w:rsidRPr="00796D13">
        <w:rPr>
          <w:lang w:val="es-ES_tradnl"/>
        </w:rPr>
        <w:t xml:space="preserve">de </w:t>
      </w:r>
      <w:r w:rsidR="00E26F0F" w:rsidRPr="00796D13">
        <w:rPr>
          <w:lang w:val="es-ES_tradnl"/>
        </w:rPr>
        <w:t>acreditación</w:t>
      </w:r>
      <w:r w:rsidR="00A13BEA" w:rsidRPr="00796D13">
        <w:rPr>
          <w:lang w:val="es-ES_tradnl"/>
        </w:rPr>
        <w:t xml:space="preserve"> </w:t>
      </w:r>
      <w:r w:rsidR="00755C5D" w:rsidRPr="00796D13">
        <w:rPr>
          <w:lang w:val="es-ES_tradnl"/>
        </w:rPr>
        <w:t>y</w:t>
      </w:r>
      <w:r w:rsidR="00A13BEA" w:rsidRPr="00796D13">
        <w:rPr>
          <w:lang w:val="es-ES_tradnl"/>
        </w:rPr>
        <w:t xml:space="preserve"> </w:t>
      </w:r>
      <w:r w:rsidR="001A1006" w:rsidRPr="00796D13">
        <w:rPr>
          <w:lang w:val="es-ES_tradnl"/>
        </w:rPr>
        <w:t>reforzamiento</w:t>
      </w:r>
      <w:r w:rsidR="00A13BEA" w:rsidRPr="00796D13">
        <w:rPr>
          <w:lang w:val="es-ES_tradnl"/>
        </w:rPr>
        <w:t xml:space="preserve"> </w:t>
      </w:r>
      <w:r w:rsidR="001A1006" w:rsidRPr="00796D13">
        <w:rPr>
          <w:lang w:val="es-ES_tradnl"/>
        </w:rPr>
        <w:t>de</w:t>
      </w:r>
      <w:r w:rsidR="00A13BEA" w:rsidRPr="00796D13">
        <w:rPr>
          <w:lang w:val="es-ES_tradnl"/>
        </w:rPr>
        <w:t xml:space="preserve"> </w:t>
      </w:r>
      <w:r w:rsidR="001A1006" w:rsidRPr="00796D13">
        <w:rPr>
          <w:lang w:val="es-ES_tradnl"/>
        </w:rPr>
        <w:t>capacidades</w:t>
      </w:r>
      <w:r w:rsidR="00590FF4" w:rsidRPr="00796D13">
        <w:rPr>
          <w:lang w:val="es-ES_tradnl"/>
        </w:rPr>
        <w:t>.</w:t>
      </w:r>
      <w:r w:rsidR="00A13BEA" w:rsidRPr="00796D13">
        <w:rPr>
          <w:lang w:val="es-ES_tradnl"/>
        </w:rPr>
        <w:t xml:space="preserve"> </w:t>
      </w:r>
      <w:r w:rsidR="000521A3" w:rsidRPr="00796D13">
        <w:rPr>
          <w:lang w:val="es-ES_tradnl"/>
        </w:rPr>
        <w:t>La</w:t>
      </w:r>
      <w:r w:rsidR="00A13BEA" w:rsidRPr="00796D13">
        <w:rPr>
          <w:lang w:val="es-ES_tradnl"/>
        </w:rPr>
        <w:t xml:space="preserve"> </w:t>
      </w:r>
      <w:r w:rsidR="000521A3" w:rsidRPr="00796D13">
        <w:rPr>
          <w:lang w:val="es-ES_tradnl"/>
        </w:rPr>
        <w:t>ONO</w:t>
      </w:r>
      <w:r w:rsidR="00A13BEA" w:rsidRPr="00796D13">
        <w:rPr>
          <w:lang w:val="es-ES_tradnl"/>
        </w:rPr>
        <w:t xml:space="preserve"> </w:t>
      </w:r>
      <w:r w:rsidR="00351F4F" w:rsidRPr="00796D13">
        <w:rPr>
          <w:lang w:val="es-ES_tradnl"/>
        </w:rPr>
        <w:t xml:space="preserve">procurará además </w:t>
      </w:r>
      <w:r w:rsidR="0089571F" w:rsidRPr="00796D13">
        <w:rPr>
          <w:lang w:val="es-ES_tradnl"/>
        </w:rPr>
        <w:t>integrar</w:t>
      </w:r>
      <w:r w:rsidR="00A13BEA" w:rsidRPr="00796D13">
        <w:rPr>
          <w:lang w:val="es-ES_tradnl"/>
        </w:rPr>
        <w:t xml:space="preserve"> </w:t>
      </w:r>
      <w:r w:rsidR="0089571F" w:rsidRPr="00796D13">
        <w:rPr>
          <w:lang w:val="es-ES_tradnl"/>
        </w:rPr>
        <w:t xml:space="preserve">indicadores </w:t>
      </w:r>
      <w:r w:rsidR="00B20698" w:rsidRPr="00796D13">
        <w:rPr>
          <w:lang w:val="es-ES_tradnl"/>
        </w:rPr>
        <w:t>de género</w:t>
      </w:r>
      <w:r w:rsidR="00A13BEA" w:rsidRPr="00796D13">
        <w:rPr>
          <w:lang w:val="es-ES_tradnl"/>
        </w:rPr>
        <w:t xml:space="preserve"> </w:t>
      </w:r>
      <w:r w:rsidR="002A667F">
        <w:rPr>
          <w:lang w:val="es-ES_tradnl"/>
        </w:rPr>
        <w:t>a</w:t>
      </w:r>
      <w:r w:rsidR="00A13BEA" w:rsidRPr="00796D13">
        <w:rPr>
          <w:lang w:val="es-ES_tradnl"/>
        </w:rPr>
        <w:t xml:space="preserve"> </w:t>
      </w:r>
      <w:r w:rsidR="0089571F" w:rsidRPr="00796D13">
        <w:rPr>
          <w:lang w:val="es-ES_tradnl"/>
        </w:rPr>
        <w:t xml:space="preserve">los procesos de </w:t>
      </w:r>
      <w:r w:rsidR="003208A7" w:rsidRPr="00796D13">
        <w:rPr>
          <w:lang w:val="es-ES_tradnl"/>
        </w:rPr>
        <w:t>planificación</w:t>
      </w:r>
      <w:r w:rsidR="00590FF4" w:rsidRPr="00796D13">
        <w:rPr>
          <w:lang w:val="es-ES_tradnl"/>
        </w:rPr>
        <w:t>,</w:t>
      </w:r>
      <w:r w:rsidR="00A13BEA" w:rsidRPr="00796D13">
        <w:rPr>
          <w:lang w:val="es-ES_tradnl"/>
        </w:rPr>
        <w:t xml:space="preserve"> </w:t>
      </w:r>
      <w:r w:rsidR="0089571F" w:rsidRPr="00796D13">
        <w:rPr>
          <w:lang w:val="es-ES_tradnl"/>
        </w:rPr>
        <w:t xml:space="preserve">ejecución e información </w:t>
      </w:r>
      <w:r w:rsidR="00755C5D" w:rsidRPr="00796D13">
        <w:rPr>
          <w:lang w:val="es-ES_tradnl"/>
        </w:rPr>
        <w:t>de</w:t>
      </w:r>
      <w:r w:rsidR="00A13BEA" w:rsidRPr="00796D13">
        <w:rPr>
          <w:lang w:val="es-ES_tradnl"/>
        </w:rPr>
        <w:t xml:space="preserve"> </w:t>
      </w:r>
      <w:r w:rsidR="00D01DC2" w:rsidRPr="00796D13">
        <w:rPr>
          <w:lang w:val="es-ES_tradnl"/>
        </w:rPr>
        <w:t>cada</w:t>
      </w:r>
      <w:r w:rsidR="00A13BEA" w:rsidRPr="00796D13">
        <w:rPr>
          <w:lang w:val="es-ES_tradnl"/>
        </w:rPr>
        <w:t xml:space="preserve"> </w:t>
      </w:r>
      <w:r w:rsidR="009374DA" w:rsidRPr="00796D13">
        <w:rPr>
          <w:lang w:val="es-ES_tradnl"/>
        </w:rPr>
        <w:t>componente</w:t>
      </w:r>
      <w:r w:rsidR="00590FF4" w:rsidRPr="00796D13">
        <w:rPr>
          <w:lang w:val="es-ES_tradnl"/>
        </w:rPr>
        <w:t>.</w:t>
      </w:r>
      <w:r w:rsidR="00A13BEA" w:rsidRPr="00796D13">
        <w:rPr>
          <w:lang w:val="es-ES_tradnl"/>
        </w:rPr>
        <w:t xml:space="preserve"> </w:t>
      </w:r>
      <w:r w:rsidR="00BC71CA" w:rsidRPr="00796D13">
        <w:rPr>
          <w:lang w:val="es-ES_tradnl"/>
        </w:rPr>
        <w:t xml:space="preserve">En las </w:t>
      </w:r>
      <w:r w:rsidR="00CC3781" w:rsidRPr="00796D13">
        <w:rPr>
          <w:lang w:val="es-ES_tradnl"/>
        </w:rPr>
        <w:t>s</w:t>
      </w:r>
      <w:r w:rsidR="003208A7" w:rsidRPr="00796D13">
        <w:rPr>
          <w:lang w:val="es-ES_tradnl"/>
        </w:rPr>
        <w:t>esiones</w:t>
      </w:r>
      <w:r w:rsidR="00A13BEA" w:rsidRPr="00796D13">
        <w:rPr>
          <w:lang w:val="es-ES_tradnl"/>
        </w:rPr>
        <w:t xml:space="preserve"> </w:t>
      </w:r>
      <w:r w:rsidR="003208A7" w:rsidRPr="00796D13">
        <w:rPr>
          <w:lang w:val="es-ES_tradnl"/>
        </w:rPr>
        <w:t>de</w:t>
      </w:r>
      <w:r w:rsidR="00A13BEA" w:rsidRPr="00796D13">
        <w:rPr>
          <w:lang w:val="es-ES_tradnl"/>
        </w:rPr>
        <w:t xml:space="preserve"> </w:t>
      </w:r>
      <w:r w:rsidR="003208A7" w:rsidRPr="00796D13">
        <w:rPr>
          <w:lang w:val="es-ES_tradnl"/>
        </w:rPr>
        <w:t>capacitación</w:t>
      </w:r>
      <w:r w:rsidR="00A13BEA" w:rsidRPr="00796D13">
        <w:rPr>
          <w:lang w:val="es-ES_tradnl"/>
        </w:rPr>
        <w:t xml:space="preserve"> </w:t>
      </w:r>
      <w:r w:rsidR="00755C5D" w:rsidRPr="00796D13">
        <w:rPr>
          <w:lang w:val="es-ES_tradnl"/>
        </w:rPr>
        <w:t>y</w:t>
      </w:r>
      <w:r w:rsidR="00A13BEA" w:rsidRPr="00796D13">
        <w:rPr>
          <w:lang w:val="es-ES_tradnl"/>
        </w:rPr>
        <w:t xml:space="preserve"> </w:t>
      </w:r>
      <w:r w:rsidR="009374DA" w:rsidRPr="00796D13">
        <w:rPr>
          <w:lang w:val="es-ES_tradnl"/>
        </w:rPr>
        <w:t>reuniones</w:t>
      </w:r>
      <w:r w:rsidR="00A13BEA" w:rsidRPr="00796D13">
        <w:rPr>
          <w:lang w:val="es-ES_tradnl"/>
        </w:rPr>
        <w:t xml:space="preserve"> </w:t>
      </w:r>
      <w:r w:rsidR="00CC3781" w:rsidRPr="00796D13">
        <w:rPr>
          <w:lang w:val="es-ES_tradnl"/>
        </w:rPr>
        <w:t xml:space="preserve">sobre </w:t>
      </w:r>
      <w:r w:rsidR="00CA047D" w:rsidRPr="00796D13">
        <w:rPr>
          <w:lang w:val="es-ES_tradnl"/>
        </w:rPr>
        <w:t>materias relativ</w:t>
      </w:r>
      <w:r w:rsidR="00AF12FF" w:rsidRPr="00796D13">
        <w:rPr>
          <w:lang w:val="es-ES_tradnl"/>
        </w:rPr>
        <w:t>as</w:t>
      </w:r>
      <w:r w:rsidR="00CA047D" w:rsidRPr="00796D13">
        <w:rPr>
          <w:lang w:val="es-ES_tradnl"/>
        </w:rPr>
        <w:t xml:space="preserve"> al ozono </w:t>
      </w:r>
      <w:r w:rsidR="00AF12FF" w:rsidRPr="00796D13">
        <w:rPr>
          <w:lang w:val="es-ES_tradnl"/>
        </w:rPr>
        <w:t xml:space="preserve">se </w:t>
      </w:r>
      <w:r w:rsidR="00087A62" w:rsidRPr="00796D13">
        <w:rPr>
          <w:lang w:val="es-ES_tradnl"/>
        </w:rPr>
        <w:t xml:space="preserve">abordará también la </w:t>
      </w:r>
      <w:r w:rsidR="00A13BEA" w:rsidRPr="00796D13">
        <w:rPr>
          <w:lang w:val="es-ES_tradnl"/>
        </w:rPr>
        <w:t xml:space="preserve">importancia </w:t>
      </w:r>
      <w:r w:rsidR="00755C5D" w:rsidRPr="00796D13">
        <w:rPr>
          <w:lang w:val="es-ES_tradnl"/>
        </w:rPr>
        <w:t>de</w:t>
      </w:r>
      <w:r w:rsidR="00A13BEA" w:rsidRPr="00796D13">
        <w:rPr>
          <w:lang w:val="es-ES_tradnl"/>
        </w:rPr>
        <w:t xml:space="preserve"> </w:t>
      </w:r>
      <w:r w:rsidR="0056650C" w:rsidRPr="00796D13">
        <w:rPr>
          <w:lang w:val="es-ES_tradnl"/>
        </w:rPr>
        <w:t>incorporar</w:t>
      </w:r>
      <w:r w:rsidR="00055F50" w:rsidRPr="00796D13">
        <w:rPr>
          <w:lang w:val="es-ES_tradnl"/>
        </w:rPr>
        <w:t xml:space="preserve"> la perspectiva </w:t>
      </w:r>
      <w:r w:rsidR="00755C5D" w:rsidRPr="00796D13">
        <w:rPr>
          <w:lang w:val="es-ES_tradnl"/>
        </w:rPr>
        <w:t>y</w:t>
      </w:r>
      <w:r w:rsidR="00A13BEA" w:rsidRPr="00796D13">
        <w:rPr>
          <w:lang w:val="es-ES_tradnl"/>
        </w:rPr>
        <w:t xml:space="preserve"> </w:t>
      </w:r>
      <w:r w:rsidR="00BA5478" w:rsidRPr="00796D13">
        <w:rPr>
          <w:lang w:val="es-ES_tradnl"/>
        </w:rPr>
        <w:t>paridad de género</w:t>
      </w:r>
      <w:r w:rsidR="0077365E" w:rsidRPr="00796D13">
        <w:rPr>
          <w:lang w:val="es-ES_tradnl"/>
        </w:rPr>
        <w:t xml:space="preserve"> y s</w:t>
      </w:r>
      <w:r w:rsidR="006A0BCC" w:rsidRPr="00796D13">
        <w:rPr>
          <w:lang w:val="es-ES_tradnl"/>
        </w:rPr>
        <w:t>e recogerá</w:t>
      </w:r>
      <w:r w:rsidR="00E6342F" w:rsidRPr="00796D13">
        <w:rPr>
          <w:lang w:val="es-ES_tradnl"/>
        </w:rPr>
        <w:t>n</w:t>
      </w:r>
      <w:r w:rsidR="006A0BCC" w:rsidRPr="00796D13">
        <w:rPr>
          <w:lang w:val="es-ES_tradnl"/>
        </w:rPr>
        <w:t xml:space="preserve"> datos </w:t>
      </w:r>
      <w:r w:rsidR="00D958A4" w:rsidRPr="00D958A4">
        <w:rPr>
          <w:lang w:val="es-ES_tradnl"/>
        </w:rPr>
        <w:t xml:space="preserve">cualitativos </w:t>
      </w:r>
      <w:r w:rsidR="00D958A4">
        <w:rPr>
          <w:lang w:val="es-ES_tradnl"/>
        </w:rPr>
        <w:t xml:space="preserve">y </w:t>
      </w:r>
      <w:r w:rsidR="006A0BCC" w:rsidRPr="00796D13">
        <w:rPr>
          <w:lang w:val="es-ES_tradnl"/>
        </w:rPr>
        <w:t xml:space="preserve">desglosados por </w:t>
      </w:r>
      <w:r w:rsidR="00D57661">
        <w:rPr>
          <w:lang w:val="es-ES_tradnl"/>
        </w:rPr>
        <w:t>sexo</w:t>
      </w:r>
      <w:r w:rsidR="006A0BCC" w:rsidRPr="00796D13">
        <w:rPr>
          <w:lang w:val="es-ES_tradnl"/>
        </w:rPr>
        <w:t xml:space="preserve"> </w:t>
      </w:r>
      <w:r w:rsidR="00EC54C3" w:rsidRPr="00796D13">
        <w:rPr>
          <w:lang w:val="es-ES_tradnl"/>
        </w:rPr>
        <w:t xml:space="preserve">para analizar </w:t>
      </w:r>
      <w:r w:rsidR="00755C5D" w:rsidRPr="00796D13">
        <w:rPr>
          <w:lang w:val="es-ES_tradnl"/>
        </w:rPr>
        <w:t>y</w:t>
      </w:r>
      <w:r w:rsidR="00A13BEA" w:rsidRPr="00796D13">
        <w:rPr>
          <w:lang w:val="es-ES_tradnl"/>
        </w:rPr>
        <w:t xml:space="preserve"> </w:t>
      </w:r>
      <w:r w:rsidR="00A63E3C">
        <w:rPr>
          <w:lang w:val="es-ES_tradnl"/>
        </w:rPr>
        <w:t>vigilar</w:t>
      </w:r>
      <w:r w:rsidR="003C36AE" w:rsidRPr="00796D13">
        <w:rPr>
          <w:lang w:val="es-ES_tradnl"/>
        </w:rPr>
        <w:t xml:space="preserve"> los </w:t>
      </w:r>
      <w:r w:rsidR="00B20698" w:rsidRPr="00796D13">
        <w:rPr>
          <w:lang w:val="es-ES_tradnl"/>
        </w:rPr>
        <w:t>temas de género</w:t>
      </w:r>
      <w:r w:rsidR="00590FF4" w:rsidRPr="00796D13">
        <w:rPr>
          <w:lang w:val="es-ES_tradnl"/>
        </w:rPr>
        <w:t>.</w:t>
      </w:r>
    </w:p>
    <w:p w14:paraId="2BCE6E62" w14:textId="4CBDBACF" w:rsidR="00C679D6" w:rsidRPr="00B924EB" w:rsidRDefault="009374DA" w:rsidP="00C679D6">
      <w:pPr>
        <w:pStyle w:val="Heading1"/>
        <w:numPr>
          <w:ilvl w:val="0"/>
          <w:numId w:val="0"/>
        </w:numPr>
        <w:rPr>
          <w:u w:val="single"/>
          <w:lang w:val="es-ES_tradnl"/>
        </w:rPr>
      </w:pPr>
      <w:r w:rsidRPr="00B924EB">
        <w:rPr>
          <w:u w:val="single"/>
          <w:lang w:val="es-ES_tradnl"/>
        </w:rPr>
        <w:t>Costo</w:t>
      </w:r>
      <w:r w:rsidR="00A13BEA" w:rsidRPr="00B924EB">
        <w:rPr>
          <w:u w:val="single"/>
          <w:lang w:val="es-ES_tradnl"/>
        </w:rPr>
        <w:t xml:space="preserve"> </w:t>
      </w:r>
      <w:r w:rsidRPr="00B924EB">
        <w:rPr>
          <w:u w:val="single"/>
          <w:lang w:val="es-ES_tradnl"/>
        </w:rPr>
        <w:t>total</w:t>
      </w:r>
      <w:r w:rsidR="00A13BEA" w:rsidRPr="00B924EB">
        <w:rPr>
          <w:u w:val="single"/>
          <w:lang w:val="es-ES_tradnl"/>
        </w:rPr>
        <w:t xml:space="preserve"> </w:t>
      </w:r>
      <w:r w:rsidRPr="00B924EB">
        <w:rPr>
          <w:u w:val="single"/>
          <w:lang w:val="es-ES_tradnl"/>
        </w:rPr>
        <w:t>de</w:t>
      </w:r>
      <w:r w:rsidR="00A13BEA" w:rsidRPr="00B924EB">
        <w:rPr>
          <w:u w:val="single"/>
          <w:lang w:val="es-ES_tradnl"/>
        </w:rPr>
        <w:t xml:space="preserve"> </w:t>
      </w:r>
      <w:r w:rsidR="003208A7" w:rsidRPr="00B924EB">
        <w:rPr>
          <w:u w:val="single"/>
          <w:lang w:val="es-ES_tradnl"/>
        </w:rPr>
        <w:t>la</w:t>
      </w:r>
      <w:r w:rsidR="00A13BEA" w:rsidRPr="00B924EB">
        <w:rPr>
          <w:u w:val="single"/>
          <w:lang w:val="es-ES_tradnl"/>
        </w:rPr>
        <w:t xml:space="preserve"> </w:t>
      </w:r>
      <w:r w:rsidR="003208A7" w:rsidRPr="00B924EB">
        <w:rPr>
          <w:u w:val="single"/>
          <w:lang w:val="es-ES_tradnl"/>
        </w:rPr>
        <w:t>etapa</w:t>
      </w:r>
      <w:r w:rsidR="00A13BEA" w:rsidRPr="00B924EB">
        <w:rPr>
          <w:u w:val="single"/>
          <w:lang w:val="es-ES_tradnl"/>
        </w:rPr>
        <w:t xml:space="preserve"> </w:t>
      </w:r>
      <w:r w:rsidR="003208A7" w:rsidRPr="00B924EB">
        <w:rPr>
          <w:u w:val="single"/>
          <w:lang w:val="es-ES_tradnl"/>
        </w:rPr>
        <w:t>I</w:t>
      </w:r>
      <w:r w:rsidR="00C679D6" w:rsidRPr="00B924EB">
        <w:rPr>
          <w:u w:val="single"/>
          <w:lang w:val="es-ES_tradnl"/>
        </w:rPr>
        <w:t>I</w:t>
      </w:r>
      <w:r w:rsidR="00A13BEA" w:rsidRPr="00B924EB">
        <w:rPr>
          <w:u w:val="single"/>
          <w:lang w:val="es-ES_tradnl"/>
        </w:rPr>
        <w:t xml:space="preserve"> </w:t>
      </w:r>
      <w:r w:rsidR="00755C5D" w:rsidRPr="00B924EB">
        <w:rPr>
          <w:u w:val="single"/>
          <w:lang w:val="es-ES_tradnl"/>
        </w:rPr>
        <w:t>del</w:t>
      </w:r>
      <w:r w:rsidR="00A13BEA" w:rsidRPr="00B924EB">
        <w:rPr>
          <w:u w:val="single"/>
          <w:lang w:val="es-ES_tradnl"/>
        </w:rPr>
        <w:t xml:space="preserve"> </w:t>
      </w:r>
      <w:r w:rsidR="00755C5D" w:rsidRPr="00B924EB">
        <w:rPr>
          <w:u w:val="single"/>
          <w:lang w:val="es-ES_tradnl"/>
        </w:rPr>
        <w:t>PGEH</w:t>
      </w:r>
    </w:p>
    <w:p w14:paraId="651C1217" w14:textId="477E2E64" w:rsidR="000521A3" w:rsidRPr="00B924EB" w:rsidRDefault="00E26F0F" w:rsidP="00D935A9">
      <w:pPr>
        <w:pStyle w:val="Heading1"/>
        <w:widowControl w:val="0"/>
        <w:rPr>
          <w:lang w:val="es-ES_tradnl"/>
        </w:rPr>
      </w:pPr>
      <w:r w:rsidRPr="00B924EB">
        <w:rPr>
          <w:lang w:val="es-ES_tradnl"/>
        </w:rPr>
        <w:t>El</w:t>
      </w:r>
      <w:r w:rsidR="00A13BEA" w:rsidRPr="00B924EB">
        <w:rPr>
          <w:lang w:val="es-ES_tradnl"/>
        </w:rPr>
        <w:t xml:space="preserve"> </w:t>
      </w:r>
      <w:r w:rsidRPr="00B924EB">
        <w:rPr>
          <w:lang w:val="es-ES_tradnl"/>
        </w:rPr>
        <w:t>costo</w:t>
      </w:r>
      <w:r w:rsidR="00A13BEA" w:rsidRPr="00B924EB">
        <w:rPr>
          <w:lang w:val="es-ES_tradnl"/>
        </w:rPr>
        <w:t xml:space="preserve"> </w:t>
      </w:r>
      <w:r w:rsidRPr="00B924EB">
        <w:rPr>
          <w:lang w:val="es-ES_tradnl"/>
        </w:rPr>
        <w:t>total</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C679D6" w:rsidRPr="00B924EB">
        <w:rPr>
          <w:lang w:val="es-ES_tradnl"/>
        </w:rPr>
        <w:t>I</w:t>
      </w:r>
      <w:r w:rsidR="00A13BEA" w:rsidRPr="00B924EB">
        <w:rPr>
          <w:lang w:val="es-ES_tradnl"/>
        </w:rPr>
        <w:t xml:space="preserve"> </w:t>
      </w:r>
      <w:r w:rsidRPr="00B924EB">
        <w:rPr>
          <w:lang w:val="es-ES_tradnl"/>
        </w:rPr>
        <w:t>se</w:t>
      </w:r>
      <w:r w:rsidR="00A13BEA" w:rsidRPr="00B924EB">
        <w:rPr>
          <w:lang w:val="es-ES_tradnl"/>
        </w:rPr>
        <w:t xml:space="preserve"> </w:t>
      </w:r>
      <w:r w:rsidRPr="00B924EB">
        <w:rPr>
          <w:lang w:val="es-ES_tradnl"/>
        </w:rPr>
        <w:t>estima</w:t>
      </w:r>
      <w:r w:rsidR="00A13BEA" w:rsidRPr="00B924EB">
        <w:rPr>
          <w:lang w:val="es-ES_tradnl"/>
        </w:rPr>
        <w:t xml:space="preserve"> </w:t>
      </w:r>
      <w:r w:rsidRPr="00B924EB">
        <w:rPr>
          <w:lang w:val="es-ES_tradnl"/>
        </w:rPr>
        <w:t>en</w:t>
      </w:r>
      <w:r w:rsidR="00A13BEA" w:rsidRPr="00B924EB">
        <w:rPr>
          <w:lang w:val="es-ES_tradnl"/>
        </w:rPr>
        <w:t xml:space="preserve"> </w:t>
      </w:r>
      <w:r w:rsidR="00755C5D" w:rsidRPr="00B924EB">
        <w:rPr>
          <w:lang w:val="es-ES_tradnl"/>
        </w:rPr>
        <w:t>2.</w:t>
      </w:r>
      <w:r w:rsidR="008C38F4" w:rsidRPr="00B924EB">
        <w:rPr>
          <w:lang w:val="es-ES_tradnl"/>
        </w:rPr>
        <w:t>87</w:t>
      </w:r>
      <w:r w:rsidR="009374DA" w:rsidRPr="00B924EB">
        <w:rPr>
          <w:lang w:val="es-ES_tradnl"/>
        </w:rPr>
        <w:t>5.</w:t>
      </w:r>
      <w:r w:rsidR="008C38F4" w:rsidRPr="00B924EB">
        <w:rPr>
          <w:lang w:val="es-ES_tradnl"/>
        </w:rPr>
        <w:t>000</w:t>
      </w:r>
      <w:r w:rsidR="00DD5B81" w:rsidRPr="00DD5B81">
        <w:rPr>
          <w:lang w:val="es-ES_tradnl"/>
        </w:rPr>
        <w:t xml:space="preserve"> $EUA</w:t>
      </w:r>
      <w:r w:rsidR="00A13BEA" w:rsidRPr="00B924EB">
        <w:rPr>
          <w:lang w:val="es-ES_tradnl"/>
        </w:rPr>
        <w:t xml:space="preserve"> </w:t>
      </w:r>
      <w:r w:rsidR="00C679D6" w:rsidRPr="00B924EB">
        <w:rPr>
          <w:lang w:val="es-ES_tradnl"/>
        </w:rPr>
        <w:t>(</w:t>
      </w:r>
      <w:r w:rsidRPr="00B924EB">
        <w:rPr>
          <w:lang w:val="es-ES_tradnl"/>
        </w:rPr>
        <w:t>más</w:t>
      </w:r>
      <w:r w:rsidR="00A13BEA" w:rsidRPr="00B924EB">
        <w:rPr>
          <w:lang w:val="es-ES_tradnl"/>
        </w:rPr>
        <w:t xml:space="preserve"> </w:t>
      </w:r>
      <w:r w:rsidR="000521A3" w:rsidRPr="00B924EB">
        <w:rPr>
          <w:lang w:val="es-ES_tradnl"/>
        </w:rPr>
        <w:t>gastos</w:t>
      </w:r>
      <w:r w:rsidR="00A13BEA" w:rsidRPr="00B924EB">
        <w:rPr>
          <w:lang w:val="es-ES_tradnl"/>
        </w:rPr>
        <w:t xml:space="preserve"> </w:t>
      </w:r>
      <w:r w:rsidR="000521A3" w:rsidRPr="00B924EB">
        <w:rPr>
          <w:lang w:val="es-ES_tradnl"/>
        </w:rPr>
        <w:t>de</w:t>
      </w:r>
      <w:r w:rsidR="00A13BEA" w:rsidRPr="00B924EB">
        <w:rPr>
          <w:lang w:val="es-ES_tradnl"/>
        </w:rPr>
        <w:t xml:space="preserve"> </w:t>
      </w:r>
      <w:r w:rsidR="000521A3" w:rsidRPr="00B924EB">
        <w:rPr>
          <w:lang w:val="es-ES_tradnl"/>
        </w:rPr>
        <w:t>apoyo</w:t>
      </w:r>
      <w:r w:rsidR="00C679D6" w:rsidRPr="00B924EB">
        <w:rPr>
          <w:lang w:val="es-ES_tradnl"/>
        </w:rPr>
        <w:t>),</w:t>
      </w:r>
      <w:r w:rsidR="00A13BEA" w:rsidRPr="00B924EB">
        <w:rPr>
          <w:lang w:val="es-ES_tradnl"/>
        </w:rPr>
        <w:t xml:space="preserve"> </w:t>
      </w:r>
      <w:r w:rsidR="009374DA" w:rsidRPr="00B924EB">
        <w:rPr>
          <w:lang w:val="es-ES_tradnl"/>
        </w:rPr>
        <w:t>según</w:t>
      </w:r>
      <w:r w:rsidR="00A13BEA" w:rsidRPr="00B924EB">
        <w:rPr>
          <w:lang w:val="es-ES_tradnl"/>
        </w:rPr>
        <w:t xml:space="preserve"> </w:t>
      </w:r>
      <w:r w:rsidR="009374DA" w:rsidRPr="00B924EB">
        <w:rPr>
          <w:lang w:val="es-ES_tradnl"/>
        </w:rPr>
        <w:t>lo</w:t>
      </w:r>
      <w:r w:rsidR="00A13BEA" w:rsidRPr="00B924EB">
        <w:rPr>
          <w:lang w:val="es-ES_tradnl"/>
        </w:rPr>
        <w:t xml:space="preserve"> </w:t>
      </w:r>
      <w:r w:rsidR="009374DA" w:rsidRPr="00B924EB">
        <w:rPr>
          <w:lang w:val="es-ES_tradnl"/>
        </w:rPr>
        <w:t>originalmente</w:t>
      </w:r>
      <w:r w:rsidR="00A13BEA" w:rsidRPr="00B924EB">
        <w:rPr>
          <w:lang w:val="es-ES_tradnl"/>
        </w:rPr>
        <w:t xml:space="preserve"> </w:t>
      </w:r>
      <w:r w:rsidR="009374DA" w:rsidRPr="00B924EB">
        <w:rPr>
          <w:lang w:val="es-ES_tradnl"/>
        </w:rPr>
        <w:t>solicitado</w:t>
      </w:r>
      <w:r w:rsidR="001C6D6F" w:rsidRPr="00B924EB">
        <w:rPr>
          <w:lang w:val="es-ES_tradnl"/>
        </w:rPr>
        <w:t>,</w:t>
      </w:r>
      <w:r w:rsidR="00A13BEA" w:rsidRPr="00B924EB">
        <w:rPr>
          <w:lang w:val="es-ES_tradnl"/>
        </w:rPr>
        <w:t xml:space="preserve"> </w:t>
      </w:r>
      <w:r w:rsidR="00EA245E" w:rsidRPr="00EA245E">
        <w:rPr>
          <w:lang w:val="es-ES_tradnl"/>
        </w:rPr>
        <w:t xml:space="preserve">y se propone lograr </w:t>
      </w:r>
      <w:r w:rsidR="00C61811" w:rsidRPr="00C61811">
        <w:rPr>
          <w:lang w:val="es-ES_tradnl"/>
        </w:rPr>
        <w:t>al año 2025</w:t>
      </w:r>
      <w:r w:rsidR="00C61811">
        <w:rPr>
          <w:lang w:val="es-ES_tradnl"/>
        </w:rPr>
        <w:t xml:space="preserve"> </w:t>
      </w:r>
      <w:r w:rsidR="00EA245E" w:rsidRPr="00EA245E">
        <w:rPr>
          <w:lang w:val="es-ES_tradnl"/>
        </w:rPr>
        <w:t>una reducción del</w:t>
      </w:r>
      <w:r w:rsidR="00A13BEA" w:rsidRPr="00B924EB">
        <w:rPr>
          <w:lang w:val="es-ES_tradnl"/>
        </w:rPr>
        <w:t xml:space="preserve"> </w:t>
      </w:r>
      <w:r w:rsidR="004D716D" w:rsidRPr="00B924EB">
        <w:rPr>
          <w:lang w:val="es-ES_tradnl"/>
        </w:rPr>
        <w:t>69</w:t>
      </w:r>
      <w:r w:rsidR="00A13BEA" w:rsidRPr="00B924EB">
        <w:rPr>
          <w:lang w:val="es-ES_tradnl"/>
        </w:rPr>
        <w:t xml:space="preserve"> </w:t>
      </w:r>
      <w:r w:rsidR="00755C5D" w:rsidRPr="00B924EB">
        <w:rPr>
          <w:lang w:val="es-ES_tradnl"/>
        </w:rPr>
        <w:t>por</w:t>
      </w:r>
      <w:r w:rsidR="00A13BEA" w:rsidRPr="00B924EB">
        <w:rPr>
          <w:lang w:val="es-ES_tradnl"/>
        </w:rPr>
        <w:t xml:space="preserve"> </w:t>
      </w:r>
      <w:r w:rsidR="00755C5D" w:rsidRPr="00B924EB">
        <w:rPr>
          <w:lang w:val="es-ES_tradnl"/>
        </w:rPr>
        <w:t>ciento</w:t>
      </w:r>
      <w:r w:rsidR="00A13BEA" w:rsidRPr="00B924EB">
        <w:rPr>
          <w:lang w:val="es-ES_tradnl"/>
        </w:rPr>
        <w:t xml:space="preserve"> </w:t>
      </w:r>
      <w:r w:rsidR="00E307DC">
        <w:rPr>
          <w:lang w:val="es-ES_tradnl"/>
        </w:rPr>
        <w:t xml:space="preserve">sobre </w:t>
      </w:r>
      <w:r w:rsidR="00464CFB">
        <w:rPr>
          <w:lang w:val="es-ES_tradnl"/>
        </w:rPr>
        <w:t xml:space="preserve">el </w:t>
      </w:r>
      <w:r w:rsidR="00B91C80" w:rsidRPr="00B91C80">
        <w:rPr>
          <w:lang w:val="es-ES_tradnl"/>
        </w:rPr>
        <w:t xml:space="preserve">consumo </w:t>
      </w:r>
      <w:r w:rsidR="00464CFB" w:rsidRPr="00464CFB">
        <w:rPr>
          <w:lang w:val="es-ES_tradnl"/>
        </w:rPr>
        <w:t xml:space="preserve">base </w:t>
      </w:r>
      <w:r w:rsidR="00B91C80" w:rsidRPr="00B91C80">
        <w:rPr>
          <w:lang w:val="es-ES_tradnl"/>
        </w:rPr>
        <w:t>de HCFC</w:t>
      </w:r>
      <w:r w:rsidR="00C679D6" w:rsidRPr="00B924EB">
        <w:rPr>
          <w:lang w:val="es-ES_tradnl"/>
        </w:rPr>
        <w:t>.</w:t>
      </w:r>
      <w:r w:rsidR="00A13BEA" w:rsidRPr="00B924EB">
        <w:rPr>
          <w:lang w:val="es-ES_tradnl"/>
        </w:rPr>
        <w:t xml:space="preserve"> </w:t>
      </w:r>
      <w:r w:rsidR="00E15311">
        <w:rPr>
          <w:lang w:val="es-ES_tradnl"/>
        </w:rPr>
        <w:t>El Cuadro 4</w:t>
      </w:r>
      <w:r w:rsidR="00757DE7" w:rsidRPr="00757DE7">
        <w:rPr>
          <w:lang w:val="es-ES_tradnl"/>
        </w:rPr>
        <w:t xml:space="preserve"> resume las actividades propuestas y el desglose de costos.</w:t>
      </w:r>
    </w:p>
    <w:p w14:paraId="649FF32F" w14:textId="4CD2CE19" w:rsidR="00C679D6" w:rsidRPr="00B924EB" w:rsidRDefault="00755C5D" w:rsidP="00C679D6">
      <w:pPr>
        <w:keepNext/>
        <w:rPr>
          <w:b/>
          <w:lang w:val="es-ES_tradnl"/>
        </w:rPr>
      </w:pPr>
      <w:r w:rsidRPr="00B924EB">
        <w:rPr>
          <w:b/>
          <w:lang w:val="es-ES_tradnl"/>
        </w:rPr>
        <w:t>Cuadro</w:t>
      </w:r>
      <w:r w:rsidR="00A13BEA" w:rsidRPr="00B924EB">
        <w:rPr>
          <w:b/>
          <w:lang w:val="es-ES_tradnl"/>
        </w:rPr>
        <w:t xml:space="preserve"> </w:t>
      </w:r>
      <w:r w:rsidR="00104199" w:rsidRPr="00B924EB">
        <w:rPr>
          <w:b/>
          <w:lang w:val="es-ES_tradnl"/>
        </w:rPr>
        <w:t>4</w:t>
      </w:r>
      <w:r w:rsidR="00C679D6" w:rsidRPr="00B924EB">
        <w:rPr>
          <w:b/>
          <w:lang w:val="es-ES_tradnl"/>
        </w:rPr>
        <w:t>.</w:t>
      </w:r>
      <w:r w:rsidR="00A13BEA" w:rsidRPr="00B924EB">
        <w:rPr>
          <w:b/>
          <w:lang w:val="es-ES_tradnl"/>
        </w:rPr>
        <w:t xml:space="preserve"> </w:t>
      </w:r>
      <w:r w:rsidR="009374DA" w:rsidRPr="00B924EB">
        <w:rPr>
          <w:b/>
          <w:lang w:val="es-ES_tradnl"/>
        </w:rPr>
        <w:t>Costo</w:t>
      </w:r>
      <w:r w:rsidR="00A13BEA" w:rsidRPr="00B924EB">
        <w:rPr>
          <w:b/>
          <w:lang w:val="es-ES_tradnl"/>
        </w:rPr>
        <w:t xml:space="preserve"> </w:t>
      </w:r>
      <w:r w:rsidR="009374DA" w:rsidRPr="00B924EB">
        <w:rPr>
          <w:b/>
          <w:lang w:val="es-ES_tradnl"/>
        </w:rPr>
        <w:t>total</w:t>
      </w:r>
      <w:r w:rsidR="00A13BEA" w:rsidRPr="00B924EB">
        <w:rPr>
          <w:b/>
          <w:lang w:val="es-ES_tradnl"/>
        </w:rPr>
        <w:t xml:space="preserve"> </w:t>
      </w:r>
      <w:r w:rsidR="009374DA" w:rsidRPr="00B924EB">
        <w:rPr>
          <w:b/>
          <w:lang w:val="es-ES_tradnl"/>
        </w:rPr>
        <w:t>de</w:t>
      </w:r>
      <w:r w:rsidR="00A13BEA" w:rsidRPr="00B924EB">
        <w:rPr>
          <w:b/>
          <w:lang w:val="es-ES_tradnl"/>
        </w:rPr>
        <w:t xml:space="preserve"> </w:t>
      </w:r>
      <w:r w:rsidR="003208A7" w:rsidRPr="00B924EB">
        <w:rPr>
          <w:b/>
          <w:lang w:val="es-ES_tradnl"/>
        </w:rPr>
        <w:t>la</w:t>
      </w:r>
      <w:r w:rsidR="00A13BEA" w:rsidRPr="00B924EB">
        <w:rPr>
          <w:b/>
          <w:lang w:val="es-ES_tradnl"/>
        </w:rPr>
        <w:t xml:space="preserve"> </w:t>
      </w:r>
      <w:r w:rsidR="003208A7" w:rsidRPr="00B924EB">
        <w:rPr>
          <w:b/>
          <w:lang w:val="es-ES_tradnl"/>
        </w:rPr>
        <w:t>etapa</w:t>
      </w:r>
      <w:r w:rsidR="00A13BEA" w:rsidRPr="00B924EB">
        <w:rPr>
          <w:b/>
          <w:lang w:val="es-ES_tradnl"/>
        </w:rPr>
        <w:t xml:space="preserve"> </w:t>
      </w:r>
      <w:r w:rsidR="003208A7" w:rsidRPr="00B924EB">
        <w:rPr>
          <w:b/>
          <w:lang w:val="es-ES_tradnl"/>
        </w:rPr>
        <w:t>I</w:t>
      </w:r>
      <w:r w:rsidR="00C679D6" w:rsidRPr="00B924EB">
        <w:rPr>
          <w:b/>
          <w:lang w:val="es-ES_tradnl"/>
        </w:rPr>
        <w:t>I</w:t>
      </w:r>
      <w:r w:rsidR="00A13BEA" w:rsidRPr="00B924EB">
        <w:rPr>
          <w:b/>
          <w:lang w:val="es-ES_tradnl"/>
        </w:rPr>
        <w:t xml:space="preserve"> </w:t>
      </w:r>
      <w:r w:rsidRPr="00B924EB">
        <w:rPr>
          <w:b/>
          <w:lang w:val="es-ES_tradnl"/>
        </w:rPr>
        <w:t>d</w:t>
      </w:r>
      <w:r w:rsidR="00DB3D7B" w:rsidRPr="00B924EB">
        <w:rPr>
          <w:b/>
          <w:lang w:val="es-ES_tradnl"/>
        </w:rPr>
        <w:t>el</w:t>
      </w:r>
      <w:r w:rsidR="00A13BEA" w:rsidRPr="00B924EB">
        <w:rPr>
          <w:b/>
          <w:lang w:val="es-ES_tradnl"/>
        </w:rPr>
        <w:t xml:space="preserve"> </w:t>
      </w:r>
      <w:r w:rsidR="00DB3D7B" w:rsidRPr="00B924EB">
        <w:rPr>
          <w:b/>
          <w:lang w:val="es-ES_tradnl"/>
        </w:rPr>
        <w:t>PGEH</w:t>
      </w:r>
      <w:r w:rsidR="00A13BEA" w:rsidRPr="00B924EB">
        <w:rPr>
          <w:b/>
          <w:lang w:val="es-ES_tradnl"/>
        </w:rPr>
        <w:t xml:space="preserve"> </w:t>
      </w:r>
      <w:r w:rsidR="00DB3D7B" w:rsidRPr="00B924EB">
        <w:rPr>
          <w:b/>
          <w:lang w:val="es-ES_tradnl"/>
        </w:rPr>
        <w:t>para</w:t>
      </w:r>
      <w:r w:rsidR="00A13BEA" w:rsidRPr="00B924EB">
        <w:rPr>
          <w:b/>
          <w:lang w:val="es-ES_tradnl"/>
        </w:rPr>
        <w:t xml:space="preserve"> </w:t>
      </w:r>
      <w:r w:rsidR="00021EB4">
        <w:rPr>
          <w:b/>
          <w:lang w:val="es-ES_tradnl"/>
        </w:rPr>
        <w:t>Iraq</w:t>
      </w:r>
      <w:r w:rsidR="003513AE">
        <w:rPr>
          <w:b/>
          <w:lang w:val="es-ES_tradnl"/>
        </w:rPr>
        <w:t xml:space="preserve">, </w:t>
      </w:r>
      <w:r w:rsidR="009374DA" w:rsidRPr="00B924EB">
        <w:rPr>
          <w:b/>
          <w:lang w:val="es-ES_tradnl"/>
        </w:rPr>
        <w:t>según</w:t>
      </w:r>
      <w:r w:rsidR="00A13BEA" w:rsidRPr="00B924EB">
        <w:rPr>
          <w:b/>
          <w:lang w:val="es-ES_tradnl"/>
        </w:rPr>
        <w:t xml:space="preserve"> </w:t>
      </w:r>
      <w:r w:rsidR="009374DA" w:rsidRPr="00B924EB">
        <w:rPr>
          <w:b/>
          <w:lang w:val="es-ES_tradnl"/>
        </w:rPr>
        <w:t>solicitud</w:t>
      </w:r>
      <w:r w:rsidR="00A13BEA" w:rsidRPr="00B924EB">
        <w:rPr>
          <w:b/>
          <w:lang w:val="es-ES_tradnl"/>
        </w:rPr>
        <w:t xml:space="preserve"> </w:t>
      </w:r>
      <w:r w:rsidR="009374DA" w:rsidRPr="00B924EB">
        <w:rPr>
          <w:b/>
          <w:lang w:val="es-ES_tradnl"/>
        </w:rPr>
        <w:t>original</w:t>
      </w:r>
      <w:r w:rsidR="00A13BEA" w:rsidRPr="00B924EB">
        <w:rPr>
          <w:b/>
          <w:lang w:val="es-ES_tradnl"/>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4"/>
        <w:gridCol w:w="1662"/>
        <w:gridCol w:w="1664"/>
      </w:tblGrid>
      <w:tr w:rsidR="005013AA" w:rsidRPr="00B924EB" w14:paraId="268601F5" w14:textId="77777777" w:rsidTr="00602308">
        <w:trPr>
          <w:trHeight w:val="251"/>
          <w:tblHeader/>
        </w:trPr>
        <w:tc>
          <w:tcPr>
            <w:tcW w:w="3221" w:type="pct"/>
            <w:shd w:val="clear" w:color="auto" w:fill="auto"/>
            <w:vAlign w:val="center"/>
            <w:hideMark/>
          </w:tcPr>
          <w:p w14:paraId="67413BB9" w14:textId="3692AD42" w:rsidR="005013AA" w:rsidRPr="00B924EB" w:rsidRDefault="009374DA" w:rsidP="00C145A1">
            <w:pPr>
              <w:jc w:val="center"/>
              <w:rPr>
                <w:b/>
                <w:bCs/>
                <w:color w:val="000000"/>
                <w:sz w:val="20"/>
                <w:szCs w:val="20"/>
                <w:lang w:val="es-ES_tradnl" w:eastAsia="zh-CN"/>
              </w:rPr>
            </w:pPr>
            <w:r w:rsidRPr="00B924EB">
              <w:rPr>
                <w:b/>
                <w:bCs/>
                <w:color w:val="000000"/>
                <w:sz w:val="20"/>
                <w:szCs w:val="20"/>
                <w:lang w:val="es-ES_tradnl" w:eastAsia="zh-CN"/>
              </w:rPr>
              <w:t>Componente</w:t>
            </w:r>
            <w:r w:rsidR="00A13BEA" w:rsidRPr="00B924EB">
              <w:rPr>
                <w:b/>
                <w:bCs/>
                <w:color w:val="000000"/>
                <w:sz w:val="20"/>
                <w:szCs w:val="20"/>
                <w:lang w:val="es-ES_tradnl" w:eastAsia="zh-CN"/>
              </w:rPr>
              <w:t xml:space="preserve"> </w:t>
            </w:r>
            <w:r w:rsidR="00755C5D" w:rsidRPr="00B924EB">
              <w:rPr>
                <w:b/>
                <w:bCs/>
                <w:color w:val="000000"/>
                <w:sz w:val="20"/>
                <w:szCs w:val="20"/>
                <w:lang w:val="es-ES_tradnl" w:eastAsia="zh-CN"/>
              </w:rPr>
              <w:t>y</w:t>
            </w:r>
            <w:r w:rsidR="00A13BEA" w:rsidRPr="00B924EB">
              <w:rPr>
                <w:b/>
                <w:bCs/>
                <w:color w:val="000000"/>
                <w:sz w:val="20"/>
                <w:szCs w:val="20"/>
                <w:lang w:val="es-ES_tradnl" w:eastAsia="zh-CN"/>
              </w:rPr>
              <w:t xml:space="preserve"> </w:t>
            </w:r>
            <w:r w:rsidR="00452F79" w:rsidRPr="00B924EB">
              <w:rPr>
                <w:b/>
                <w:bCs/>
                <w:color w:val="000000"/>
                <w:sz w:val="20"/>
                <w:szCs w:val="20"/>
                <w:lang w:val="es-ES_tradnl" w:eastAsia="zh-CN"/>
              </w:rPr>
              <w:t>actividad</w:t>
            </w:r>
          </w:p>
        </w:tc>
        <w:tc>
          <w:tcPr>
            <w:tcW w:w="889" w:type="pct"/>
          </w:tcPr>
          <w:p w14:paraId="4C9D0664" w14:textId="19881719" w:rsidR="005013AA" w:rsidRPr="00B924EB" w:rsidRDefault="00755C5D" w:rsidP="00E02DF4">
            <w:pPr>
              <w:jc w:val="center"/>
              <w:rPr>
                <w:b/>
                <w:bCs/>
                <w:color w:val="000000"/>
                <w:sz w:val="20"/>
                <w:szCs w:val="20"/>
                <w:lang w:val="es-ES_tradnl" w:eastAsia="zh-CN"/>
              </w:rPr>
            </w:pPr>
            <w:r w:rsidRPr="00B924EB">
              <w:rPr>
                <w:b/>
                <w:bCs/>
                <w:color w:val="000000"/>
                <w:sz w:val="20"/>
                <w:szCs w:val="20"/>
                <w:lang w:val="es-ES_tradnl" w:eastAsia="zh-CN"/>
              </w:rPr>
              <w:t>Organismo</w:t>
            </w:r>
          </w:p>
        </w:tc>
        <w:tc>
          <w:tcPr>
            <w:tcW w:w="890" w:type="pct"/>
            <w:shd w:val="clear" w:color="auto" w:fill="auto"/>
            <w:vAlign w:val="center"/>
            <w:hideMark/>
          </w:tcPr>
          <w:p w14:paraId="3F0B1088" w14:textId="067CB754" w:rsidR="005013AA" w:rsidRPr="00B924EB" w:rsidRDefault="000521A3" w:rsidP="00E02DF4">
            <w:pPr>
              <w:jc w:val="center"/>
              <w:rPr>
                <w:b/>
                <w:bCs/>
                <w:color w:val="000000"/>
                <w:sz w:val="20"/>
                <w:szCs w:val="20"/>
                <w:lang w:val="es-ES_tradnl" w:eastAsia="zh-CN"/>
              </w:rPr>
            </w:pPr>
            <w:r w:rsidRPr="00B924EB">
              <w:rPr>
                <w:b/>
                <w:bCs/>
                <w:color w:val="000000"/>
                <w:sz w:val="20"/>
                <w:szCs w:val="20"/>
                <w:lang w:val="es-ES_tradnl" w:eastAsia="zh-CN"/>
              </w:rPr>
              <w:t>Costo</w:t>
            </w:r>
            <w:r w:rsidR="00A13BEA" w:rsidRPr="00B924EB">
              <w:rPr>
                <w:b/>
                <w:bCs/>
                <w:color w:val="000000"/>
                <w:sz w:val="20"/>
                <w:szCs w:val="20"/>
                <w:lang w:val="es-ES_tradnl" w:eastAsia="zh-CN"/>
              </w:rPr>
              <w:t xml:space="preserve"> </w:t>
            </w:r>
            <w:r w:rsidR="00E26F0F" w:rsidRPr="00B924EB">
              <w:rPr>
                <w:b/>
                <w:bCs/>
                <w:color w:val="000000"/>
                <w:sz w:val="20"/>
                <w:szCs w:val="20"/>
                <w:lang w:val="es-ES_tradnl" w:eastAsia="zh-CN"/>
              </w:rPr>
              <w:t>($EUA)</w:t>
            </w:r>
          </w:p>
        </w:tc>
      </w:tr>
      <w:tr w:rsidR="00C145A1" w:rsidRPr="00B924EB" w14:paraId="3BC4643F" w14:textId="77777777" w:rsidTr="00602308">
        <w:tc>
          <w:tcPr>
            <w:tcW w:w="3221" w:type="pct"/>
            <w:shd w:val="clear" w:color="auto" w:fill="auto"/>
            <w:noWrap/>
          </w:tcPr>
          <w:p w14:paraId="7E05D197" w14:textId="7FF9CCA2" w:rsidR="00C145A1" w:rsidRPr="00B924EB" w:rsidRDefault="00F61BD7" w:rsidP="00C145A1">
            <w:pPr>
              <w:jc w:val="left"/>
              <w:rPr>
                <w:color w:val="000000"/>
                <w:sz w:val="20"/>
                <w:szCs w:val="20"/>
                <w:lang w:val="es-ES_tradnl" w:eastAsia="zh-CN"/>
              </w:rPr>
            </w:pPr>
            <w:r>
              <w:rPr>
                <w:sz w:val="20"/>
                <w:szCs w:val="20"/>
                <w:lang w:val="es-ES_tradnl"/>
              </w:rPr>
              <w:t xml:space="preserve">Fiscalización de </w:t>
            </w:r>
            <w:r w:rsidR="00E27D0D">
              <w:rPr>
                <w:sz w:val="20"/>
                <w:szCs w:val="20"/>
                <w:lang w:val="es-ES_tradnl"/>
              </w:rPr>
              <w:t>medidas y políticas regulatorias</w:t>
            </w:r>
            <w:r w:rsidR="00A13BEA" w:rsidRPr="00B924EB">
              <w:rPr>
                <w:sz w:val="20"/>
                <w:szCs w:val="20"/>
                <w:lang w:val="es-ES_tradnl"/>
              </w:rPr>
              <w:t xml:space="preserve"> </w:t>
            </w:r>
          </w:p>
        </w:tc>
        <w:tc>
          <w:tcPr>
            <w:tcW w:w="889" w:type="pct"/>
            <w:vAlign w:val="center"/>
          </w:tcPr>
          <w:p w14:paraId="404699E6" w14:textId="050550FE" w:rsidR="00C145A1" w:rsidRPr="00B924EB" w:rsidRDefault="001A4F35" w:rsidP="00602308">
            <w:pPr>
              <w:ind w:left="532" w:hanging="90"/>
              <w:jc w:val="left"/>
              <w:rPr>
                <w:color w:val="000000"/>
                <w:sz w:val="20"/>
                <w:szCs w:val="20"/>
                <w:lang w:val="es-ES_tradnl" w:eastAsia="zh-CN"/>
              </w:rPr>
            </w:pPr>
            <w:r>
              <w:rPr>
                <w:color w:val="000000"/>
                <w:sz w:val="20"/>
                <w:szCs w:val="20"/>
                <w:lang w:val="es-ES_tradnl" w:eastAsia="zh-CN"/>
              </w:rPr>
              <w:t>PNUMA</w:t>
            </w:r>
          </w:p>
        </w:tc>
        <w:tc>
          <w:tcPr>
            <w:tcW w:w="890" w:type="pct"/>
            <w:shd w:val="clear" w:color="auto" w:fill="auto"/>
          </w:tcPr>
          <w:p w14:paraId="6F8AD2C3" w14:textId="1D3418C4" w:rsidR="00C145A1" w:rsidRPr="00B924EB" w:rsidRDefault="00E46984" w:rsidP="00B53E5E">
            <w:pPr>
              <w:ind w:right="142"/>
              <w:jc w:val="right"/>
              <w:rPr>
                <w:color w:val="000000"/>
                <w:sz w:val="20"/>
                <w:szCs w:val="20"/>
                <w:lang w:val="es-ES_tradnl" w:eastAsia="zh-CN"/>
              </w:rPr>
            </w:pPr>
            <w:r w:rsidRPr="00B924EB">
              <w:rPr>
                <w:color w:val="000000"/>
                <w:sz w:val="20"/>
                <w:szCs w:val="20"/>
                <w:lang w:val="es-ES_tradnl" w:eastAsia="zh-CN"/>
              </w:rPr>
              <w:t>47</w:t>
            </w:r>
            <w:r w:rsidR="00755C5D" w:rsidRPr="00B924EB">
              <w:rPr>
                <w:color w:val="000000"/>
                <w:sz w:val="20"/>
                <w:szCs w:val="20"/>
                <w:lang w:val="es-ES_tradnl" w:eastAsia="zh-CN"/>
              </w:rPr>
              <w:t>0.</w:t>
            </w:r>
            <w:r w:rsidRPr="00B924EB">
              <w:rPr>
                <w:color w:val="000000"/>
                <w:sz w:val="20"/>
                <w:szCs w:val="20"/>
                <w:lang w:val="es-ES_tradnl" w:eastAsia="zh-CN"/>
              </w:rPr>
              <w:t>000</w:t>
            </w:r>
          </w:p>
        </w:tc>
      </w:tr>
      <w:tr w:rsidR="00751BAF" w:rsidRPr="00B924EB" w14:paraId="4728B2C3" w14:textId="77777777" w:rsidTr="00602308">
        <w:tc>
          <w:tcPr>
            <w:tcW w:w="3221" w:type="pct"/>
            <w:shd w:val="clear" w:color="auto" w:fill="auto"/>
            <w:noWrap/>
          </w:tcPr>
          <w:p w14:paraId="7846A3D1" w14:textId="369D712F" w:rsidR="00751BAF" w:rsidRPr="00B924EB" w:rsidRDefault="009374DA" w:rsidP="001B3CE0">
            <w:pPr>
              <w:jc w:val="left"/>
              <w:rPr>
                <w:color w:val="000000"/>
                <w:sz w:val="20"/>
                <w:szCs w:val="20"/>
                <w:lang w:val="es-ES_tradnl" w:eastAsia="zh-CN"/>
              </w:rPr>
            </w:pPr>
            <w:r w:rsidRPr="00B924EB">
              <w:rPr>
                <w:color w:val="000000"/>
                <w:sz w:val="20"/>
                <w:szCs w:val="20"/>
                <w:lang w:val="es-ES_tradnl" w:eastAsia="zh-CN"/>
              </w:rPr>
              <w:t>Capacitación</w:t>
            </w:r>
            <w:r w:rsidR="00751BAF" w:rsidRPr="00B924EB">
              <w:rPr>
                <w:color w:val="000000"/>
                <w:sz w:val="20"/>
                <w:szCs w:val="20"/>
                <w:lang w:val="es-ES_tradnl" w:eastAsia="zh-CN"/>
              </w:rPr>
              <w:t>,</w:t>
            </w:r>
            <w:r w:rsidR="00A13BEA" w:rsidRPr="00B924EB">
              <w:rPr>
                <w:color w:val="000000"/>
                <w:sz w:val="20"/>
                <w:szCs w:val="20"/>
                <w:lang w:val="es-ES_tradnl" w:eastAsia="zh-CN"/>
              </w:rPr>
              <w:t xml:space="preserve"> </w:t>
            </w:r>
            <w:r w:rsidR="00E26F0F" w:rsidRPr="00B924EB">
              <w:rPr>
                <w:color w:val="000000"/>
                <w:sz w:val="20"/>
                <w:szCs w:val="20"/>
                <w:lang w:val="es-ES_tradnl" w:eastAsia="zh-CN"/>
              </w:rPr>
              <w:t>acreditación</w:t>
            </w:r>
            <w:r w:rsidR="00A13BEA" w:rsidRPr="00B924EB">
              <w:rPr>
                <w:color w:val="000000"/>
                <w:sz w:val="20"/>
                <w:szCs w:val="20"/>
                <w:lang w:val="es-ES_tradnl" w:eastAsia="zh-CN"/>
              </w:rPr>
              <w:t xml:space="preserve"> </w:t>
            </w:r>
            <w:r w:rsidR="00755C5D" w:rsidRPr="00B924EB">
              <w:rPr>
                <w:color w:val="000000"/>
                <w:sz w:val="20"/>
                <w:szCs w:val="20"/>
                <w:lang w:val="es-ES_tradnl" w:eastAsia="zh-CN"/>
              </w:rPr>
              <w:t>y</w:t>
            </w:r>
            <w:r w:rsidR="00A13BEA" w:rsidRPr="00B924EB">
              <w:rPr>
                <w:color w:val="000000"/>
                <w:sz w:val="20"/>
                <w:szCs w:val="20"/>
                <w:lang w:val="es-ES_tradnl" w:eastAsia="zh-CN"/>
              </w:rPr>
              <w:t xml:space="preserve"> </w:t>
            </w:r>
            <w:r w:rsidR="001A1006" w:rsidRPr="00B924EB">
              <w:rPr>
                <w:color w:val="000000"/>
                <w:sz w:val="20"/>
                <w:szCs w:val="20"/>
                <w:lang w:val="es-ES_tradnl" w:eastAsia="zh-CN"/>
              </w:rPr>
              <w:t>normalización</w:t>
            </w:r>
          </w:p>
        </w:tc>
        <w:tc>
          <w:tcPr>
            <w:tcW w:w="889" w:type="pct"/>
            <w:vAlign w:val="center"/>
          </w:tcPr>
          <w:p w14:paraId="49078E73" w14:textId="14A568F5" w:rsidR="00751BAF" w:rsidRPr="00B924EB" w:rsidRDefault="001A4F35" w:rsidP="00602308">
            <w:pPr>
              <w:ind w:left="532" w:hanging="90"/>
              <w:jc w:val="left"/>
              <w:rPr>
                <w:color w:val="000000"/>
                <w:sz w:val="20"/>
                <w:szCs w:val="20"/>
                <w:lang w:val="es-ES_tradnl" w:eastAsia="zh-CN"/>
              </w:rPr>
            </w:pPr>
            <w:r>
              <w:rPr>
                <w:color w:val="000000"/>
                <w:sz w:val="20"/>
                <w:szCs w:val="20"/>
                <w:lang w:val="es-ES_tradnl" w:eastAsia="zh-CN"/>
              </w:rPr>
              <w:t>PNUMA</w:t>
            </w:r>
          </w:p>
        </w:tc>
        <w:tc>
          <w:tcPr>
            <w:tcW w:w="890" w:type="pct"/>
            <w:shd w:val="clear" w:color="auto" w:fill="auto"/>
          </w:tcPr>
          <w:p w14:paraId="41F09FA1" w14:textId="43D1639C" w:rsidR="00751BAF" w:rsidRPr="00B924EB" w:rsidRDefault="00755C5D" w:rsidP="00B53E5E">
            <w:pPr>
              <w:ind w:right="142"/>
              <w:jc w:val="right"/>
              <w:rPr>
                <w:color w:val="000000"/>
                <w:sz w:val="20"/>
                <w:szCs w:val="20"/>
                <w:lang w:val="es-ES_tradnl" w:eastAsia="zh-CN"/>
              </w:rPr>
            </w:pPr>
            <w:r w:rsidRPr="00B924EB">
              <w:rPr>
                <w:color w:val="000000"/>
                <w:sz w:val="20"/>
                <w:szCs w:val="20"/>
                <w:lang w:val="es-ES_tradnl" w:eastAsia="zh-CN"/>
              </w:rPr>
              <w:t>1.</w:t>
            </w:r>
            <w:r w:rsidR="00751BAF" w:rsidRPr="00B924EB">
              <w:rPr>
                <w:color w:val="000000"/>
                <w:sz w:val="20"/>
                <w:szCs w:val="20"/>
                <w:lang w:val="es-ES_tradnl" w:eastAsia="zh-CN"/>
              </w:rPr>
              <w:t>27</w:t>
            </w:r>
            <w:r w:rsidRPr="00B924EB">
              <w:rPr>
                <w:color w:val="000000"/>
                <w:sz w:val="20"/>
                <w:szCs w:val="20"/>
                <w:lang w:val="es-ES_tradnl" w:eastAsia="zh-CN"/>
              </w:rPr>
              <w:t>0.</w:t>
            </w:r>
            <w:r w:rsidR="00751BAF" w:rsidRPr="00B924EB">
              <w:rPr>
                <w:color w:val="000000"/>
                <w:sz w:val="20"/>
                <w:szCs w:val="20"/>
                <w:lang w:val="es-ES_tradnl" w:eastAsia="zh-CN"/>
              </w:rPr>
              <w:t>000</w:t>
            </w:r>
          </w:p>
        </w:tc>
      </w:tr>
      <w:tr w:rsidR="00DB66AC" w:rsidRPr="00B924EB" w14:paraId="2AAD0D53" w14:textId="77777777" w:rsidTr="00602308">
        <w:tc>
          <w:tcPr>
            <w:tcW w:w="3221" w:type="pct"/>
            <w:shd w:val="clear" w:color="auto" w:fill="auto"/>
            <w:noWrap/>
          </w:tcPr>
          <w:p w14:paraId="7F5EC36B" w14:textId="1BF80FE7" w:rsidR="00DB66AC" w:rsidRPr="00B924EB" w:rsidRDefault="00C3546E" w:rsidP="001B3CE0">
            <w:pPr>
              <w:jc w:val="left"/>
              <w:rPr>
                <w:color w:val="000000"/>
                <w:sz w:val="20"/>
                <w:szCs w:val="20"/>
                <w:lang w:val="es-ES_tradnl" w:eastAsia="zh-CN"/>
              </w:rPr>
            </w:pPr>
            <w:r>
              <w:rPr>
                <w:sz w:val="20"/>
                <w:szCs w:val="20"/>
                <w:lang w:val="es-ES_tradnl"/>
              </w:rPr>
              <w:t>Asistencia al sector servicio técnico</w:t>
            </w:r>
            <w:r w:rsidR="00A13BEA" w:rsidRPr="00B924EB">
              <w:rPr>
                <w:sz w:val="20"/>
                <w:szCs w:val="20"/>
                <w:lang w:val="es-ES_tradnl"/>
              </w:rPr>
              <w:t xml:space="preserve"> </w:t>
            </w:r>
            <w:r w:rsidR="00755C5D" w:rsidRPr="00B924EB">
              <w:rPr>
                <w:sz w:val="20"/>
                <w:szCs w:val="20"/>
                <w:lang w:val="es-ES_tradnl"/>
              </w:rPr>
              <w:t>de</w:t>
            </w:r>
            <w:r w:rsidR="00A13BEA" w:rsidRPr="00B924EB">
              <w:rPr>
                <w:sz w:val="20"/>
                <w:szCs w:val="20"/>
                <w:lang w:val="es-ES_tradnl"/>
              </w:rPr>
              <w:t xml:space="preserve"> </w:t>
            </w:r>
            <w:r w:rsidR="00755C5D" w:rsidRPr="00B924EB">
              <w:rPr>
                <w:sz w:val="20"/>
                <w:szCs w:val="20"/>
                <w:lang w:val="es-ES_tradnl"/>
              </w:rPr>
              <w:t>equipos</w:t>
            </w:r>
            <w:r w:rsidR="00A13BEA" w:rsidRPr="00B924EB">
              <w:rPr>
                <w:sz w:val="20"/>
                <w:szCs w:val="20"/>
                <w:lang w:val="es-ES_tradnl"/>
              </w:rPr>
              <w:t xml:space="preserve"> </w:t>
            </w:r>
            <w:r w:rsidR="00755C5D" w:rsidRPr="00B924EB">
              <w:rPr>
                <w:sz w:val="20"/>
                <w:szCs w:val="20"/>
                <w:lang w:val="es-ES_tradnl"/>
              </w:rPr>
              <w:t>de</w:t>
            </w:r>
            <w:r w:rsidR="00A13BEA" w:rsidRPr="00B924EB">
              <w:rPr>
                <w:sz w:val="20"/>
                <w:szCs w:val="20"/>
                <w:lang w:val="es-ES_tradnl"/>
              </w:rPr>
              <w:t xml:space="preserve"> </w:t>
            </w:r>
            <w:r w:rsidR="00755C5D" w:rsidRPr="00B924EB">
              <w:rPr>
                <w:sz w:val="20"/>
                <w:szCs w:val="20"/>
                <w:lang w:val="es-ES_tradnl"/>
              </w:rPr>
              <w:t>refrigeración</w:t>
            </w:r>
          </w:p>
        </w:tc>
        <w:tc>
          <w:tcPr>
            <w:tcW w:w="889" w:type="pct"/>
            <w:vAlign w:val="center"/>
          </w:tcPr>
          <w:p w14:paraId="717BE53E" w14:textId="704925E7" w:rsidR="00DB66AC" w:rsidRPr="00B924EB" w:rsidRDefault="001A4F35" w:rsidP="00602308">
            <w:pPr>
              <w:ind w:left="532" w:hanging="90"/>
              <w:jc w:val="left"/>
              <w:rPr>
                <w:color w:val="000000"/>
                <w:sz w:val="20"/>
                <w:szCs w:val="20"/>
                <w:lang w:val="es-ES_tradnl" w:eastAsia="zh-CN"/>
              </w:rPr>
            </w:pPr>
            <w:r>
              <w:rPr>
                <w:color w:val="000000"/>
                <w:sz w:val="20"/>
                <w:szCs w:val="20"/>
                <w:lang w:val="es-ES_tradnl" w:eastAsia="zh-CN"/>
              </w:rPr>
              <w:t>ONUDI</w:t>
            </w:r>
          </w:p>
        </w:tc>
        <w:tc>
          <w:tcPr>
            <w:tcW w:w="890" w:type="pct"/>
            <w:shd w:val="clear" w:color="auto" w:fill="auto"/>
          </w:tcPr>
          <w:p w14:paraId="391661A7" w14:textId="63AC8D91" w:rsidR="00DB66AC" w:rsidRPr="00B924EB" w:rsidRDefault="00DB66AC" w:rsidP="00B53E5E">
            <w:pPr>
              <w:ind w:right="142"/>
              <w:jc w:val="right"/>
              <w:rPr>
                <w:color w:val="000000"/>
                <w:sz w:val="20"/>
                <w:szCs w:val="20"/>
                <w:lang w:val="es-ES_tradnl" w:eastAsia="zh-CN"/>
              </w:rPr>
            </w:pPr>
            <w:r w:rsidRPr="00B924EB">
              <w:rPr>
                <w:color w:val="000000"/>
                <w:sz w:val="20"/>
                <w:szCs w:val="20"/>
                <w:lang w:val="es-ES_tradnl" w:eastAsia="zh-CN"/>
              </w:rPr>
              <w:t>82</w:t>
            </w:r>
            <w:r w:rsidR="00755C5D" w:rsidRPr="00B924EB">
              <w:rPr>
                <w:color w:val="000000"/>
                <w:sz w:val="20"/>
                <w:szCs w:val="20"/>
                <w:lang w:val="es-ES_tradnl" w:eastAsia="zh-CN"/>
              </w:rPr>
              <w:t>0.</w:t>
            </w:r>
            <w:r w:rsidRPr="00B924EB">
              <w:rPr>
                <w:color w:val="000000"/>
                <w:sz w:val="20"/>
                <w:szCs w:val="20"/>
                <w:lang w:val="es-ES_tradnl" w:eastAsia="zh-CN"/>
              </w:rPr>
              <w:t>000</w:t>
            </w:r>
          </w:p>
        </w:tc>
      </w:tr>
      <w:tr w:rsidR="00751BAF" w:rsidRPr="00B924EB" w14:paraId="2812FC21" w14:textId="77777777" w:rsidTr="00602308">
        <w:tc>
          <w:tcPr>
            <w:tcW w:w="3221" w:type="pct"/>
            <w:shd w:val="clear" w:color="auto" w:fill="auto"/>
            <w:noWrap/>
          </w:tcPr>
          <w:p w14:paraId="4BE4F1D5" w14:textId="399C15B0" w:rsidR="00751BAF" w:rsidRPr="00B924EB" w:rsidRDefault="009374DA" w:rsidP="00A97387">
            <w:pPr>
              <w:jc w:val="left"/>
              <w:rPr>
                <w:color w:val="000000"/>
                <w:sz w:val="20"/>
                <w:szCs w:val="20"/>
                <w:lang w:val="es-ES_tradnl" w:eastAsia="zh-CN"/>
              </w:rPr>
            </w:pPr>
            <w:r w:rsidRPr="00B924EB">
              <w:rPr>
                <w:color w:val="000000"/>
                <w:sz w:val="20"/>
                <w:szCs w:val="20"/>
                <w:lang w:val="es-ES_tradnl" w:eastAsia="zh-CN"/>
              </w:rPr>
              <w:t>Asistencia</w:t>
            </w:r>
            <w:r w:rsidR="00A13BEA" w:rsidRPr="00B924EB">
              <w:rPr>
                <w:color w:val="000000"/>
                <w:sz w:val="20"/>
                <w:szCs w:val="20"/>
                <w:lang w:val="es-ES_tradnl" w:eastAsia="zh-CN"/>
              </w:rPr>
              <w:t xml:space="preserve"> </w:t>
            </w:r>
            <w:r w:rsidRPr="00B924EB">
              <w:rPr>
                <w:color w:val="000000"/>
                <w:sz w:val="20"/>
                <w:szCs w:val="20"/>
                <w:lang w:val="es-ES_tradnl" w:eastAsia="zh-CN"/>
              </w:rPr>
              <w:t>técnica</w:t>
            </w:r>
            <w:r w:rsidR="00A13BEA" w:rsidRPr="00B924EB">
              <w:rPr>
                <w:color w:val="000000"/>
                <w:sz w:val="20"/>
                <w:szCs w:val="20"/>
                <w:lang w:val="es-ES_tradnl" w:eastAsia="zh-CN"/>
              </w:rPr>
              <w:t xml:space="preserve"> </w:t>
            </w:r>
            <w:r w:rsidR="00D92039">
              <w:rPr>
                <w:color w:val="000000"/>
                <w:sz w:val="20"/>
                <w:szCs w:val="20"/>
                <w:lang w:val="es-ES_tradnl" w:eastAsia="zh-CN"/>
              </w:rPr>
              <w:t>a</w:t>
            </w:r>
            <w:r w:rsidR="00A97387">
              <w:rPr>
                <w:color w:val="000000"/>
                <w:sz w:val="20"/>
                <w:szCs w:val="20"/>
                <w:lang w:val="es-ES_tradnl" w:eastAsia="zh-CN"/>
              </w:rPr>
              <w:t xml:space="preserve"> fabricante de climatizadores</w:t>
            </w:r>
          </w:p>
        </w:tc>
        <w:tc>
          <w:tcPr>
            <w:tcW w:w="889" w:type="pct"/>
            <w:vAlign w:val="center"/>
          </w:tcPr>
          <w:p w14:paraId="291E5990" w14:textId="5123AEEC" w:rsidR="00751BAF" w:rsidRPr="00B924EB" w:rsidRDefault="001A4F35" w:rsidP="00602308">
            <w:pPr>
              <w:ind w:left="532" w:hanging="90"/>
              <w:jc w:val="left"/>
              <w:rPr>
                <w:color w:val="000000"/>
                <w:sz w:val="20"/>
                <w:szCs w:val="20"/>
                <w:lang w:val="es-ES_tradnl" w:eastAsia="zh-CN"/>
              </w:rPr>
            </w:pPr>
            <w:r>
              <w:rPr>
                <w:color w:val="000000"/>
                <w:sz w:val="20"/>
                <w:szCs w:val="20"/>
                <w:lang w:val="es-ES_tradnl" w:eastAsia="zh-CN"/>
              </w:rPr>
              <w:t>ONUDI</w:t>
            </w:r>
          </w:p>
        </w:tc>
        <w:tc>
          <w:tcPr>
            <w:tcW w:w="890" w:type="pct"/>
            <w:shd w:val="clear" w:color="auto" w:fill="auto"/>
          </w:tcPr>
          <w:p w14:paraId="0C5EB358" w14:textId="77A59449" w:rsidR="00751BAF" w:rsidRPr="00B924EB" w:rsidRDefault="00751BAF" w:rsidP="00B53E5E">
            <w:pPr>
              <w:ind w:right="142"/>
              <w:jc w:val="right"/>
              <w:rPr>
                <w:color w:val="000000"/>
                <w:sz w:val="20"/>
                <w:szCs w:val="20"/>
                <w:lang w:val="es-ES_tradnl" w:eastAsia="zh-CN"/>
              </w:rPr>
            </w:pPr>
            <w:r w:rsidRPr="00B924EB">
              <w:rPr>
                <w:color w:val="000000"/>
                <w:sz w:val="20"/>
                <w:szCs w:val="20"/>
                <w:lang w:val="es-ES_tradnl" w:eastAsia="zh-CN"/>
              </w:rPr>
              <w:t>3</w:t>
            </w:r>
            <w:r w:rsidR="00755C5D" w:rsidRPr="00B924EB">
              <w:rPr>
                <w:color w:val="000000"/>
                <w:sz w:val="20"/>
                <w:szCs w:val="20"/>
                <w:lang w:val="es-ES_tradnl" w:eastAsia="zh-CN"/>
              </w:rPr>
              <w:t>0.</w:t>
            </w:r>
            <w:r w:rsidRPr="00B924EB">
              <w:rPr>
                <w:color w:val="000000"/>
                <w:sz w:val="20"/>
                <w:szCs w:val="20"/>
                <w:lang w:val="es-ES_tradnl" w:eastAsia="zh-CN"/>
              </w:rPr>
              <w:t>000</w:t>
            </w:r>
          </w:p>
        </w:tc>
      </w:tr>
      <w:tr w:rsidR="00DB66AC" w:rsidRPr="00B924EB" w14:paraId="47A2FEB9" w14:textId="77777777" w:rsidTr="00602308">
        <w:trPr>
          <w:trHeight w:val="188"/>
        </w:trPr>
        <w:tc>
          <w:tcPr>
            <w:tcW w:w="3221" w:type="pct"/>
            <w:shd w:val="clear" w:color="auto" w:fill="auto"/>
            <w:noWrap/>
          </w:tcPr>
          <w:p w14:paraId="7B5F4A90" w14:textId="1B3F0466" w:rsidR="00DB66AC" w:rsidRPr="00B924EB" w:rsidRDefault="00AD1F9F" w:rsidP="001B3CE0">
            <w:pPr>
              <w:tabs>
                <w:tab w:val="left" w:pos="360"/>
              </w:tabs>
              <w:jc w:val="left"/>
              <w:rPr>
                <w:color w:val="000000"/>
                <w:sz w:val="20"/>
                <w:szCs w:val="20"/>
                <w:lang w:val="es-ES_tradnl" w:eastAsia="zh-CN"/>
              </w:rPr>
            </w:pPr>
            <w:r>
              <w:rPr>
                <w:color w:val="000000"/>
                <w:sz w:val="20"/>
                <w:szCs w:val="20"/>
                <w:lang w:val="es-ES_tradnl" w:eastAsia="zh-CN"/>
              </w:rPr>
              <w:t>Supervisión e informes</w:t>
            </w:r>
          </w:p>
        </w:tc>
        <w:tc>
          <w:tcPr>
            <w:tcW w:w="889" w:type="pct"/>
          </w:tcPr>
          <w:p w14:paraId="11BC6895" w14:textId="3E5B6003" w:rsidR="00DB66AC" w:rsidRPr="00B924EB" w:rsidRDefault="001A4F35" w:rsidP="00602308">
            <w:pPr>
              <w:ind w:left="532" w:right="-18" w:hanging="90"/>
              <w:jc w:val="left"/>
              <w:rPr>
                <w:color w:val="000000"/>
                <w:sz w:val="20"/>
                <w:szCs w:val="20"/>
                <w:lang w:val="es-ES_tradnl" w:eastAsia="zh-CN"/>
              </w:rPr>
            </w:pPr>
            <w:r>
              <w:rPr>
                <w:color w:val="000000"/>
                <w:sz w:val="20"/>
                <w:szCs w:val="20"/>
                <w:lang w:val="es-ES_tradnl" w:eastAsia="zh-CN"/>
              </w:rPr>
              <w:t>PNUMA</w:t>
            </w:r>
          </w:p>
        </w:tc>
        <w:tc>
          <w:tcPr>
            <w:tcW w:w="890" w:type="pct"/>
            <w:shd w:val="clear" w:color="auto" w:fill="auto"/>
            <w:noWrap/>
            <w:tcMar>
              <w:left w:w="115" w:type="dxa"/>
              <w:right w:w="115" w:type="dxa"/>
            </w:tcMar>
          </w:tcPr>
          <w:p w14:paraId="0404CFC2" w14:textId="09F5C2FD" w:rsidR="00DB66AC" w:rsidRPr="00B924EB" w:rsidRDefault="00DB66AC" w:rsidP="00B53E5E">
            <w:pPr>
              <w:ind w:right="142"/>
              <w:jc w:val="right"/>
              <w:rPr>
                <w:color w:val="000000"/>
                <w:sz w:val="20"/>
                <w:szCs w:val="20"/>
                <w:lang w:val="es-ES_tradnl" w:eastAsia="zh-CN"/>
              </w:rPr>
            </w:pPr>
            <w:r w:rsidRPr="00B924EB">
              <w:rPr>
                <w:color w:val="000000"/>
                <w:sz w:val="20"/>
                <w:szCs w:val="20"/>
                <w:lang w:val="es-ES_tradnl" w:eastAsia="zh-CN"/>
              </w:rPr>
              <w:t>28</w:t>
            </w:r>
            <w:r w:rsidR="009374DA" w:rsidRPr="00B924EB">
              <w:rPr>
                <w:color w:val="000000"/>
                <w:sz w:val="20"/>
                <w:szCs w:val="20"/>
                <w:lang w:val="es-ES_tradnl" w:eastAsia="zh-CN"/>
              </w:rPr>
              <w:t>5.</w:t>
            </w:r>
            <w:r w:rsidRPr="00B924EB">
              <w:rPr>
                <w:color w:val="000000"/>
                <w:sz w:val="20"/>
                <w:szCs w:val="20"/>
                <w:lang w:val="es-ES_tradnl" w:eastAsia="zh-CN"/>
              </w:rPr>
              <w:t>000</w:t>
            </w:r>
          </w:p>
        </w:tc>
      </w:tr>
      <w:tr w:rsidR="00811BB4" w:rsidRPr="00B924EB" w14:paraId="26EB23BB" w14:textId="77777777" w:rsidTr="00811BB4">
        <w:trPr>
          <w:trHeight w:val="188"/>
        </w:trPr>
        <w:tc>
          <w:tcPr>
            <w:tcW w:w="4110" w:type="pct"/>
            <w:gridSpan w:val="2"/>
            <w:shd w:val="clear" w:color="auto" w:fill="auto"/>
            <w:noWrap/>
          </w:tcPr>
          <w:p w14:paraId="04B6467E" w14:textId="11E1E1FD" w:rsidR="00811BB4" w:rsidRPr="00B924EB" w:rsidRDefault="00811BB4" w:rsidP="00811BB4">
            <w:pPr>
              <w:ind w:left="90" w:right="-18" w:hanging="90"/>
              <w:rPr>
                <w:color w:val="000000"/>
                <w:sz w:val="20"/>
                <w:szCs w:val="20"/>
                <w:lang w:val="es-ES_tradnl" w:eastAsia="zh-CN"/>
              </w:rPr>
            </w:pPr>
            <w:r w:rsidRPr="00B924EB">
              <w:rPr>
                <w:b/>
                <w:color w:val="000000"/>
                <w:sz w:val="20"/>
                <w:szCs w:val="20"/>
                <w:lang w:val="es-ES_tradnl" w:eastAsia="zh-CN"/>
              </w:rPr>
              <w:t>Total</w:t>
            </w:r>
          </w:p>
        </w:tc>
        <w:tc>
          <w:tcPr>
            <w:tcW w:w="890" w:type="pct"/>
            <w:shd w:val="clear" w:color="auto" w:fill="auto"/>
            <w:noWrap/>
            <w:tcMar>
              <w:left w:w="115" w:type="dxa"/>
              <w:right w:w="115" w:type="dxa"/>
            </w:tcMar>
          </w:tcPr>
          <w:p w14:paraId="5FBB1395" w14:textId="7F6C4919" w:rsidR="00811BB4" w:rsidRPr="00B924EB" w:rsidRDefault="00755C5D" w:rsidP="00B53E5E">
            <w:pPr>
              <w:ind w:right="142"/>
              <w:jc w:val="right"/>
              <w:rPr>
                <w:color w:val="000000"/>
                <w:sz w:val="20"/>
                <w:szCs w:val="20"/>
                <w:lang w:val="es-ES_tradnl" w:eastAsia="zh-CN"/>
              </w:rPr>
            </w:pPr>
            <w:r w:rsidRPr="00B924EB">
              <w:rPr>
                <w:b/>
                <w:bCs/>
                <w:color w:val="000000"/>
                <w:sz w:val="20"/>
                <w:szCs w:val="20"/>
                <w:lang w:val="es-ES_tradnl" w:eastAsia="zh-CN"/>
              </w:rPr>
              <w:t>2.</w:t>
            </w:r>
            <w:r w:rsidR="00811BB4" w:rsidRPr="00B924EB">
              <w:rPr>
                <w:b/>
                <w:bCs/>
                <w:color w:val="000000"/>
                <w:sz w:val="20"/>
                <w:szCs w:val="20"/>
                <w:lang w:val="es-ES_tradnl" w:eastAsia="zh-CN"/>
              </w:rPr>
              <w:t>87</w:t>
            </w:r>
            <w:r w:rsidR="009374DA" w:rsidRPr="00B924EB">
              <w:rPr>
                <w:b/>
                <w:bCs/>
                <w:color w:val="000000"/>
                <w:sz w:val="20"/>
                <w:szCs w:val="20"/>
                <w:lang w:val="es-ES_tradnl" w:eastAsia="zh-CN"/>
              </w:rPr>
              <w:t>5.</w:t>
            </w:r>
            <w:r w:rsidR="00811BB4" w:rsidRPr="00B924EB">
              <w:rPr>
                <w:b/>
                <w:bCs/>
                <w:color w:val="000000"/>
                <w:sz w:val="20"/>
                <w:szCs w:val="20"/>
                <w:lang w:val="es-ES_tradnl" w:eastAsia="zh-CN"/>
              </w:rPr>
              <w:t>000</w:t>
            </w:r>
          </w:p>
        </w:tc>
      </w:tr>
    </w:tbl>
    <w:p w14:paraId="4EA9BEB1" w14:textId="77777777" w:rsidR="00C679D6" w:rsidRPr="00B924EB" w:rsidRDefault="00C679D6" w:rsidP="00C679D6">
      <w:pPr>
        <w:keepNext/>
        <w:rPr>
          <w:b/>
          <w:sz w:val="21"/>
          <w:szCs w:val="21"/>
          <w:lang w:val="es-ES_tradnl"/>
        </w:rPr>
      </w:pPr>
    </w:p>
    <w:p w14:paraId="661A8825" w14:textId="0AE381C7" w:rsidR="000521A3" w:rsidRPr="00B924EB" w:rsidRDefault="00CD1CE8" w:rsidP="00682ED5">
      <w:pPr>
        <w:keepNext/>
        <w:keepLines/>
        <w:spacing w:after="240"/>
        <w:rPr>
          <w:u w:val="single"/>
          <w:lang w:val="es-ES_tradnl"/>
        </w:rPr>
      </w:pPr>
      <w:r w:rsidRPr="00CD1CE8">
        <w:rPr>
          <w:u w:val="single"/>
          <w:lang w:val="es-ES_tradnl"/>
        </w:rPr>
        <w:t>Actividades previstas en el primer tramo</w:t>
      </w:r>
      <w:r w:rsidR="00A13BEA" w:rsidRPr="00B924EB">
        <w:rPr>
          <w:u w:val="single"/>
          <w:lang w:val="es-ES_tradnl"/>
        </w:rPr>
        <w:t xml:space="preserve"> </w:t>
      </w:r>
      <w:r w:rsidR="009374DA" w:rsidRPr="00B924EB">
        <w:rPr>
          <w:u w:val="single"/>
          <w:lang w:val="es-ES_tradnl"/>
        </w:rPr>
        <w:t>de</w:t>
      </w:r>
      <w:r w:rsidR="00A13BEA" w:rsidRPr="00B924EB">
        <w:rPr>
          <w:u w:val="single"/>
          <w:lang w:val="es-ES_tradnl"/>
        </w:rPr>
        <w:t xml:space="preserve"> </w:t>
      </w:r>
      <w:r w:rsidR="003208A7" w:rsidRPr="00B924EB">
        <w:rPr>
          <w:u w:val="single"/>
          <w:lang w:val="es-ES_tradnl"/>
        </w:rPr>
        <w:t>la</w:t>
      </w:r>
      <w:r w:rsidR="00A13BEA" w:rsidRPr="00B924EB">
        <w:rPr>
          <w:u w:val="single"/>
          <w:lang w:val="es-ES_tradnl"/>
        </w:rPr>
        <w:t xml:space="preserve"> </w:t>
      </w:r>
      <w:r w:rsidR="003208A7" w:rsidRPr="00B924EB">
        <w:rPr>
          <w:u w:val="single"/>
          <w:lang w:val="es-ES_tradnl"/>
        </w:rPr>
        <w:t>etapa</w:t>
      </w:r>
      <w:r w:rsidR="00A13BEA" w:rsidRPr="00B924EB">
        <w:rPr>
          <w:u w:val="single"/>
          <w:lang w:val="es-ES_tradnl"/>
        </w:rPr>
        <w:t xml:space="preserve"> </w:t>
      </w:r>
      <w:r w:rsidR="003208A7" w:rsidRPr="00B924EB">
        <w:rPr>
          <w:u w:val="single"/>
          <w:lang w:val="es-ES_tradnl"/>
        </w:rPr>
        <w:t>I</w:t>
      </w:r>
      <w:r w:rsidR="00C679D6" w:rsidRPr="00B924EB">
        <w:rPr>
          <w:u w:val="single"/>
          <w:lang w:val="es-ES_tradnl"/>
        </w:rPr>
        <w:t>I</w:t>
      </w:r>
    </w:p>
    <w:p w14:paraId="66824EF6" w14:textId="44E530FA" w:rsidR="000521A3" w:rsidRPr="00B924EB" w:rsidRDefault="0095410E" w:rsidP="008C38F4">
      <w:pPr>
        <w:pStyle w:val="Heading1"/>
        <w:rPr>
          <w:lang w:val="es-ES_tradnl"/>
        </w:rPr>
      </w:pPr>
      <w:r>
        <w:rPr>
          <w:lang w:val="es-ES_tradnl"/>
        </w:rPr>
        <w:t xml:space="preserve">El </w:t>
      </w:r>
      <w:r w:rsidR="0065691F">
        <w:rPr>
          <w:lang w:val="es-ES_tradnl"/>
        </w:rPr>
        <w:t>primer tramo</w:t>
      </w:r>
      <w:r w:rsidR="00A13BEA" w:rsidRPr="00B924EB">
        <w:rPr>
          <w:lang w:val="es-ES_tradnl"/>
        </w:rPr>
        <w:t xml:space="preserve"> </w:t>
      </w:r>
      <w:r w:rsidR="003208A7" w:rsidRPr="00B924EB">
        <w:rPr>
          <w:lang w:val="es-ES_tradnl"/>
        </w:rPr>
        <w:t>de</w:t>
      </w:r>
      <w:r w:rsidR="00A13BEA" w:rsidRPr="00B924EB">
        <w:rPr>
          <w:lang w:val="es-ES_tradnl"/>
        </w:rPr>
        <w:t xml:space="preserve"> </w:t>
      </w:r>
      <w:r w:rsidR="003208A7" w:rsidRPr="00B924EB">
        <w:rPr>
          <w:lang w:val="es-ES_tradnl"/>
        </w:rPr>
        <w:t>financiamiento</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C679D6"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620AF9">
        <w:rPr>
          <w:lang w:val="es-ES_tradnl"/>
        </w:rPr>
        <w:t>PGEH,</w:t>
      </w:r>
      <w:r w:rsidR="007708A7">
        <w:rPr>
          <w:lang w:val="es-ES_tradnl"/>
        </w:rPr>
        <w:t xml:space="preserve"> con</w:t>
      </w:r>
      <w:r w:rsidR="00620AF9">
        <w:rPr>
          <w:lang w:val="es-ES_tradnl"/>
        </w:rPr>
        <w:t xml:space="preserve"> un costo</w:t>
      </w:r>
      <w:r w:rsidR="00A13BEA" w:rsidRPr="00B924EB">
        <w:rPr>
          <w:lang w:val="es-ES_tradnl"/>
        </w:rPr>
        <w:t xml:space="preserve"> </w:t>
      </w:r>
      <w:r w:rsidR="00452F79" w:rsidRPr="00B924EB">
        <w:rPr>
          <w:lang w:val="es-ES_tradnl"/>
        </w:rPr>
        <w:t>total</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1.</w:t>
      </w:r>
      <w:r w:rsidR="008C38F4" w:rsidRPr="00B924EB">
        <w:rPr>
          <w:lang w:val="es-ES_tradnl"/>
        </w:rPr>
        <w:t>02</w:t>
      </w:r>
      <w:r w:rsidR="009374DA" w:rsidRPr="00B924EB">
        <w:rPr>
          <w:lang w:val="es-ES_tradnl"/>
        </w:rPr>
        <w:t>5.</w:t>
      </w:r>
      <w:r w:rsidR="008C38F4" w:rsidRPr="00B924EB">
        <w:rPr>
          <w:lang w:val="es-ES_tradnl"/>
        </w:rPr>
        <w:t>00</w:t>
      </w:r>
      <w:r w:rsidR="00146BD9">
        <w:rPr>
          <w:lang w:val="es-ES_tradnl"/>
        </w:rPr>
        <w:t>0</w:t>
      </w:r>
      <w:r w:rsidR="00D420A1">
        <w:rPr>
          <w:lang w:val="es-ES_tradnl"/>
        </w:rPr>
        <w:t> </w:t>
      </w:r>
      <w:r w:rsidR="00146BD9" w:rsidRPr="00146BD9">
        <w:rPr>
          <w:lang w:val="es-ES_tradnl"/>
        </w:rPr>
        <w:t>$EUA</w:t>
      </w:r>
      <w:r w:rsidR="00620AF9">
        <w:rPr>
          <w:lang w:val="es-ES_tradnl"/>
        </w:rPr>
        <w:t>,</w:t>
      </w:r>
      <w:r w:rsidR="00A13BEA" w:rsidRPr="00B924EB">
        <w:rPr>
          <w:lang w:val="es-ES_tradnl"/>
        </w:rPr>
        <w:t xml:space="preserve"> </w:t>
      </w:r>
      <w:r w:rsidR="00C10CBD">
        <w:rPr>
          <w:lang w:val="es-ES_tradnl"/>
        </w:rPr>
        <w:t xml:space="preserve">se ejecutará </w:t>
      </w:r>
      <w:r w:rsidR="009374DA" w:rsidRPr="00B924EB">
        <w:rPr>
          <w:lang w:val="es-ES_tradnl"/>
        </w:rPr>
        <w:t>entre</w:t>
      </w:r>
      <w:r w:rsidR="00A13BEA" w:rsidRPr="00B924EB">
        <w:rPr>
          <w:lang w:val="es-ES_tradnl"/>
        </w:rPr>
        <w:t xml:space="preserve"> </w:t>
      </w:r>
      <w:r w:rsidR="00755C5D" w:rsidRPr="00B924EB">
        <w:rPr>
          <w:lang w:val="es-ES_tradnl"/>
        </w:rPr>
        <w:t>junio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C679D6" w:rsidRPr="00B924EB">
        <w:rPr>
          <w:lang w:val="es-ES_tradnl"/>
        </w:rPr>
        <w:t>20</w:t>
      </w:r>
      <w:r w:rsidR="008C38F4" w:rsidRPr="00B924EB">
        <w:rPr>
          <w:lang w:val="es-ES_tradnl"/>
        </w:rPr>
        <w:t>21</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55C5D" w:rsidRPr="00B924EB">
        <w:rPr>
          <w:lang w:val="es-ES_tradnl"/>
        </w:rPr>
        <w:t>diciembre</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8C38F4" w:rsidRPr="00B924EB">
        <w:rPr>
          <w:lang w:val="es-ES_tradnl"/>
        </w:rPr>
        <w:t>2022</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E46D4">
        <w:rPr>
          <w:lang w:val="es-ES_tradnl"/>
        </w:rPr>
        <w:t xml:space="preserve">comprenderá </w:t>
      </w:r>
      <w:r w:rsidR="00E26F0F" w:rsidRPr="00B924EB">
        <w:rPr>
          <w:lang w:val="es-ES_tradnl"/>
        </w:rPr>
        <w:t>las</w:t>
      </w:r>
      <w:r w:rsidR="00A13BEA" w:rsidRPr="00B924EB">
        <w:rPr>
          <w:lang w:val="es-ES_tradnl"/>
        </w:rPr>
        <w:t xml:space="preserve"> </w:t>
      </w:r>
      <w:r w:rsidR="00E26F0F" w:rsidRPr="00B924EB">
        <w:rPr>
          <w:lang w:val="es-ES_tradnl"/>
        </w:rPr>
        <w:t>siguientes</w:t>
      </w:r>
      <w:r w:rsidR="00A13BEA" w:rsidRPr="00B924EB">
        <w:rPr>
          <w:lang w:val="es-ES_tradnl"/>
        </w:rPr>
        <w:t xml:space="preserve"> </w:t>
      </w:r>
      <w:r w:rsidR="00755C5D" w:rsidRPr="00B924EB">
        <w:rPr>
          <w:lang w:val="es-ES_tradnl"/>
        </w:rPr>
        <w:t>actividades</w:t>
      </w:r>
      <w:r w:rsidR="00C679D6" w:rsidRPr="00B924EB">
        <w:rPr>
          <w:lang w:val="es-ES_tradnl"/>
        </w:rPr>
        <w:t>:</w:t>
      </w:r>
    </w:p>
    <w:p w14:paraId="4169C273" w14:textId="10EC98A4" w:rsidR="000521A3" w:rsidRPr="00B924EB" w:rsidRDefault="00F61BD7" w:rsidP="00276B8F">
      <w:pPr>
        <w:pStyle w:val="Heading2"/>
        <w:rPr>
          <w:lang w:val="es-ES_tradnl"/>
        </w:rPr>
      </w:pPr>
      <w:r>
        <w:rPr>
          <w:i/>
          <w:lang w:val="es-ES_tradnl"/>
        </w:rPr>
        <w:t xml:space="preserve">Fiscalización de </w:t>
      </w:r>
      <w:r w:rsidR="00E27D0D">
        <w:rPr>
          <w:i/>
          <w:lang w:val="es-ES_tradnl"/>
        </w:rPr>
        <w:t>medidas y políticas regulatorias</w:t>
      </w:r>
      <w:r w:rsidR="00D600DF" w:rsidRPr="00B924EB">
        <w:rPr>
          <w:i/>
          <w:lang w:val="es-ES_tradnl"/>
        </w:rPr>
        <w:t>:</w:t>
      </w:r>
      <w:r w:rsidR="00A13BEA" w:rsidRPr="00B924EB">
        <w:rPr>
          <w:lang w:val="es-ES_tradnl"/>
        </w:rPr>
        <w:t xml:space="preserve"> </w:t>
      </w:r>
      <w:r w:rsidR="007528AE" w:rsidRPr="00B924EB">
        <w:rPr>
          <w:lang w:val="es-ES_tradnl"/>
        </w:rPr>
        <w:t xml:space="preserve">Reuniones </w:t>
      </w:r>
      <w:r w:rsidR="007528AE">
        <w:rPr>
          <w:lang w:val="es-ES_tradnl"/>
        </w:rPr>
        <w:t>de</w:t>
      </w:r>
      <w:r w:rsidR="007528AE" w:rsidRPr="0083084B">
        <w:rPr>
          <w:lang w:val="es-419"/>
        </w:rPr>
        <w:t xml:space="preserve"> </w:t>
      </w:r>
      <w:r w:rsidR="007528AE" w:rsidRPr="007528AE">
        <w:rPr>
          <w:lang w:val="es-ES_tradnl"/>
        </w:rPr>
        <w:t xml:space="preserve">consulta </w:t>
      </w:r>
      <w:r w:rsidR="009374DA" w:rsidRPr="00B924EB">
        <w:rPr>
          <w:lang w:val="es-ES_tradnl"/>
        </w:rPr>
        <w:t>con</w:t>
      </w:r>
      <w:r w:rsidR="00A13BEA" w:rsidRPr="00B924EB">
        <w:rPr>
          <w:lang w:val="es-ES_tradnl"/>
        </w:rPr>
        <w:t xml:space="preserve"> </w:t>
      </w:r>
      <w:r w:rsidR="00E26F0F" w:rsidRPr="00B924EB">
        <w:rPr>
          <w:lang w:val="es-ES_tradnl"/>
        </w:rPr>
        <w:t>autoridades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443CCE">
        <w:rPr>
          <w:lang w:val="es-ES_tradnl"/>
        </w:rPr>
        <w:t xml:space="preserve">actores </w:t>
      </w:r>
      <w:r w:rsidR="00557001">
        <w:rPr>
          <w:lang w:val="es-ES_tradnl"/>
        </w:rPr>
        <w:t xml:space="preserve">para </w:t>
      </w:r>
      <w:r w:rsidR="00E837F4">
        <w:rPr>
          <w:lang w:val="es-ES_tradnl"/>
        </w:rPr>
        <w:t xml:space="preserve">iniciar </w:t>
      </w:r>
      <w:r w:rsidR="00DE242E">
        <w:rPr>
          <w:lang w:val="es-ES_tradnl"/>
        </w:rPr>
        <w:t xml:space="preserve">la </w:t>
      </w:r>
      <w:r w:rsidR="007B028D">
        <w:rPr>
          <w:lang w:val="es-ES_tradnl"/>
        </w:rPr>
        <w:t xml:space="preserve">actualización </w:t>
      </w:r>
      <w:r w:rsidR="00382C35">
        <w:rPr>
          <w:lang w:val="es-ES_tradnl"/>
        </w:rPr>
        <w:t>de la</w:t>
      </w:r>
      <w:r w:rsidR="00E837F4">
        <w:rPr>
          <w:lang w:val="es-ES_tradnl"/>
        </w:rPr>
        <w:t xml:space="preserve"> </w:t>
      </w:r>
      <w:r w:rsidR="00382C35">
        <w:rPr>
          <w:lang w:val="es-ES_tradnl"/>
        </w:rPr>
        <w:t xml:space="preserve">normativa sobre </w:t>
      </w:r>
      <w:r w:rsidR="00755C5D" w:rsidRPr="00B924EB">
        <w:rPr>
          <w:lang w:val="es-ES_tradnl"/>
        </w:rPr>
        <w:t>SAO</w:t>
      </w:r>
      <w:r w:rsidR="001B3CE0" w:rsidRPr="00B924EB">
        <w:rPr>
          <w:lang w:val="es-ES_tradnl"/>
        </w:rPr>
        <w:t>;</w:t>
      </w:r>
      <w:r w:rsidR="00A13BEA" w:rsidRPr="00B924EB">
        <w:rPr>
          <w:lang w:val="es-ES_tradnl"/>
        </w:rPr>
        <w:t xml:space="preserve"> </w:t>
      </w:r>
      <w:r w:rsidR="00D95843">
        <w:rPr>
          <w:lang w:val="es-ES_tradnl"/>
        </w:rPr>
        <w:t xml:space="preserve">entregar </w:t>
      </w:r>
      <w:r w:rsidR="004B0CA3" w:rsidRPr="00B924EB">
        <w:rPr>
          <w:lang w:val="es-ES_tradnl"/>
        </w:rPr>
        <w:t>normas</w:t>
      </w:r>
      <w:r w:rsidR="00A13BEA" w:rsidRPr="00B924EB">
        <w:rPr>
          <w:lang w:val="es-ES_tradnl"/>
        </w:rPr>
        <w:t xml:space="preserve"> </w:t>
      </w:r>
      <w:r w:rsidR="00E3051F">
        <w:rPr>
          <w:lang w:val="es-ES_tradnl"/>
        </w:rPr>
        <w:t xml:space="preserve">para </w:t>
      </w:r>
      <w:r w:rsidR="00BD5994">
        <w:rPr>
          <w:lang w:val="es-ES_tradnl"/>
        </w:rPr>
        <w:t>el</w:t>
      </w:r>
      <w:r w:rsidR="00E3051F">
        <w:rPr>
          <w:lang w:val="es-ES_tradnl"/>
        </w:rPr>
        <w:t xml:space="preserve"> </w:t>
      </w:r>
      <w:r w:rsidR="00BD5994">
        <w:rPr>
          <w:lang w:val="es-ES_tradnl"/>
        </w:rPr>
        <w:t>equipamiento</w:t>
      </w:r>
      <w:r w:rsidR="00E3051F" w:rsidRPr="00E3051F">
        <w:rPr>
          <w:lang w:val="es-ES_tradnl"/>
        </w:rPr>
        <w:t xml:space="preserve"> </w:t>
      </w:r>
      <w:r w:rsidR="00E3051F">
        <w:rPr>
          <w:lang w:val="es-ES_tradnl"/>
        </w:rPr>
        <w:t xml:space="preserve">de </w:t>
      </w:r>
      <w:r w:rsidR="00DF15AA" w:rsidRPr="00DF15AA">
        <w:rPr>
          <w:lang w:val="es-ES_tradnl"/>
        </w:rPr>
        <w:t>laboratorio</w:t>
      </w:r>
      <w:r w:rsidR="00CD749B">
        <w:rPr>
          <w:lang w:val="es-ES_tradnl"/>
        </w:rPr>
        <w:t>s</w:t>
      </w:r>
      <w:r w:rsidR="00A96344" w:rsidRPr="00B924EB">
        <w:rPr>
          <w:lang w:val="es-ES_tradnl"/>
        </w:rPr>
        <w:t>;</w:t>
      </w:r>
      <w:r w:rsidR="00A13BEA" w:rsidRPr="00B924EB">
        <w:rPr>
          <w:lang w:val="es-ES_tradnl"/>
        </w:rPr>
        <w:t xml:space="preserve"> </w:t>
      </w:r>
      <w:r w:rsidR="004D1943">
        <w:rPr>
          <w:lang w:val="es-ES_tradnl"/>
        </w:rPr>
        <w:t>iniciar</w:t>
      </w:r>
      <w:r w:rsidR="00872368">
        <w:rPr>
          <w:lang w:val="es-ES_tradnl"/>
        </w:rPr>
        <w:t xml:space="preserve"> la </w:t>
      </w:r>
      <w:r w:rsidR="009374DA" w:rsidRPr="00B924EB">
        <w:rPr>
          <w:lang w:val="es-ES_tradnl"/>
        </w:rPr>
        <w:t>capacitación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0521A3" w:rsidRPr="00B924EB">
        <w:rPr>
          <w:lang w:val="es-ES_tradnl"/>
        </w:rPr>
        <w:t>funcionarios</w:t>
      </w:r>
      <w:r w:rsidR="00A13BEA" w:rsidRPr="00B924EB">
        <w:rPr>
          <w:lang w:val="es-ES_tradnl"/>
        </w:rPr>
        <w:t xml:space="preserve"> </w:t>
      </w:r>
      <w:r w:rsidR="000521A3" w:rsidRPr="00B924EB">
        <w:rPr>
          <w:lang w:val="es-ES_tradnl"/>
        </w:rPr>
        <w:t>aduaneros</w:t>
      </w:r>
      <w:r w:rsidR="00276B8F" w:rsidRPr="00B924EB">
        <w:rPr>
          <w:lang w:val="es-ES_tradnl"/>
        </w:rPr>
        <w:t>;</w:t>
      </w:r>
      <w:r w:rsidR="00A13BEA" w:rsidRPr="00B924EB">
        <w:rPr>
          <w:lang w:val="es-ES_tradnl"/>
        </w:rPr>
        <w:t xml:space="preserve"> </w:t>
      </w:r>
      <w:r w:rsidR="004D1943">
        <w:rPr>
          <w:lang w:val="es-ES_tradnl"/>
        </w:rPr>
        <w:t>iniciar</w:t>
      </w:r>
      <w:r w:rsidR="00A13BEA" w:rsidRPr="00B924EB">
        <w:rPr>
          <w:lang w:val="es-ES_tradnl"/>
        </w:rPr>
        <w:t xml:space="preserve"> </w:t>
      </w:r>
      <w:r w:rsidR="00036DB8">
        <w:rPr>
          <w:lang w:val="es-ES_tradnl"/>
        </w:rPr>
        <w:t xml:space="preserve">programa de </w:t>
      </w:r>
      <w:r w:rsidR="000841C8">
        <w:rPr>
          <w:lang w:val="es-ES_tradnl"/>
        </w:rPr>
        <w:t xml:space="preserve">orientación sobre </w:t>
      </w:r>
      <w:r w:rsidR="00036DB8">
        <w:rPr>
          <w:lang w:val="es-ES_tradnl"/>
        </w:rPr>
        <w:t>el sistema</w:t>
      </w:r>
      <w:r w:rsidR="00C0577F">
        <w:rPr>
          <w:lang w:val="es-ES_tradnl"/>
        </w:rPr>
        <w:t xml:space="preserve"> de acreditación</w:t>
      </w:r>
      <w:r w:rsidR="00A13BEA" w:rsidRPr="00B924EB">
        <w:rPr>
          <w:lang w:val="es-ES_tradnl"/>
        </w:rPr>
        <w:t xml:space="preserve"> </w:t>
      </w:r>
      <w:r w:rsidR="000521A3" w:rsidRPr="00B924EB">
        <w:rPr>
          <w:iCs/>
          <w:lang w:val="es-ES_tradnl"/>
        </w:rPr>
        <w:t>(PNUMA)</w:t>
      </w:r>
      <w:r w:rsidR="00A13BEA" w:rsidRPr="00B924EB">
        <w:rPr>
          <w:iCs/>
          <w:lang w:val="es-ES_tradnl"/>
        </w:rPr>
        <w:t xml:space="preserve"> </w:t>
      </w:r>
      <w:r w:rsidR="00C56FDE">
        <w:rPr>
          <w:iCs/>
          <w:lang w:val="es-ES_tradnl"/>
        </w:rPr>
        <w:t>(</w:t>
      </w:r>
      <w:r w:rsidR="00AB1AF2" w:rsidRPr="00B924EB">
        <w:rPr>
          <w:iCs/>
          <w:lang w:val="es-ES_tradnl"/>
        </w:rPr>
        <w:t>16</w:t>
      </w:r>
      <w:r w:rsidR="00755C5D" w:rsidRPr="00B924EB">
        <w:rPr>
          <w:iCs/>
          <w:lang w:val="es-ES_tradnl"/>
        </w:rPr>
        <w:t>0.</w:t>
      </w:r>
      <w:r w:rsidR="00AB1AF2" w:rsidRPr="00B924EB">
        <w:rPr>
          <w:iCs/>
          <w:lang w:val="es-ES_tradnl"/>
        </w:rPr>
        <w:t>000</w:t>
      </w:r>
      <w:r w:rsidR="00046989" w:rsidRPr="00046989">
        <w:rPr>
          <w:iCs/>
          <w:lang w:val="es-ES_tradnl"/>
        </w:rPr>
        <w:t xml:space="preserve"> $EUA</w:t>
      </w:r>
      <w:r w:rsidR="00AB1AF2" w:rsidRPr="00B924EB">
        <w:rPr>
          <w:iCs/>
          <w:lang w:val="es-ES_tradnl"/>
        </w:rPr>
        <w:t>)</w:t>
      </w:r>
      <w:r w:rsidR="00276B8F" w:rsidRPr="00B924EB">
        <w:rPr>
          <w:iCs/>
          <w:lang w:val="es-ES_tradnl"/>
        </w:rPr>
        <w:t>;</w:t>
      </w:r>
    </w:p>
    <w:p w14:paraId="731B446C" w14:textId="2156A313" w:rsidR="00276B8F" w:rsidRPr="00B924EB" w:rsidRDefault="009374DA" w:rsidP="00276B8F">
      <w:pPr>
        <w:pStyle w:val="Heading2"/>
        <w:rPr>
          <w:lang w:val="es-ES_tradnl"/>
        </w:rPr>
      </w:pPr>
      <w:r w:rsidRPr="00B924EB">
        <w:rPr>
          <w:i/>
          <w:lang w:val="es-ES_tradnl"/>
        </w:rPr>
        <w:t>Capacitación</w:t>
      </w:r>
      <w:r w:rsidR="00276B8F" w:rsidRPr="00B924EB">
        <w:rPr>
          <w:i/>
          <w:lang w:val="es-ES_tradnl"/>
        </w:rPr>
        <w:t>,</w:t>
      </w:r>
      <w:r w:rsidR="00A13BEA" w:rsidRPr="00B924EB">
        <w:rPr>
          <w:i/>
          <w:lang w:val="es-ES_tradnl"/>
        </w:rPr>
        <w:t xml:space="preserve"> </w:t>
      </w:r>
      <w:r w:rsidR="00E26F0F" w:rsidRPr="00B924EB">
        <w:rPr>
          <w:i/>
          <w:lang w:val="es-ES_tradnl"/>
        </w:rPr>
        <w:t>acreditación</w:t>
      </w:r>
      <w:r w:rsidR="00A13BEA" w:rsidRPr="00B924EB">
        <w:rPr>
          <w:i/>
          <w:lang w:val="es-ES_tradnl"/>
        </w:rPr>
        <w:t xml:space="preserve"> </w:t>
      </w:r>
      <w:r w:rsidR="00755C5D" w:rsidRPr="00B924EB">
        <w:rPr>
          <w:i/>
          <w:lang w:val="es-ES_tradnl"/>
        </w:rPr>
        <w:t>y</w:t>
      </w:r>
      <w:r w:rsidR="00A13BEA" w:rsidRPr="00B924EB">
        <w:rPr>
          <w:i/>
          <w:lang w:val="es-ES_tradnl"/>
        </w:rPr>
        <w:t xml:space="preserve"> </w:t>
      </w:r>
      <w:r w:rsidR="001A1006" w:rsidRPr="00B924EB">
        <w:rPr>
          <w:i/>
          <w:lang w:val="es-ES_tradnl"/>
        </w:rPr>
        <w:t>normalización</w:t>
      </w:r>
      <w:r w:rsidR="00D600DF" w:rsidRPr="00B924EB">
        <w:rPr>
          <w:i/>
          <w:lang w:val="es-ES_tradnl"/>
        </w:rPr>
        <w:t>:</w:t>
      </w:r>
      <w:r w:rsidR="00A13BEA" w:rsidRPr="00B924EB">
        <w:rPr>
          <w:i/>
          <w:lang w:val="es-ES_tradnl"/>
        </w:rPr>
        <w:t xml:space="preserve"> </w:t>
      </w:r>
      <w:r w:rsidR="00E43100" w:rsidRPr="00B924EB">
        <w:rPr>
          <w:color w:val="000000"/>
          <w:lang w:val="es-ES_tradnl"/>
        </w:rPr>
        <w:t xml:space="preserve">Producción </w:t>
      </w:r>
      <w:r w:rsidR="00755C5D" w:rsidRPr="00B924EB">
        <w:rPr>
          <w:color w:val="000000"/>
          <w:lang w:val="es-ES_tradnl"/>
        </w:rPr>
        <w:t>de</w:t>
      </w:r>
      <w:r w:rsidR="00A13BEA" w:rsidRPr="00B924EB">
        <w:rPr>
          <w:color w:val="000000"/>
          <w:lang w:val="es-ES_tradnl"/>
        </w:rPr>
        <w:t xml:space="preserve"> </w:t>
      </w:r>
      <w:r w:rsidR="003C6F9C">
        <w:rPr>
          <w:color w:val="000000"/>
          <w:lang w:val="es-ES_tradnl"/>
        </w:rPr>
        <w:t>folleto</w:t>
      </w:r>
      <w:r w:rsidR="001B3CE0" w:rsidRPr="00B924EB">
        <w:rPr>
          <w:color w:val="000000"/>
          <w:lang w:val="es-ES_tradnl"/>
        </w:rPr>
        <w:t>s,</w:t>
      </w:r>
      <w:r w:rsidR="00A13BEA" w:rsidRPr="00B924EB">
        <w:rPr>
          <w:color w:val="000000"/>
          <w:lang w:val="es-ES_tradnl"/>
        </w:rPr>
        <w:t xml:space="preserve"> </w:t>
      </w:r>
      <w:r w:rsidR="007B1597">
        <w:rPr>
          <w:color w:val="000000"/>
          <w:lang w:val="es-ES_tradnl"/>
        </w:rPr>
        <w:t>manuales de capacitación</w:t>
      </w:r>
      <w:r w:rsidR="00A13BEA" w:rsidRPr="00B924EB">
        <w:rPr>
          <w:color w:val="000000"/>
          <w:lang w:val="es-ES_tradnl"/>
        </w:rPr>
        <w:t xml:space="preserve"> </w:t>
      </w:r>
      <w:r w:rsidR="00755C5D" w:rsidRPr="00B924EB">
        <w:rPr>
          <w:color w:val="000000"/>
          <w:lang w:val="es-ES_tradnl"/>
        </w:rPr>
        <w:t>y</w:t>
      </w:r>
      <w:r w:rsidR="00A13BEA" w:rsidRPr="00B924EB">
        <w:rPr>
          <w:color w:val="000000"/>
          <w:lang w:val="es-ES_tradnl"/>
        </w:rPr>
        <w:t xml:space="preserve"> </w:t>
      </w:r>
      <w:r w:rsidR="00C22B04">
        <w:rPr>
          <w:color w:val="000000"/>
          <w:lang w:val="es-ES_tradnl"/>
        </w:rPr>
        <w:t>referencias electrónicas</w:t>
      </w:r>
      <w:r w:rsidR="00A13BEA" w:rsidRPr="00B924EB">
        <w:rPr>
          <w:color w:val="000000"/>
          <w:lang w:val="es-ES_tradnl"/>
        </w:rPr>
        <w:t xml:space="preserve"> </w:t>
      </w:r>
      <w:r w:rsidR="00BC74D3">
        <w:rPr>
          <w:color w:val="000000"/>
          <w:lang w:val="es-ES_tradnl"/>
        </w:rPr>
        <w:t xml:space="preserve">para </w:t>
      </w:r>
      <w:r w:rsidR="00192A95">
        <w:rPr>
          <w:color w:val="000000"/>
          <w:lang w:val="es-ES_tradnl"/>
        </w:rPr>
        <w:t xml:space="preserve">los </w:t>
      </w:r>
      <w:r w:rsidR="007D31A7">
        <w:rPr>
          <w:color w:val="000000"/>
          <w:lang w:val="es-ES_tradnl"/>
        </w:rPr>
        <w:t xml:space="preserve">distintos </w:t>
      </w:r>
      <w:r w:rsidR="007D31A7" w:rsidRPr="007D31A7">
        <w:rPr>
          <w:color w:val="000000"/>
          <w:lang w:val="es-ES_tradnl"/>
        </w:rPr>
        <w:t xml:space="preserve">niveles </w:t>
      </w:r>
      <w:r w:rsidR="00E66B83">
        <w:rPr>
          <w:color w:val="000000"/>
          <w:lang w:val="es-ES_tradnl"/>
        </w:rPr>
        <w:t xml:space="preserve">de </w:t>
      </w:r>
      <w:r w:rsidR="001A1006" w:rsidRPr="00B924EB">
        <w:rPr>
          <w:color w:val="000000"/>
          <w:lang w:val="es-ES_tradnl"/>
        </w:rPr>
        <w:t>educación</w:t>
      </w:r>
      <w:r w:rsidR="00E66B83" w:rsidRPr="0083084B">
        <w:rPr>
          <w:lang w:val="es-419"/>
        </w:rPr>
        <w:t xml:space="preserve"> </w:t>
      </w:r>
      <w:r w:rsidR="00E66B83" w:rsidRPr="00E66B83">
        <w:rPr>
          <w:color w:val="000000"/>
          <w:lang w:val="es-ES_tradnl"/>
        </w:rPr>
        <w:t>técnica</w:t>
      </w:r>
      <w:r w:rsidR="001B3CE0" w:rsidRPr="00B924EB">
        <w:rPr>
          <w:color w:val="000000"/>
          <w:lang w:val="es-ES_tradnl"/>
        </w:rPr>
        <w:t>;</w:t>
      </w:r>
      <w:r w:rsidR="00A13BEA" w:rsidRPr="00B924EB">
        <w:rPr>
          <w:color w:val="000000"/>
          <w:lang w:val="es-ES_tradnl"/>
        </w:rPr>
        <w:t xml:space="preserve"> </w:t>
      </w:r>
      <w:r w:rsidR="00A47566">
        <w:rPr>
          <w:color w:val="000000"/>
          <w:lang w:val="es-ES_tradnl"/>
        </w:rPr>
        <w:t>continuar</w:t>
      </w:r>
      <w:r w:rsidR="00A13BEA" w:rsidRPr="00B924EB">
        <w:rPr>
          <w:color w:val="000000"/>
          <w:lang w:val="es-ES_tradnl"/>
        </w:rPr>
        <w:t xml:space="preserve"> </w:t>
      </w:r>
      <w:r w:rsidR="00A47566">
        <w:rPr>
          <w:color w:val="000000"/>
          <w:lang w:val="es-ES_tradnl"/>
        </w:rPr>
        <w:t xml:space="preserve">la </w:t>
      </w:r>
      <w:r w:rsidRPr="00B924EB">
        <w:rPr>
          <w:color w:val="000000"/>
          <w:lang w:val="es-ES_tradnl"/>
        </w:rPr>
        <w:t>capacitación</w:t>
      </w:r>
      <w:r w:rsidR="00A13BEA" w:rsidRPr="00B924EB">
        <w:rPr>
          <w:color w:val="000000"/>
          <w:lang w:val="es-ES_tradnl"/>
        </w:rPr>
        <w:t xml:space="preserve"> </w:t>
      </w:r>
      <w:r w:rsidR="00755C5D" w:rsidRPr="00B924EB">
        <w:rPr>
          <w:color w:val="000000"/>
          <w:lang w:val="es-ES_tradnl"/>
        </w:rPr>
        <w:t>y</w:t>
      </w:r>
      <w:r w:rsidR="00A13BEA" w:rsidRPr="00B924EB">
        <w:rPr>
          <w:color w:val="000000"/>
          <w:lang w:val="es-ES_tradnl"/>
        </w:rPr>
        <w:t xml:space="preserve"> </w:t>
      </w:r>
      <w:r w:rsidR="00E26F0F" w:rsidRPr="00B924EB">
        <w:rPr>
          <w:color w:val="000000"/>
          <w:lang w:val="es-ES_tradnl"/>
        </w:rPr>
        <w:t>acreditación</w:t>
      </w:r>
      <w:r w:rsidR="00A13BEA" w:rsidRPr="00B924EB">
        <w:rPr>
          <w:color w:val="000000"/>
          <w:lang w:val="es-ES_tradnl"/>
        </w:rPr>
        <w:t xml:space="preserve"> </w:t>
      </w:r>
      <w:r w:rsidR="00755C5D" w:rsidRPr="00B924EB">
        <w:rPr>
          <w:color w:val="000000"/>
          <w:lang w:val="es-ES_tradnl"/>
        </w:rPr>
        <w:t>de</w:t>
      </w:r>
      <w:r w:rsidR="00A13BEA" w:rsidRPr="00B924EB">
        <w:rPr>
          <w:color w:val="000000"/>
          <w:lang w:val="es-ES_tradnl"/>
        </w:rPr>
        <w:t xml:space="preserve"> </w:t>
      </w:r>
      <w:r w:rsidR="00755C5D" w:rsidRPr="00B924EB">
        <w:rPr>
          <w:color w:val="000000"/>
          <w:lang w:val="es-ES_tradnl"/>
        </w:rPr>
        <w:t>1.</w:t>
      </w:r>
      <w:r w:rsidR="001B3CE0" w:rsidRPr="00B924EB">
        <w:rPr>
          <w:color w:val="000000"/>
          <w:lang w:val="es-ES_tradnl"/>
        </w:rPr>
        <w:t>100</w:t>
      </w:r>
      <w:r w:rsidR="00A13BEA" w:rsidRPr="00B924EB">
        <w:rPr>
          <w:color w:val="000000"/>
          <w:lang w:val="es-ES_tradnl"/>
        </w:rPr>
        <w:t xml:space="preserve"> </w:t>
      </w:r>
      <w:r w:rsidR="00E26F0F" w:rsidRPr="00B924EB">
        <w:rPr>
          <w:color w:val="000000"/>
          <w:lang w:val="es-ES_tradnl"/>
        </w:rPr>
        <w:t>técnico</w:t>
      </w:r>
      <w:r w:rsidR="001B3CE0" w:rsidRPr="00B924EB">
        <w:rPr>
          <w:color w:val="000000"/>
          <w:lang w:val="es-ES_tradnl"/>
        </w:rPr>
        <w:t>s</w:t>
      </w:r>
      <w:r w:rsidR="00276B8F" w:rsidRPr="00B924EB">
        <w:rPr>
          <w:color w:val="000000"/>
          <w:lang w:val="es-ES_tradnl"/>
        </w:rPr>
        <w:t>;</w:t>
      </w:r>
      <w:r w:rsidR="00A13BEA" w:rsidRPr="00B924EB">
        <w:rPr>
          <w:color w:val="000000"/>
          <w:lang w:val="es-ES_tradnl"/>
        </w:rPr>
        <w:t xml:space="preserve"> </w:t>
      </w:r>
      <w:r w:rsidR="001429C7">
        <w:rPr>
          <w:color w:val="000000"/>
          <w:lang w:val="es-ES_tradnl"/>
        </w:rPr>
        <w:t xml:space="preserve">organizar un </w:t>
      </w:r>
      <w:r w:rsidR="001429C7" w:rsidRPr="001429C7">
        <w:rPr>
          <w:color w:val="000000"/>
          <w:lang w:val="es-ES_tradnl"/>
        </w:rPr>
        <w:t xml:space="preserve">programa </w:t>
      </w:r>
      <w:r w:rsidR="003A2BCC">
        <w:rPr>
          <w:color w:val="000000"/>
          <w:lang w:val="es-ES_tradnl"/>
        </w:rPr>
        <w:t>especializado</w:t>
      </w:r>
      <w:r w:rsidR="00A13BEA" w:rsidRPr="00B924EB">
        <w:rPr>
          <w:color w:val="000000"/>
          <w:lang w:val="es-ES_tradnl"/>
        </w:rPr>
        <w:t xml:space="preserve"> </w:t>
      </w:r>
      <w:r w:rsidR="00A40A0A">
        <w:rPr>
          <w:color w:val="000000"/>
          <w:lang w:val="es-ES_tradnl"/>
        </w:rPr>
        <w:t xml:space="preserve">de </w:t>
      </w:r>
      <w:r w:rsidR="003A2BCC">
        <w:rPr>
          <w:color w:val="000000"/>
          <w:lang w:val="es-ES_tradnl"/>
        </w:rPr>
        <w:t>orientación técnica</w:t>
      </w:r>
      <w:r w:rsidR="00A13BEA" w:rsidRPr="00B924EB">
        <w:rPr>
          <w:color w:val="000000"/>
          <w:lang w:val="es-ES_tradnl"/>
        </w:rPr>
        <w:t xml:space="preserve"> </w:t>
      </w:r>
      <w:r w:rsidR="00A40A0A">
        <w:rPr>
          <w:color w:val="000000"/>
          <w:lang w:val="es-ES_tradnl"/>
        </w:rPr>
        <w:t xml:space="preserve">sobre </w:t>
      </w:r>
      <w:r w:rsidR="00CB72CE" w:rsidRPr="00B924EB">
        <w:rPr>
          <w:color w:val="000000"/>
          <w:lang w:val="es-ES_tradnl"/>
        </w:rPr>
        <w:t>alternativas</w:t>
      </w:r>
      <w:r w:rsidR="00A13BEA" w:rsidRPr="00B924EB">
        <w:rPr>
          <w:color w:val="000000"/>
          <w:lang w:val="es-ES_tradnl"/>
        </w:rPr>
        <w:t xml:space="preserve"> </w:t>
      </w:r>
      <w:r w:rsidR="00CB72CE" w:rsidRPr="00B924EB">
        <w:rPr>
          <w:color w:val="000000"/>
          <w:lang w:val="es-ES_tradnl"/>
        </w:rPr>
        <w:t>de</w:t>
      </w:r>
      <w:r w:rsidR="00A13BEA" w:rsidRPr="00B924EB">
        <w:rPr>
          <w:color w:val="000000"/>
          <w:lang w:val="es-ES_tradnl"/>
        </w:rPr>
        <w:t xml:space="preserve"> </w:t>
      </w:r>
      <w:r w:rsidR="00CB72CE" w:rsidRPr="00B924EB">
        <w:rPr>
          <w:color w:val="000000"/>
          <w:lang w:val="es-ES_tradnl"/>
        </w:rPr>
        <w:t>bajo</w:t>
      </w:r>
      <w:r w:rsidR="00A13BEA" w:rsidRPr="00B924EB">
        <w:rPr>
          <w:color w:val="000000"/>
          <w:lang w:val="es-ES_tradnl"/>
        </w:rPr>
        <w:t xml:space="preserve"> </w:t>
      </w:r>
      <w:r w:rsidR="00CB72CE" w:rsidRPr="00B924EB">
        <w:rPr>
          <w:color w:val="000000"/>
          <w:lang w:val="es-ES_tradnl"/>
        </w:rPr>
        <w:t>PCA</w:t>
      </w:r>
      <w:r w:rsidR="00A13BEA" w:rsidRPr="00B924EB">
        <w:rPr>
          <w:color w:val="000000"/>
          <w:lang w:val="es-ES_tradnl"/>
        </w:rPr>
        <w:t xml:space="preserve"> </w:t>
      </w:r>
      <w:r w:rsidR="005226DA">
        <w:rPr>
          <w:color w:val="000000"/>
          <w:lang w:val="es-ES_tradnl"/>
        </w:rPr>
        <w:t>para grandes</w:t>
      </w:r>
      <w:r w:rsidR="00E013B4">
        <w:rPr>
          <w:color w:val="000000"/>
          <w:lang w:val="es-ES_tradnl"/>
        </w:rPr>
        <w:t xml:space="preserve"> usuarios</w:t>
      </w:r>
      <w:r w:rsidR="00055F50" w:rsidRPr="00B924EB">
        <w:rPr>
          <w:color w:val="000000"/>
          <w:lang w:val="es-ES_tradnl"/>
        </w:rPr>
        <w:t xml:space="preserve"> finales</w:t>
      </w:r>
      <w:r w:rsidR="00276B8F" w:rsidRPr="00B924EB">
        <w:rPr>
          <w:color w:val="000000"/>
          <w:lang w:val="es-ES_tradnl"/>
        </w:rPr>
        <w:t>,</w:t>
      </w:r>
      <w:r w:rsidR="00A13BEA" w:rsidRPr="00B924EB">
        <w:rPr>
          <w:color w:val="000000"/>
          <w:lang w:val="es-ES_tradnl"/>
        </w:rPr>
        <w:t xml:space="preserve"> </w:t>
      </w:r>
      <w:r w:rsidR="00EA5AE4">
        <w:rPr>
          <w:color w:val="000000"/>
          <w:lang w:val="es-ES_tradnl"/>
        </w:rPr>
        <w:t>empresas inmobiliarias</w:t>
      </w:r>
      <w:r w:rsidR="00276B8F" w:rsidRPr="00B924EB">
        <w:rPr>
          <w:color w:val="000000"/>
          <w:lang w:val="es-ES_tradnl"/>
        </w:rPr>
        <w:t>,</w:t>
      </w:r>
      <w:r w:rsidR="00A13BEA" w:rsidRPr="00B924EB">
        <w:rPr>
          <w:color w:val="000000"/>
          <w:lang w:val="es-ES_tradnl"/>
        </w:rPr>
        <w:t xml:space="preserve"> </w:t>
      </w:r>
      <w:r w:rsidR="00452F79" w:rsidRPr="00B924EB">
        <w:rPr>
          <w:color w:val="000000"/>
          <w:lang w:val="es-ES_tradnl"/>
        </w:rPr>
        <w:t>consultores</w:t>
      </w:r>
      <w:r w:rsidR="00A13BEA" w:rsidRPr="00B924EB">
        <w:rPr>
          <w:color w:val="000000"/>
          <w:lang w:val="es-ES_tradnl"/>
        </w:rPr>
        <w:t xml:space="preserve"> </w:t>
      </w:r>
      <w:r w:rsidR="00755C5D" w:rsidRPr="00B924EB">
        <w:rPr>
          <w:color w:val="000000"/>
          <w:lang w:val="es-ES_tradnl"/>
        </w:rPr>
        <w:t>y</w:t>
      </w:r>
      <w:r w:rsidR="00A13BEA" w:rsidRPr="00B924EB">
        <w:rPr>
          <w:color w:val="000000"/>
          <w:lang w:val="es-ES_tradnl"/>
        </w:rPr>
        <w:t xml:space="preserve"> </w:t>
      </w:r>
      <w:r w:rsidR="003B7006">
        <w:rPr>
          <w:color w:val="000000"/>
          <w:lang w:val="es-ES_tradnl"/>
        </w:rPr>
        <w:t xml:space="preserve">autoridades </w:t>
      </w:r>
      <w:r w:rsidR="003B3F02">
        <w:rPr>
          <w:color w:val="000000"/>
          <w:lang w:val="es-ES_tradnl"/>
        </w:rPr>
        <w:t>técnicas de nivel gubernamental</w:t>
      </w:r>
      <w:r w:rsidR="00A13BEA" w:rsidRPr="00B924EB">
        <w:rPr>
          <w:color w:val="000000"/>
          <w:lang w:val="es-ES_tradnl"/>
        </w:rPr>
        <w:t xml:space="preserve"> </w:t>
      </w:r>
      <w:r w:rsidR="000521A3" w:rsidRPr="00B924EB">
        <w:rPr>
          <w:iCs/>
          <w:lang w:val="es-ES_tradnl"/>
        </w:rPr>
        <w:t>(PNUMA)</w:t>
      </w:r>
      <w:r w:rsidR="00A13BEA" w:rsidRPr="00B924EB">
        <w:rPr>
          <w:iCs/>
          <w:lang w:val="es-ES_tradnl"/>
        </w:rPr>
        <w:t xml:space="preserve"> </w:t>
      </w:r>
      <w:r w:rsidR="00C56FDE">
        <w:rPr>
          <w:iCs/>
          <w:lang w:val="es-ES_tradnl"/>
        </w:rPr>
        <w:t>(</w:t>
      </w:r>
      <w:r w:rsidR="00197BD4" w:rsidRPr="00B924EB">
        <w:rPr>
          <w:iCs/>
          <w:lang w:val="es-ES_tradnl"/>
        </w:rPr>
        <w:t>43</w:t>
      </w:r>
      <w:r w:rsidRPr="00B924EB">
        <w:rPr>
          <w:iCs/>
          <w:lang w:val="es-ES_tradnl"/>
        </w:rPr>
        <w:t>5.</w:t>
      </w:r>
      <w:r w:rsidR="00197BD4" w:rsidRPr="00B924EB">
        <w:rPr>
          <w:iCs/>
          <w:lang w:val="es-ES_tradnl"/>
        </w:rPr>
        <w:t>000</w:t>
      </w:r>
      <w:r w:rsidR="00D05701" w:rsidRPr="00D05701">
        <w:rPr>
          <w:iCs/>
          <w:lang w:val="es-ES_tradnl"/>
        </w:rPr>
        <w:t xml:space="preserve"> $EUA</w:t>
      </w:r>
      <w:r w:rsidR="00197BD4" w:rsidRPr="00B924EB">
        <w:rPr>
          <w:iCs/>
          <w:lang w:val="es-ES_tradnl"/>
        </w:rPr>
        <w:t>)</w:t>
      </w:r>
      <w:r w:rsidR="00820B09" w:rsidRPr="00B924EB">
        <w:rPr>
          <w:color w:val="000000"/>
          <w:lang w:val="es-ES_tradnl"/>
        </w:rPr>
        <w:t>;</w:t>
      </w:r>
    </w:p>
    <w:p w14:paraId="19739D95" w14:textId="73D40F96" w:rsidR="000521A3" w:rsidRPr="00B924EB" w:rsidRDefault="00075378" w:rsidP="00276B8F">
      <w:pPr>
        <w:pStyle w:val="Heading2"/>
        <w:rPr>
          <w:lang w:val="es-ES_tradnl"/>
        </w:rPr>
      </w:pPr>
      <w:r>
        <w:rPr>
          <w:i/>
          <w:lang w:val="es-ES_tradnl"/>
        </w:rPr>
        <w:t>Asistencia al sector servicio técnico</w:t>
      </w:r>
      <w:r w:rsidR="00D600DF" w:rsidRPr="00B924EB">
        <w:rPr>
          <w:i/>
          <w:lang w:val="es-ES_tradnl"/>
        </w:rPr>
        <w:t>:</w:t>
      </w:r>
      <w:r w:rsidR="00A13BEA" w:rsidRPr="00B924EB">
        <w:rPr>
          <w:lang w:val="es-ES_tradnl"/>
        </w:rPr>
        <w:t xml:space="preserve"> </w:t>
      </w:r>
      <w:r w:rsidR="00D751AD">
        <w:rPr>
          <w:lang w:val="es-ES_tradnl"/>
        </w:rPr>
        <w:t>Evaluación d</w:t>
      </w:r>
      <w:r w:rsidR="009B2FF4">
        <w:rPr>
          <w:lang w:val="es-ES_tradnl"/>
        </w:rPr>
        <w:t xml:space="preserve">el funcionamiento </w:t>
      </w:r>
      <w:r w:rsidR="00755C5D" w:rsidRPr="00B924EB">
        <w:rPr>
          <w:lang w:val="es-ES_tradnl"/>
        </w:rPr>
        <w:t>de</w:t>
      </w:r>
      <w:r w:rsidR="00A13BEA" w:rsidRPr="00B924EB">
        <w:rPr>
          <w:lang w:val="es-ES_tradnl"/>
        </w:rPr>
        <w:t xml:space="preserve"> </w:t>
      </w:r>
      <w:r w:rsidR="00755C5D" w:rsidRPr="00B924EB">
        <w:rPr>
          <w:lang w:val="es-ES_tradnl"/>
        </w:rPr>
        <w:t>tres</w:t>
      </w:r>
      <w:r w:rsidR="00A13BEA" w:rsidRPr="00B924EB">
        <w:rPr>
          <w:lang w:val="es-ES_tradnl"/>
        </w:rPr>
        <w:t xml:space="preserve"> </w:t>
      </w:r>
      <w:r w:rsidR="00C75FF5">
        <w:rPr>
          <w:lang w:val="es-ES_tradnl"/>
        </w:rPr>
        <w:t>centros de recuperación</w:t>
      </w:r>
      <w:r w:rsidR="004F2AA6">
        <w:rPr>
          <w:lang w:val="es-ES_tradnl"/>
        </w:rPr>
        <w:t xml:space="preserve"> </w:t>
      </w:r>
      <w:r w:rsidR="00755C5D" w:rsidRPr="00B924EB">
        <w:rPr>
          <w:lang w:val="es-ES_tradnl"/>
        </w:rPr>
        <w:t>y</w:t>
      </w:r>
      <w:r w:rsidR="00A13BEA" w:rsidRPr="00B924EB">
        <w:rPr>
          <w:lang w:val="es-ES_tradnl"/>
        </w:rPr>
        <w:t xml:space="preserve"> </w:t>
      </w:r>
      <w:r w:rsidR="005819FF">
        <w:rPr>
          <w:lang w:val="es-ES_tradnl"/>
        </w:rPr>
        <w:t>desarrollo de</w:t>
      </w:r>
      <w:r w:rsidR="00A13BEA" w:rsidRPr="00B924EB">
        <w:rPr>
          <w:lang w:val="es-ES_tradnl"/>
        </w:rPr>
        <w:t xml:space="preserve"> </w:t>
      </w:r>
      <w:r w:rsidR="004B0522">
        <w:rPr>
          <w:lang w:val="es-ES_tradnl"/>
        </w:rPr>
        <w:t xml:space="preserve">un </w:t>
      </w:r>
      <w:r w:rsidR="00B924EB">
        <w:rPr>
          <w:lang w:val="es-ES_tradnl"/>
        </w:rPr>
        <w:t>modelo de negocios</w:t>
      </w:r>
      <w:r w:rsidR="00A13BEA" w:rsidRPr="00B924EB">
        <w:rPr>
          <w:lang w:val="es-ES_tradnl"/>
        </w:rPr>
        <w:t xml:space="preserve"> </w:t>
      </w:r>
      <w:r w:rsidR="0098109D">
        <w:rPr>
          <w:lang w:val="es-ES_tradnl"/>
        </w:rPr>
        <w:t>autosustentable</w:t>
      </w:r>
      <w:r w:rsidR="00C145A1" w:rsidRPr="00B924EB">
        <w:rPr>
          <w:lang w:val="es-ES_tradnl"/>
        </w:rPr>
        <w:t>;</w:t>
      </w:r>
      <w:r w:rsidR="00A13BEA" w:rsidRPr="00B924EB">
        <w:rPr>
          <w:lang w:val="es-ES_tradnl"/>
        </w:rPr>
        <w:t xml:space="preserve"> </w:t>
      </w:r>
      <w:r w:rsidR="000521A3" w:rsidRPr="00B924EB">
        <w:rPr>
          <w:color w:val="000000"/>
          <w:lang w:val="es-ES_tradnl"/>
        </w:rPr>
        <w:t>entrega</w:t>
      </w:r>
      <w:r w:rsidR="00A13BEA" w:rsidRPr="00B924EB">
        <w:rPr>
          <w:color w:val="000000"/>
          <w:lang w:val="es-ES_tradnl"/>
        </w:rPr>
        <w:t xml:space="preserve"> </w:t>
      </w:r>
      <w:r w:rsidR="00755C5D" w:rsidRPr="00B924EB">
        <w:rPr>
          <w:color w:val="000000"/>
          <w:lang w:val="es-ES_tradnl"/>
        </w:rPr>
        <w:t>de</w:t>
      </w:r>
      <w:r w:rsidR="00A13BEA" w:rsidRPr="00B924EB">
        <w:rPr>
          <w:color w:val="000000"/>
          <w:lang w:val="es-ES_tradnl"/>
        </w:rPr>
        <w:t xml:space="preserve"> </w:t>
      </w:r>
      <w:r w:rsidR="000D37D5" w:rsidRPr="00B924EB">
        <w:rPr>
          <w:color w:val="000000"/>
          <w:lang w:val="es-ES_tradnl"/>
        </w:rPr>
        <w:t>250</w:t>
      </w:r>
      <w:r w:rsidR="00A13BEA" w:rsidRPr="00B924EB">
        <w:rPr>
          <w:color w:val="000000"/>
          <w:lang w:val="es-ES_tradnl"/>
        </w:rPr>
        <w:t xml:space="preserve"> </w:t>
      </w:r>
      <w:r w:rsidR="0086080E">
        <w:rPr>
          <w:color w:val="000000"/>
          <w:lang w:val="es-ES_tradnl"/>
        </w:rPr>
        <w:t>juegos</w:t>
      </w:r>
      <w:r w:rsidR="00A13BEA" w:rsidRPr="00B924EB">
        <w:rPr>
          <w:color w:val="000000"/>
          <w:lang w:val="es-ES_tradnl"/>
        </w:rPr>
        <w:t xml:space="preserve"> </w:t>
      </w:r>
      <w:r w:rsidR="00755C5D" w:rsidRPr="00B924EB">
        <w:rPr>
          <w:color w:val="000000"/>
          <w:lang w:val="es-ES_tradnl"/>
        </w:rPr>
        <w:t>de</w:t>
      </w:r>
      <w:r w:rsidR="00A13BEA" w:rsidRPr="00B924EB">
        <w:rPr>
          <w:color w:val="000000"/>
          <w:lang w:val="es-ES_tradnl"/>
        </w:rPr>
        <w:t xml:space="preserve"> </w:t>
      </w:r>
      <w:r w:rsidR="00E26F0F" w:rsidRPr="00B924EB">
        <w:rPr>
          <w:color w:val="000000"/>
          <w:lang w:val="es-ES_tradnl"/>
        </w:rPr>
        <w:t>herramientas</w:t>
      </w:r>
      <w:r w:rsidR="00A13BEA" w:rsidRPr="00B924EB">
        <w:rPr>
          <w:color w:val="000000"/>
          <w:lang w:val="es-ES_tradnl"/>
        </w:rPr>
        <w:t xml:space="preserve"> </w:t>
      </w:r>
      <w:r w:rsidR="00770F52">
        <w:rPr>
          <w:color w:val="000000"/>
          <w:lang w:val="es-ES_tradnl"/>
        </w:rPr>
        <w:t xml:space="preserve">para </w:t>
      </w:r>
      <w:r w:rsidR="00D40045" w:rsidRPr="00D40045">
        <w:rPr>
          <w:color w:val="000000"/>
          <w:lang w:val="es-ES_tradnl"/>
        </w:rPr>
        <w:t>optimizar</w:t>
      </w:r>
      <w:r w:rsidR="000D0886">
        <w:rPr>
          <w:color w:val="000000"/>
          <w:lang w:val="es-ES_tradnl"/>
        </w:rPr>
        <w:t xml:space="preserve"> </w:t>
      </w:r>
      <w:r w:rsidR="00770F52">
        <w:rPr>
          <w:color w:val="000000"/>
          <w:lang w:val="es-ES_tradnl"/>
        </w:rPr>
        <w:t xml:space="preserve">las </w:t>
      </w:r>
      <w:r w:rsidR="00452F79" w:rsidRPr="00B924EB">
        <w:rPr>
          <w:color w:val="000000"/>
          <w:lang w:val="es-ES_tradnl"/>
        </w:rPr>
        <w:t>prácticas</w:t>
      </w:r>
      <w:r w:rsidR="00A13BEA" w:rsidRPr="00B924EB">
        <w:rPr>
          <w:color w:val="000000"/>
          <w:lang w:val="es-ES_tradnl"/>
        </w:rPr>
        <w:t xml:space="preserve"> </w:t>
      </w:r>
      <w:r w:rsidR="0048606E">
        <w:rPr>
          <w:color w:val="000000"/>
          <w:lang w:val="es-ES_tradnl"/>
        </w:rPr>
        <w:t xml:space="preserve">de </w:t>
      </w:r>
      <w:r w:rsidR="003B573A">
        <w:rPr>
          <w:color w:val="000000"/>
          <w:lang w:val="es-ES_tradnl"/>
        </w:rPr>
        <w:t>pequeños y medianos talleres</w:t>
      </w:r>
      <w:r w:rsidR="00AB6DF3">
        <w:rPr>
          <w:color w:val="000000"/>
          <w:lang w:val="es-ES_tradnl"/>
        </w:rPr>
        <w:t xml:space="preserve"> de servicio</w:t>
      </w:r>
      <w:r w:rsidR="00875821">
        <w:rPr>
          <w:color w:val="000000"/>
          <w:lang w:val="es-ES_tradnl"/>
        </w:rPr>
        <w:t>,</w:t>
      </w:r>
      <w:r w:rsidR="00A13BEA" w:rsidRPr="00B924EB">
        <w:rPr>
          <w:lang w:val="es-ES_tradnl"/>
        </w:rPr>
        <w:t xml:space="preserve"> </w:t>
      </w:r>
      <w:r w:rsidR="00755C5D" w:rsidRPr="00B924EB">
        <w:rPr>
          <w:lang w:val="es-ES_tradnl"/>
        </w:rPr>
        <w:t>y</w:t>
      </w:r>
      <w:r w:rsidR="00A13BEA" w:rsidRPr="00B924EB">
        <w:rPr>
          <w:lang w:val="es-ES_tradnl"/>
        </w:rPr>
        <w:t xml:space="preserve"> </w:t>
      </w:r>
      <w:r w:rsidR="00875821">
        <w:rPr>
          <w:lang w:val="es-ES_tradnl"/>
        </w:rPr>
        <w:t>realización de</w:t>
      </w:r>
      <w:r w:rsidR="007B3695">
        <w:rPr>
          <w:lang w:val="es-ES_tradnl"/>
        </w:rPr>
        <w:t xml:space="preserve"> </w:t>
      </w:r>
      <w:r w:rsidR="00755C5D" w:rsidRPr="00B924EB">
        <w:rPr>
          <w:lang w:val="es-ES_tradnl"/>
        </w:rPr>
        <w:t>dos</w:t>
      </w:r>
      <w:r w:rsidR="00A13BEA" w:rsidRPr="00B924EB">
        <w:rPr>
          <w:lang w:val="es-ES_tradnl"/>
        </w:rPr>
        <w:t xml:space="preserve"> </w:t>
      </w:r>
      <w:r w:rsidR="00753EB7">
        <w:rPr>
          <w:lang w:val="es-ES_tradnl"/>
        </w:rPr>
        <w:t>talleres temáticos</w:t>
      </w:r>
      <w:r w:rsidR="00A13BEA" w:rsidRPr="00B924EB">
        <w:rPr>
          <w:lang w:val="es-ES_tradnl"/>
        </w:rPr>
        <w:t xml:space="preserve"> </w:t>
      </w:r>
      <w:r w:rsidR="005226DA">
        <w:rPr>
          <w:lang w:val="es-ES_tradnl"/>
        </w:rPr>
        <w:t>para grandes</w:t>
      </w:r>
      <w:r w:rsidR="00E013B4">
        <w:rPr>
          <w:lang w:val="es-ES_tradnl"/>
        </w:rPr>
        <w:t xml:space="preserve"> usuarios</w:t>
      </w:r>
      <w:r w:rsidR="00055F50" w:rsidRPr="00B924EB">
        <w:rPr>
          <w:lang w:val="es-ES_tradnl"/>
        </w:rPr>
        <w:t xml:space="preserve"> finales</w:t>
      </w:r>
      <w:r w:rsidR="00A13BEA" w:rsidRPr="00B924EB">
        <w:rPr>
          <w:lang w:val="es-ES_tradnl"/>
        </w:rPr>
        <w:t xml:space="preserve"> </w:t>
      </w:r>
      <w:r w:rsidR="000521A3" w:rsidRPr="00B924EB">
        <w:rPr>
          <w:iCs/>
          <w:lang w:val="es-ES_tradnl"/>
        </w:rPr>
        <w:t>(ONUDI)</w:t>
      </w:r>
      <w:r w:rsidR="00A13BEA" w:rsidRPr="00B924EB">
        <w:rPr>
          <w:iCs/>
          <w:lang w:val="es-ES_tradnl"/>
        </w:rPr>
        <w:t xml:space="preserve"> </w:t>
      </w:r>
      <w:r w:rsidR="00197BD4" w:rsidRPr="00B924EB">
        <w:rPr>
          <w:iCs/>
          <w:lang w:val="es-ES_tradnl"/>
        </w:rPr>
        <w:t>(34</w:t>
      </w:r>
      <w:r w:rsidR="009374DA" w:rsidRPr="00B924EB">
        <w:rPr>
          <w:iCs/>
          <w:lang w:val="es-ES_tradnl"/>
        </w:rPr>
        <w:t>5.</w:t>
      </w:r>
      <w:r w:rsidR="00197BD4" w:rsidRPr="00B924EB">
        <w:rPr>
          <w:iCs/>
          <w:lang w:val="es-ES_tradnl"/>
        </w:rPr>
        <w:t>000</w:t>
      </w:r>
      <w:r w:rsidR="008A5EA2" w:rsidRPr="008A5EA2">
        <w:rPr>
          <w:iCs/>
          <w:lang w:val="es-ES_tradnl"/>
        </w:rPr>
        <w:t xml:space="preserve"> $EUA</w:t>
      </w:r>
      <w:r w:rsidR="00197BD4" w:rsidRPr="00B924EB">
        <w:rPr>
          <w:iCs/>
          <w:lang w:val="es-ES_tradnl"/>
        </w:rPr>
        <w:t>)</w:t>
      </w:r>
      <w:r w:rsidR="00124159" w:rsidRPr="00B924EB">
        <w:rPr>
          <w:lang w:val="es-ES_tradnl"/>
        </w:rPr>
        <w:t>;</w:t>
      </w:r>
      <w:r w:rsidR="00A13BEA" w:rsidRPr="00B924EB">
        <w:rPr>
          <w:lang w:val="es-ES_tradnl"/>
        </w:rPr>
        <w:t xml:space="preserve"> </w:t>
      </w:r>
      <w:r w:rsidR="00755C5D" w:rsidRPr="00B924EB">
        <w:rPr>
          <w:lang w:val="es-ES_tradnl"/>
        </w:rPr>
        <w:t>y</w:t>
      </w:r>
    </w:p>
    <w:p w14:paraId="03406033" w14:textId="4BB593E0" w:rsidR="00124159" w:rsidRPr="00B924EB" w:rsidRDefault="00346138" w:rsidP="001B3CE0">
      <w:pPr>
        <w:pStyle w:val="Heading2"/>
        <w:rPr>
          <w:lang w:val="es-ES_tradnl"/>
        </w:rPr>
      </w:pPr>
      <w:r>
        <w:rPr>
          <w:i/>
          <w:lang w:val="es-ES_tradnl"/>
        </w:rPr>
        <w:t>Gestión y supervisión del proyecto</w:t>
      </w:r>
      <w:r w:rsidR="00D600DF" w:rsidRPr="00B924EB">
        <w:rPr>
          <w:i/>
          <w:lang w:val="es-ES_tradnl"/>
        </w:rPr>
        <w:t>:</w:t>
      </w:r>
      <w:r w:rsidR="00A13BEA" w:rsidRPr="00B924EB">
        <w:rPr>
          <w:i/>
          <w:lang w:val="es-ES_tradnl"/>
        </w:rPr>
        <w:t xml:space="preserve"> </w:t>
      </w:r>
      <w:r w:rsidR="004122B6" w:rsidRPr="00B924EB">
        <w:rPr>
          <w:lang w:val="es-ES_tradnl"/>
        </w:rPr>
        <w:t xml:space="preserve">Coordinación </w:t>
      </w:r>
      <w:r w:rsidR="00755C5D" w:rsidRPr="00B924EB">
        <w:rPr>
          <w:lang w:val="es-ES_tradnl"/>
        </w:rPr>
        <w:t>de</w:t>
      </w:r>
      <w:r w:rsidR="00A13BEA" w:rsidRPr="00B924EB">
        <w:rPr>
          <w:lang w:val="es-ES_tradnl"/>
        </w:rPr>
        <w:t xml:space="preserve"> </w:t>
      </w:r>
      <w:r w:rsidR="00755C5D" w:rsidRPr="00B924EB">
        <w:rPr>
          <w:lang w:val="es-ES_tradnl"/>
        </w:rPr>
        <w:t>actividades</w:t>
      </w:r>
      <w:r w:rsidR="00A13BEA" w:rsidRPr="00B924EB">
        <w:rPr>
          <w:lang w:val="es-ES_tradnl"/>
        </w:rPr>
        <w:t xml:space="preserve"> </w:t>
      </w:r>
      <w:r w:rsidR="00C90AF6">
        <w:rPr>
          <w:lang w:val="es-ES_tradnl"/>
        </w:rPr>
        <w:t>d</w:t>
      </w:r>
      <w:r w:rsidR="00E26F0F" w:rsidRPr="00B924EB">
        <w:rPr>
          <w:lang w:val="es-ES_tradnl"/>
        </w:rPr>
        <w:t>el</w:t>
      </w:r>
      <w:r w:rsidR="00A13BEA" w:rsidRPr="00B924EB">
        <w:rPr>
          <w:lang w:val="es-ES_tradnl"/>
        </w:rPr>
        <w:t xml:space="preserve"> </w:t>
      </w:r>
      <w:r w:rsidR="00E26F0F" w:rsidRPr="00B924EB">
        <w:rPr>
          <w:lang w:val="es-ES_tradnl"/>
        </w:rPr>
        <w:t>plan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ejecución</w:t>
      </w:r>
      <w:r w:rsidR="00C90AF6">
        <w:rPr>
          <w:lang w:val="es-ES_tradnl"/>
        </w:rPr>
        <w:t xml:space="preserve">, </w:t>
      </w:r>
      <w:r w:rsidR="009374DA" w:rsidRPr="00B924EB">
        <w:rPr>
          <w:lang w:val="es-ES_tradnl"/>
        </w:rPr>
        <w:t>reuniones</w:t>
      </w:r>
      <w:r w:rsidR="00A13BEA" w:rsidRPr="00B924EB">
        <w:rPr>
          <w:lang w:val="es-ES_tradnl"/>
        </w:rPr>
        <w:t xml:space="preserve"> </w:t>
      </w:r>
      <w:r w:rsidR="009374DA" w:rsidRPr="00B924EB">
        <w:rPr>
          <w:lang w:val="es-ES_tradnl"/>
        </w:rPr>
        <w:t>con</w:t>
      </w:r>
      <w:r w:rsidR="00A13BEA" w:rsidRPr="00B924EB">
        <w:rPr>
          <w:lang w:val="es-ES_tradnl"/>
        </w:rPr>
        <w:t xml:space="preserve"> </w:t>
      </w:r>
      <w:r w:rsidR="00443CCE">
        <w:rPr>
          <w:lang w:val="es-ES_tradnl"/>
        </w:rPr>
        <w:t>actores intervinientes</w:t>
      </w:r>
      <w:r w:rsidR="00A13BEA" w:rsidRPr="00B924EB">
        <w:rPr>
          <w:lang w:val="es-ES_tradnl"/>
        </w:rPr>
        <w:t xml:space="preserve"> </w:t>
      </w:r>
      <w:r w:rsidR="00C90AF6">
        <w:rPr>
          <w:lang w:val="es-ES_tradnl"/>
        </w:rPr>
        <w:t>y</w:t>
      </w:r>
      <w:r w:rsidR="00A13BEA" w:rsidRPr="00B924EB">
        <w:rPr>
          <w:lang w:val="es-ES_tradnl"/>
        </w:rPr>
        <w:t xml:space="preserve"> </w:t>
      </w:r>
      <w:r w:rsidR="00C90AF6">
        <w:rPr>
          <w:lang w:val="es-ES_tradnl"/>
        </w:rPr>
        <w:t xml:space="preserve">elaboración </w:t>
      </w:r>
      <w:r w:rsidR="00755C5D" w:rsidRPr="00B924EB">
        <w:rPr>
          <w:lang w:val="es-ES_tradnl"/>
        </w:rPr>
        <w:t>de</w:t>
      </w:r>
      <w:r w:rsidR="00A13BEA" w:rsidRPr="00B924EB">
        <w:rPr>
          <w:lang w:val="es-ES_tradnl"/>
        </w:rPr>
        <w:t xml:space="preserve"> </w:t>
      </w:r>
      <w:r w:rsidR="00B9760C">
        <w:rPr>
          <w:lang w:val="es-ES_tradnl"/>
        </w:rPr>
        <w:t xml:space="preserve">los </w:t>
      </w:r>
      <w:r w:rsidR="003E4D19" w:rsidRPr="003E4D19">
        <w:rPr>
          <w:lang w:val="es-ES_tradnl"/>
        </w:rPr>
        <w:t xml:space="preserve">correspondientes </w:t>
      </w:r>
      <w:r w:rsidR="00B9760C">
        <w:rPr>
          <w:lang w:val="es-ES_tradnl"/>
        </w:rPr>
        <w:t xml:space="preserve">informes </w:t>
      </w:r>
      <w:r w:rsidR="000521A3" w:rsidRPr="00B924EB">
        <w:rPr>
          <w:iCs/>
          <w:lang w:val="es-ES_tradnl"/>
        </w:rPr>
        <w:t>(PNUMA)</w:t>
      </w:r>
      <w:r w:rsidR="00A13BEA" w:rsidRPr="00B924EB">
        <w:rPr>
          <w:iCs/>
          <w:lang w:val="es-ES_tradnl"/>
        </w:rPr>
        <w:t xml:space="preserve"> </w:t>
      </w:r>
      <w:r w:rsidR="00197BD4" w:rsidRPr="00B924EB">
        <w:rPr>
          <w:iCs/>
          <w:lang w:val="es-ES_tradnl"/>
        </w:rPr>
        <w:t>(8</w:t>
      </w:r>
      <w:r w:rsidR="009374DA" w:rsidRPr="00B924EB">
        <w:rPr>
          <w:iCs/>
          <w:lang w:val="es-ES_tradnl"/>
        </w:rPr>
        <w:t>5.</w:t>
      </w:r>
      <w:r w:rsidR="00197BD4" w:rsidRPr="00B924EB">
        <w:rPr>
          <w:iCs/>
          <w:lang w:val="es-ES_tradnl"/>
        </w:rPr>
        <w:t>000</w:t>
      </w:r>
      <w:r w:rsidR="00F14643" w:rsidRPr="00F14643">
        <w:rPr>
          <w:iCs/>
          <w:lang w:val="es-ES_tradnl"/>
        </w:rPr>
        <w:t xml:space="preserve"> $EUA</w:t>
      </w:r>
      <w:r w:rsidR="00197BD4" w:rsidRPr="00B924EB">
        <w:rPr>
          <w:iCs/>
          <w:lang w:val="es-ES_tradnl"/>
        </w:rPr>
        <w:t>)</w:t>
      </w:r>
      <w:r w:rsidR="00AC6B4E" w:rsidRPr="00B924EB">
        <w:rPr>
          <w:lang w:val="es-ES_tradnl"/>
        </w:rPr>
        <w:t>.</w:t>
      </w:r>
    </w:p>
    <w:p w14:paraId="61686411" w14:textId="77777777" w:rsidR="00811BB4" w:rsidRPr="00B924EB" w:rsidRDefault="00811BB4" w:rsidP="00811BB4">
      <w:pPr>
        <w:rPr>
          <w:lang w:val="es-ES_tradnl"/>
        </w:rPr>
      </w:pPr>
    </w:p>
    <w:p w14:paraId="57B73D19" w14:textId="2F461979" w:rsidR="00C679D6" w:rsidRPr="00B924EB" w:rsidRDefault="00755C5D" w:rsidP="00C679D6">
      <w:pPr>
        <w:spacing w:after="240"/>
        <w:jc w:val="center"/>
        <w:rPr>
          <w:b/>
          <w:lang w:val="es-ES_tradnl"/>
        </w:rPr>
      </w:pPr>
      <w:r w:rsidRPr="00B924EB">
        <w:rPr>
          <w:b/>
          <w:bCs/>
          <w:lang w:val="es-ES_tradnl"/>
        </w:rPr>
        <w:t>OBSERVACIONES</w:t>
      </w:r>
      <w:r w:rsidR="00A13BEA" w:rsidRPr="00B924EB">
        <w:rPr>
          <w:b/>
          <w:bCs/>
          <w:lang w:val="es-ES_tradnl"/>
        </w:rPr>
        <w:t xml:space="preserve"> </w:t>
      </w:r>
      <w:r w:rsidRPr="00B924EB">
        <w:rPr>
          <w:b/>
          <w:bCs/>
          <w:lang w:val="es-ES_tradnl"/>
        </w:rPr>
        <w:t>Y</w:t>
      </w:r>
      <w:r w:rsidR="00A13BEA" w:rsidRPr="00B924EB">
        <w:rPr>
          <w:b/>
          <w:bCs/>
          <w:lang w:val="es-ES_tradnl"/>
        </w:rPr>
        <w:t xml:space="preserve"> </w:t>
      </w:r>
      <w:r w:rsidR="00053F6E">
        <w:rPr>
          <w:b/>
          <w:bCs/>
          <w:lang w:val="es-ES_tradnl"/>
        </w:rPr>
        <w:t>RECOMENDACIÓN</w:t>
      </w:r>
      <w:r w:rsidR="00A13BEA" w:rsidRPr="00B924EB">
        <w:rPr>
          <w:b/>
          <w:bCs/>
          <w:lang w:val="es-ES_tradnl"/>
        </w:rPr>
        <w:t xml:space="preserve"> </w:t>
      </w:r>
      <w:r w:rsidRPr="00B924EB">
        <w:rPr>
          <w:b/>
          <w:bCs/>
          <w:lang w:val="es-ES_tradnl"/>
        </w:rPr>
        <w:t>DE</w:t>
      </w:r>
      <w:r w:rsidR="00A13BEA" w:rsidRPr="00B924EB">
        <w:rPr>
          <w:b/>
          <w:bCs/>
          <w:lang w:val="es-ES_tradnl"/>
        </w:rPr>
        <w:t xml:space="preserve"> </w:t>
      </w:r>
      <w:r w:rsidRPr="00B924EB">
        <w:rPr>
          <w:b/>
          <w:bCs/>
          <w:lang w:val="es-ES_tradnl"/>
        </w:rPr>
        <w:t>LA</w:t>
      </w:r>
      <w:r w:rsidR="00A13BEA" w:rsidRPr="00B924EB">
        <w:rPr>
          <w:b/>
          <w:bCs/>
          <w:lang w:val="es-ES_tradnl"/>
        </w:rPr>
        <w:t xml:space="preserve"> </w:t>
      </w:r>
      <w:r w:rsidRPr="00B924EB">
        <w:rPr>
          <w:b/>
          <w:bCs/>
          <w:lang w:val="es-ES_tradnl"/>
        </w:rPr>
        <w:t>SECRETARÍA</w:t>
      </w:r>
    </w:p>
    <w:p w14:paraId="2BAFC73F" w14:textId="501BD2C8" w:rsidR="00C679D6" w:rsidRPr="00B924EB" w:rsidRDefault="00755C5D" w:rsidP="00C679D6">
      <w:pPr>
        <w:spacing w:after="240"/>
        <w:rPr>
          <w:b/>
          <w:lang w:val="es-ES_tradnl"/>
        </w:rPr>
      </w:pPr>
      <w:r w:rsidRPr="00B924EB">
        <w:rPr>
          <w:b/>
          <w:lang w:val="es-ES_tradnl"/>
        </w:rPr>
        <w:t>OBSERVACIONES</w:t>
      </w:r>
    </w:p>
    <w:p w14:paraId="26BE97A4" w14:textId="564DFA29" w:rsidR="000521A3" w:rsidRPr="00B924EB" w:rsidRDefault="00E26F0F" w:rsidP="00FB2466">
      <w:pPr>
        <w:pStyle w:val="Heading1"/>
        <w:rPr>
          <w:lang w:val="es-ES_tradnl"/>
        </w:rPr>
      </w:pPr>
      <w:r w:rsidRPr="00B924EB">
        <w:rPr>
          <w:lang w:val="es-ES_tradnl"/>
        </w:rPr>
        <w:t>La</w:t>
      </w:r>
      <w:r w:rsidR="00A13BEA" w:rsidRPr="00B924EB">
        <w:rPr>
          <w:lang w:val="es-ES_tradnl"/>
        </w:rPr>
        <w:t xml:space="preserve"> </w:t>
      </w:r>
      <w:r w:rsidRPr="00B924EB">
        <w:rPr>
          <w:lang w:val="es-ES_tradnl"/>
        </w:rPr>
        <w:t>Secretaría</w:t>
      </w:r>
      <w:r w:rsidR="00A13BEA" w:rsidRPr="00B924EB">
        <w:rPr>
          <w:lang w:val="es-ES_tradnl"/>
        </w:rPr>
        <w:t xml:space="preserve"> </w:t>
      </w:r>
      <w:r w:rsidRPr="00B924EB">
        <w:rPr>
          <w:lang w:val="es-ES_tradnl"/>
        </w:rPr>
        <w:t>analizó</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C679D6"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A13BEA" w:rsidRPr="00B924EB">
        <w:rPr>
          <w:lang w:val="es-ES_tradnl"/>
        </w:rPr>
        <w:t xml:space="preserve"> </w:t>
      </w:r>
      <w:r w:rsidRPr="00B924EB">
        <w:rPr>
          <w:lang w:val="es-ES_tradnl"/>
        </w:rPr>
        <w:t>a</w:t>
      </w:r>
      <w:r w:rsidR="00A13BEA" w:rsidRPr="00B924EB">
        <w:rPr>
          <w:lang w:val="es-ES_tradnl"/>
        </w:rPr>
        <w:t xml:space="preserve"> </w:t>
      </w:r>
      <w:r w:rsidRPr="00B924EB">
        <w:rPr>
          <w:lang w:val="es-ES_tradnl"/>
        </w:rPr>
        <w:t>la</w:t>
      </w:r>
      <w:r w:rsidR="00A13BEA" w:rsidRPr="00B924EB">
        <w:rPr>
          <w:lang w:val="es-ES_tradnl"/>
        </w:rPr>
        <w:t xml:space="preserve"> </w:t>
      </w:r>
      <w:r w:rsidRPr="00B924EB">
        <w:rPr>
          <w:lang w:val="es-ES_tradnl"/>
        </w:rPr>
        <w:t>luz</w:t>
      </w:r>
      <w:r w:rsidR="00A13BEA" w:rsidRPr="00B924EB">
        <w:rPr>
          <w:lang w:val="es-ES_tradnl"/>
        </w:rPr>
        <w:t xml:space="preserve"> </w:t>
      </w:r>
      <w:r w:rsidR="000521A3" w:rsidRPr="00B924EB">
        <w:rPr>
          <w:lang w:val="es-ES_tradnl"/>
        </w:rPr>
        <w:t>del</w:t>
      </w:r>
      <w:r w:rsidR="00A13BEA" w:rsidRPr="00B924EB">
        <w:rPr>
          <w:lang w:val="es-ES_tradnl"/>
        </w:rPr>
        <w:t xml:space="preserve"> </w:t>
      </w:r>
      <w:r w:rsidR="009374DA" w:rsidRPr="00B924EB">
        <w:rPr>
          <w:lang w:val="es-ES_tradnl"/>
        </w:rPr>
        <w:t>nivel</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055F50" w:rsidRPr="00B924EB">
        <w:rPr>
          <w:lang w:val="es-ES_tradnl"/>
        </w:rPr>
        <w:t>avance</w:t>
      </w:r>
      <w:r w:rsidR="00A13BEA" w:rsidRPr="00B924EB">
        <w:rPr>
          <w:lang w:val="es-ES_tradnl"/>
        </w:rPr>
        <w:t xml:space="preserve"> </w:t>
      </w:r>
      <w:r w:rsidR="00B920D7">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C679D6" w:rsidRPr="00B924EB">
        <w:rPr>
          <w:lang w:val="es-ES_tradnl"/>
        </w:rPr>
        <w:t>,</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las</w:t>
      </w:r>
      <w:r w:rsidR="00A13BEA" w:rsidRPr="00B924EB">
        <w:rPr>
          <w:lang w:val="es-ES_tradnl"/>
        </w:rPr>
        <w:t xml:space="preserve"> </w:t>
      </w:r>
      <w:r w:rsidRPr="00B924EB">
        <w:rPr>
          <w:lang w:val="es-ES_tradnl"/>
        </w:rPr>
        <w:t>políticas</w:t>
      </w:r>
      <w:r w:rsidR="00A13BEA" w:rsidRPr="00B924EB">
        <w:rPr>
          <w:lang w:val="es-ES_tradnl"/>
        </w:rPr>
        <w:t xml:space="preserve"> </w:t>
      </w:r>
      <w:r w:rsidRPr="00B924EB">
        <w:rPr>
          <w:lang w:val="es-ES_tradnl"/>
        </w:rPr>
        <w:t>y</w:t>
      </w:r>
      <w:r w:rsidR="00A13BEA" w:rsidRPr="00B924EB">
        <w:rPr>
          <w:lang w:val="es-ES_tradnl"/>
        </w:rPr>
        <w:t xml:space="preserve"> </w:t>
      </w:r>
      <w:r w:rsidRPr="00B924EB">
        <w:rPr>
          <w:lang w:val="es-ES_tradnl"/>
        </w:rPr>
        <w:t>pautas</w:t>
      </w:r>
      <w:r w:rsidR="00A13BEA" w:rsidRPr="00B924EB">
        <w:rPr>
          <w:lang w:val="es-ES_tradnl"/>
        </w:rPr>
        <w:t xml:space="preserve"> </w:t>
      </w:r>
      <w:r w:rsidRPr="00B924EB">
        <w:rPr>
          <w:lang w:val="es-ES_tradnl"/>
        </w:rPr>
        <w:t>del</w:t>
      </w:r>
      <w:r w:rsidR="00A13BEA" w:rsidRPr="00B924EB">
        <w:rPr>
          <w:lang w:val="es-ES_tradnl"/>
        </w:rPr>
        <w:t xml:space="preserve"> </w:t>
      </w:r>
      <w:r w:rsidRPr="00B924EB">
        <w:rPr>
          <w:lang w:val="es-ES_tradnl"/>
        </w:rPr>
        <w:t>Fondo</w:t>
      </w:r>
      <w:r w:rsidR="00A13BEA" w:rsidRPr="00B924EB">
        <w:rPr>
          <w:lang w:val="es-ES_tradnl"/>
        </w:rPr>
        <w:t xml:space="preserve"> </w:t>
      </w:r>
      <w:r w:rsidRPr="00B924EB">
        <w:rPr>
          <w:lang w:val="es-ES_tradnl"/>
        </w:rPr>
        <w:t>Multilateral</w:t>
      </w:r>
      <w:r w:rsidR="00A13BEA" w:rsidRPr="00B924EB">
        <w:rPr>
          <w:lang w:val="es-ES_tradnl"/>
        </w:rPr>
        <w:t xml:space="preserve"> </w:t>
      </w:r>
      <w:r w:rsidRPr="00B924EB">
        <w:rPr>
          <w:lang w:val="es-ES_tradnl"/>
        </w:rPr>
        <w:t>-entre</w:t>
      </w:r>
      <w:r w:rsidR="00A13BEA" w:rsidRPr="00B924EB">
        <w:rPr>
          <w:lang w:val="es-ES_tradnl"/>
        </w:rPr>
        <w:t xml:space="preserve"> </w:t>
      </w:r>
      <w:r w:rsidRPr="00B924EB">
        <w:rPr>
          <w:lang w:val="es-ES_tradnl"/>
        </w:rPr>
        <w:t>ellas</w:t>
      </w:r>
      <w:r w:rsidR="00A13BEA" w:rsidRPr="00B924EB">
        <w:rPr>
          <w:lang w:val="es-ES_tradnl"/>
        </w:rPr>
        <w:t xml:space="preserve"> </w:t>
      </w:r>
      <w:r w:rsidRPr="00B924EB">
        <w:rPr>
          <w:lang w:val="es-ES_tradnl"/>
        </w:rPr>
        <w:t>los</w:t>
      </w:r>
      <w:r w:rsidR="00A13BEA" w:rsidRPr="00B924EB">
        <w:rPr>
          <w:lang w:val="es-ES_tradnl"/>
        </w:rPr>
        <w:t xml:space="preserve"> </w:t>
      </w:r>
      <w:r w:rsidRPr="00B924EB">
        <w:rPr>
          <w:lang w:val="es-ES_tradnl"/>
        </w:rPr>
        <w:t>criterios</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financiamiento</w:t>
      </w:r>
      <w:r w:rsidR="00A13BEA" w:rsidRPr="00B924EB">
        <w:rPr>
          <w:lang w:val="es-ES_tradnl"/>
        </w:rPr>
        <w:t xml:space="preserve"> </w:t>
      </w:r>
      <w:r w:rsidRPr="00B924EB">
        <w:rPr>
          <w:lang w:val="es-ES_tradnl"/>
        </w:rPr>
        <w:t>para</w:t>
      </w:r>
      <w:r w:rsidR="00A13BEA" w:rsidRPr="00B924EB">
        <w:rPr>
          <w:lang w:val="es-ES_tradnl"/>
        </w:rPr>
        <w:t xml:space="preserve"> </w:t>
      </w:r>
      <w:r w:rsidR="00276CED">
        <w:rPr>
          <w:lang w:val="es-ES_tradnl"/>
        </w:rPr>
        <w:t xml:space="preserve">la </w:t>
      </w:r>
      <w:r w:rsidRPr="00B924EB">
        <w:rPr>
          <w:lang w:val="es-ES_tradnl"/>
        </w:rPr>
        <w:t>eliminación</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HCFC</w:t>
      </w:r>
      <w:r w:rsidR="00A13BEA" w:rsidRPr="00B924EB">
        <w:rPr>
          <w:lang w:val="es-ES_tradnl"/>
        </w:rPr>
        <w:t xml:space="preserve"> </w:t>
      </w:r>
      <w:r w:rsidRPr="00B924EB">
        <w:rPr>
          <w:lang w:val="es-ES_tradnl"/>
        </w:rPr>
        <w:t>en</w:t>
      </w:r>
      <w:r w:rsidR="00A13BEA" w:rsidRPr="00B924EB">
        <w:rPr>
          <w:lang w:val="es-ES_tradnl"/>
        </w:rPr>
        <w:t xml:space="preserve"> </w:t>
      </w:r>
      <w:r w:rsidRPr="00B924EB">
        <w:rPr>
          <w:lang w:val="es-ES_tradnl"/>
        </w:rPr>
        <w:t>el</w:t>
      </w:r>
      <w:r w:rsidR="00A13BEA" w:rsidRPr="00B924EB">
        <w:rPr>
          <w:lang w:val="es-ES_tradnl"/>
        </w:rPr>
        <w:t xml:space="preserve"> </w:t>
      </w:r>
      <w:r w:rsidRPr="00B924EB">
        <w:rPr>
          <w:lang w:val="es-ES_tradnl"/>
        </w:rPr>
        <w:t>sector</w:t>
      </w:r>
      <w:r w:rsidR="00A13BEA" w:rsidRPr="00B924EB">
        <w:rPr>
          <w:lang w:val="es-ES_tradnl"/>
        </w:rPr>
        <w:t xml:space="preserve"> </w:t>
      </w:r>
      <w:r w:rsidRPr="00B924EB">
        <w:rPr>
          <w:lang w:val="es-ES_tradnl"/>
        </w:rPr>
        <w:t>consumo</w:t>
      </w:r>
      <w:r w:rsidR="00A13BEA" w:rsidRPr="00B924EB">
        <w:rPr>
          <w:lang w:val="es-ES_tradnl"/>
        </w:rPr>
        <w:t xml:space="preserve"> </w:t>
      </w:r>
      <w:r w:rsidRPr="00B924EB">
        <w:rPr>
          <w:lang w:val="es-ES_tradnl"/>
        </w:rPr>
        <w:t>para</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C679D6" w:rsidRPr="00B924EB">
        <w:rPr>
          <w:lang w:val="es-ES_tradnl"/>
        </w:rPr>
        <w:t>I</w:t>
      </w:r>
      <w:r w:rsidR="00A13BEA" w:rsidRPr="00B924EB">
        <w:rPr>
          <w:lang w:val="es-ES_tradnl"/>
        </w:rPr>
        <w:t xml:space="preserve"> </w:t>
      </w:r>
      <w:r w:rsidR="00DB3D7B" w:rsidRPr="00B924EB">
        <w:rPr>
          <w:lang w:val="es-ES_tradnl"/>
        </w:rPr>
        <w:t>de</w:t>
      </w:r>
      <w:r w:rsidR="00A13BEA" w:rsidRPr="00B924EB">
        <w:rPr>
          <w:lang w:val="es-ES_tradnl"/>
        </w:rPr>
        <w:t xml:space="preserve"> </w:t>
      </w:r>
      <w:r w:rsidR="00DB3D7B" w:rsidRPr="00B924EB">
        <w:rPr>
          <w:lang w:val="es-ES_tradnl"/>
        </w:rPr>
        <w:t>los</w:t>
      </w:r>
      <w:r w:rsidR="00A13BEA" w:rsidRPr="00B924EB">
        <w:rPr>
          <w:lang w:val="es-ES_tradnl"/>
        </w:rPr>
        <w:t xml:space="preserve"> </w:t>
      </w:r>
      <w:r w:rsidR="00DB3D7B" w:rsidRPr="00B924EB">
        <w:rPr>
          <w:lang w:val="es-ES_tradnl"/>
        </w:rPr>
        <w:t>PGEH</w:t>
      </w:r>
      <w:r w:rsidR="00A13BEA" w:rsidRPr="00B924EB">
        <w:rPr>
          <w:lang w:val="es-ES_tradnl"/>
        </w:rPr>
        <w:t xml:space="preserve"> </w:t>
      </w:r>
      <w:r w:rsidR="00C679D6" w:rsidRPr="00B924EB">
        <w:rPr>
          <w:lang w:val="es-ES_tradnl"/>
        </w:rPr>
        <w:t>(</w:t>
      </w:r>
      <w:r w:rsidR="009374DA" w:rsidRPr="00B924EB">
        <w:rPr>
          <w:lang w:val="es-ES_tradnl"/>
        </w:rPr>
        <w:t>decisión</w:t>
      </w:r>
      <w:r w:rsidR="00A13BEA" w:rsidRPr="00B924EB">
        <w:rPr>
          <w:lang w:val="es-ES_tradnl"/>
        </w:rPr>
        <w:t xml:space="preserve"> </w:t>
      </w:r>
      <w:r w:rsidR="00BD113E">
        <w:rPr>
          <w:lang w:val="es-ES_tradnl"/>
        </w:rPr>
        <w:t>74/50)-</w:t>
      </w:r>
      <w:r w:rsidR="00A13BEA" w:rsidRPr="00B924EB">
        <w:rPr>
          <w:lang w:val="es-ES_tradnl"/>
        </w:rPr>
        <w:t xml:space="preserve"> </w:t>
      </w:r>
      <w:r w:rsidR="00755C5D" w:rsidRPr="00B924EB">
        <w:rPr>
          <w:lang w:val="es-ES_tradnl"/>
        </w:rPr>
        <w:t>y</w:t>
      </w:r>
      <w:r w:rsidR="00A13BEA" w:rsidRPr="00B924EB">
        <w:rPr>
          <w:lang w:val="es-ES_tradnl"/>
        </w:rPr>
        <w:t xml:space="preserve"> </w:t>
      </w:r>
      <w:r w:rsidR="00BB161A">
        <w:rPr>
          <w:lang w:val="es-ES_tradnl"/>
        </w:rPr>
        <w:t>del</w:t>
      </w:r>
      <w:r w:rsidR="00A13BEA" w:rsidRPr="00B924EB">
        <w:rPr>
          <w:lang w:val="es-ES_tradnl"/>
        </w:rPr>
        <w:t xml:space="preserve"> </w:t>
      </w:r>
      <w:r w:rsidR="00BB161A">
        <w:rPr>
          <w:lang w:val="es-ES_tradnl"/>
        </w:rPr>
        <w:t>plan administrativo 2021-2023</w:t>
      </w:r>
      <w:r w:rsidR="00A13BEA" w:rsidRPr="00B924EB">
        <w:rPr>
          <w:lang w:val="es-ES_tradnl"/>
        </w:rPr>
        <w:t xml:space="preserve"> </w:t>
      </w:r>
      <w:r w:rsidRPr="00B924EB">
        <w:rPr>
          <w:lang w:val="es-ES_tradnl"/>
        </w:rPr>
        <w:t>del</w:t>
      </w:r>
      <w:r w:rsidR="00A13BEA" w:rsidRPr="00B924EB">
        <w:rPr>
          <w:lang w:val="es-ES_tradnl"/>
        </w:rPr>
        <w:t xml:space="preserve"> </w:t>
      </w:r>
      <w:r w:rsidR="00755C5D" w:rsidRPr="00B924EB">
        <w:rPr>
          <w:lang w:val="es-ES_tradnl"/>
        </w:rPr>
        <w:t>Fondo</w:t>
      </w:r>
      <w:r w:rsidR="00A13BEA" w:rsidRPr="00B924EB">
        <w:rPr>
          <w:lang w:val="es-ES_tradnl"/>
        </w:rPr>
        <w:t xml:space="preserve"> </w:t>
      </w:r>
      <w:r w:rsidR="00755C5D" w:rsidRPr="00B924EB">
        <w:rPr>
          <w:lang w:val="es-ES_tradnl"/>
        </w:rPr>
        <w:t>Multilateral</w:t>
      </w:r>
      <w:r w:rsidR="00FD00C5" w:rsidRPr="00B924EB">
        <w:rPr>
          <w:lang w:val="es-ES_tradnl"/>
        </w:rPr>
        <w:t>.</w:t>
      </w:r>
    </w:p>
    <w:p w14:paraId="490CE1B4" w14:textId="11FAEBC2" w:rsidR="00835863" w:rsidRPr="00B924EB" w:rsidRDefault="005E0835" w:rsidP="00835863">
      <w:pPr>
        <w:spacing w:after="240"/>
        <w:rPr>
          <w:u w:val="single"/>
          <w:lang w:val="es-ES_tradnl"/>
        </w:rPr>
      </w:pPr>
      <w:r>
        <w:rPr>
          <w:u w:val="single"/>
          <w:lang w:val="es-ES_tradnl"/>
        </w:rPr>
        <w:t>C</w:t>
      </w:r>
      <w:r w:rsidR="007F2820">
        <w:rPr>
          <w:u w:val="single"/>
          <w:lang w:val="es-ES_tradnl"/>
        </w:rPr>
        <w:t>ondiciones</w:t>
      </w:r>
      <w:r w:rsidR="00A13BEA" w:rsidRPr="00B924EB">
        <w:rPr>
          <w:u w:val="single"/>
          <w:lang w:val="es-ES_tradnl"/>
        </w:rPr>
        <w:t xml:space="preserve"> </w:t>
      </w:r>
      <w:r>
        <w:rPr>
          <w:u w:val="single"/>
          <w:lang w:val="es-ES_tradnl"/>
        </w:rPr>
        <w:t xml:space="preserve">actuales </w:t>
      </w:r>
      <w:r w:rsidR="00BD4CB6">
        <w:rPr>
          <w:u w:val="single"/>
          <w:lang w:val="es-ES_tradnl"/>
        </w:rPr>
        <w:t>para el término</w:t>
      </w:r>
      <w:r w:rsidR="00A13BEA" w:rsidRPr="00B924EB">
        <w:rPr>
          <w:u w:val="single"/>
          <w:lang w:val="es-ES_tradnl"/>
        </w:rPr>
        <w:t xml:space="preserve"> </w:t>
      </w:r>
      <w:r w:rsidR="009374DA" w:rsidRPr="00B924EB">
        <w:rPr>
          <w:u w:val="single"/>
          <w:lang w:val="es-ES_tradnl"/>
        </w:rPr>
        <w:t>de</w:t>
      </w:r>
      <w:r w:rsidR="00A13BEA" w:rsidRPr="00B924EB">
        <w:rPr>
          <w:u w:val="single"/>
          <w:lang w:val="es-ES_tradnl"/>
        </w:rPr>
        <w:t xml:space="preserve"> </w:t>
      </w:r>
      <w:r w:rsidR="003208A7" w:rsidRPr="00B924EB">
        <w:rPr>
          <w:u w:val="single"/>
          <w:lang w:val="es-ES_tradnl"/>
        </w:rPr>
        <w:t>la</w:t>
      </w:r>
      <w:r w:rsidR="00A13BEA" w:rsidRPr="00B924EB">
        <w:rPr>
          <w:u w:val="single"/>
          <w:lang w:val="es-ES_tradnl"/>
        </w:rPr>
        <w:t xml:space="preserve"> </w:t>
      </w:r>
      <w:r w:rsidR="003208A7" w:rsidRPr="00B924EB">
        <w:rPr>
          <w:u w:val="single"/>
          <w:lang w:val="es-ES_tradnl"/>
        </w:rPr>
        <w:t>etapa</w:t>
      </w:r>
      <w:r w:rsidR="00A13BEA" w:rsidRPr="00B924EB">
        <w:rPr>
          <w:u w:val="single"/>
          <w:lang w:val="es-ES_tradnl"/>
        </w:rPr>
        <w:t xml:space="preserve"> </w:t>
      </w:r>
      <w:r w:rsidR="003208A7" w:rsidRPr="00B924EB">
        <w:rPr>
          <w:u w:val="single"/>
          <w:lang w:val="es-ES_tradnl"/>
        </w:rPr>
        <w:t>I</w:t>
      </w:r>
      <w:r w:rsidR="00A13BEA" w:rsidRPr="00B924EB">
        <w:rPr>
          <w:u w:val="single"/>
          <w:lang w:val="es-ES_tradnl"/>
        </w:rPr>
        <w:t xml:space="preserve"> </w:t>
      </w:r>
      <w:r w:rsidR="00755C5D" w:rsidRPr="00B924EB">
        <w:rPr>
          <w:u w:val="single"/>
          <w:lang w:val="es-ES_tradnl"/>
        </w:rPr>
        <w:t>y</w:t>
      </w:r>
      <w:r w:rsidR="00A13BEA" w:rsidRPr="00B924EB">
        <w:rPr>
          <w:u w:val="single"/>
          <w:lang w:val="es-ES_tradnl"/>
        </w:rPr>
        <w:t xml:space="preserve"> </w:t>
      </w:r>
      <w:r w:rsidR="00D848E4">
        <w:rPr>
          <w:u w:val="single"/>
          <w:lang w:val="es-ES_tradnl"/>
        </w:rPr>
        <w:t>ejecución</w:t>
      </w:r>
      <w:r w:rsidR="00A13BEA" w:rsidRPr="00B924EB">
        <w:rPr>
          <w:u w:val="single"/>
          <w:lang w:val="es-ES_tradnl"/>
        </w:rPr>
        <w:t xml:space="preserve"> </w:t>
      </w:r>
      <w:r w:rsidR="009374DA" w:rsidRPr="00B924EB">
        <w:rPr>
          <w:u w:val="single"/>
          <w:lang w:val="es-ES_tradnl"/>
        </w:rPr>
        <w:t>de</w:t>
      </w:r>
      <w:r w:rsidR="00A13BEA" w:rsidRPr="00B924EB">
        <w:rPr>
          <w:u w:val="single"/>
          <w:lang w:val="es-ES_tradnl"/>
        </w:rPr>
        <w:t xml:space="preserve"> </w:t>
      </w:r>
      <w:r w:rsidR="003208A7" w:rsidRPr="00B924EB">
        <w:rPr>
          <w:u w:val="single"/>
          <w:lang w:val="es-ES_tradnl"/>
        </w:rPr>
        <w:t>la</w:t>
      </w:r>
      <w:r w:rsidR="00A13BEA" w:rsidRPr="00B924EB">
        <w:rPr>
          <w:u w:val="single"/>
          <w:lang w:val="es-ES_tradnl"/>
        </w:rPr>
        <w:t xml:space="preserve"> </w:t>
      </w:r>
      <w:r w:rsidR="003208A7" w:rsidRPr="00B924EB">
        <w:rPr>
          <w:u w:val="single"/>
          <w:lang w:val="es-ES_tradnl"/>
        </w:rPr>
        <w:t>etapa</w:t>
      </w:r>
      <w:r w:rsidR="00A13BEA" w:rsidRPr="00B924EB">
        <w:rPr>
          <w:u w:val="single"/>
          <w:lang w:val="es-ES_tradnl"/>
        </w:rPr>
        <w:t xml:space="preserve"> </w:t>
      </w:r>
      <w:r w:rsidR="003208A7" w:rsidRPr="00B924EB">
        <w:rPr>
          <w:u w:val="single"/>
          <w:lang w:val="es-ES_tradnl"/>
        </w:rPr>
        <w:t>I</w:t>
      </w:r>
      <w:r w:rsidR="00C30EE1" w:rsidRPr="00B924EB">
        <w:rPr>
          <w:u w:val="single"/>
          <w:lang w:val="es-ES_tradnl"/>
        </w:rPr>
        <w:t>I</w:t>
      </w:r>
    </w:p>
    <w:p w14:paraId="4EE0AF9B" w14:textId="6F4DECE3" w:rsidR="000521A3" w:rsidRPr="00B924EB" w:rsidRDefault="00755C5D" w:rsidP="00F3575E">
      <w:pPr>
        <w:pStyle w:val="Heading1"/>
        <w:rPr>
          <w:lang w:val="es-ES_tradnl"/>
        </w:rPr>
      </w:pPr>
      <w:r w:rsidRPr="00B924EB">
        <w:rPr>
          <w:lang w:val="es-ES_tradnl"/>
        </w:rPr>
        <w:t>La</w:t>
      </w:r>
      <w:r w:rsidR="00A13BEA" w:rsidRPr="00B924EB">
        <w:rPr>
          <w:lang w:val="es-ES_tradnl"/>
        </w:rPr>
        <w:t xml:space="preserve"> </w:t>
      </w:r>
      <w:r w:rsidRPr="00B924EB">
        <w:rPr>
          <w:lang w:val="es-ES_tradnl"/>
        </w:rPr>
        <w:t>Secretaría</w:t>
      </w:r>
      <w:r w:rsidR="00A13BEA" w:rsidRPr="00B924EB">
        <w:rPr>
          <w:lang w:val="es-ES_tradnl"/>
        </w:rPr>
        <w:t xml:space="preserve"> </w:t>
      </w:r>
      <w:r w:rsidRPr="00B924EB">
        <w:rPr>
          <w:lang w:val="es-ES_tradnl"/>
        </w:rPr>
        <w:t>toma</w:t>
      </w:r>
      <w:r w:rsidR="00A13BEA" w:rsidRPr="00B924EB">
        <w:rPr>
          <w:lang w:val="es-ES_tradnl"/>
        </w:rPr>
        <w:t xml:space="preserve"> </w:t>
      </w:r>
      <w:r w:rsidRPr="00B924EB">
        <w:rPr>
          <w:lang w:val="es-ES_tradnl"/>
        </w:rPr>
        <w:t>nota</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que</w:t>
      </w:r>
      <w:r w:rsidR="00A13BEA" w:rsidRPr="00B924EB">
        <w:rPr>
          <w:lang w:val="es-ES_tradnl"/>
        </w:rPr>
        <w:t xml:space="preserve"> </w:t>
      </w:r>
      <w:r w:rsidR="00D72116" w:rsidRPr="00D72116">
        <w:rPr>
          <w:lang w:val="es-ES_tradnl"/>
        </w:rPr>
        <w:t xml:space="preserve">entre </w:t>
      </w:r>
      <w:r w:rsidR="00BE5C9D">
        <w:rPr>
          <w:lang w:val="es-ES_tradnl"/>
        </w:rPr>
        <w:t xml:space="preserve">los años </w:t>
      </w:r>
      <w:r w:rsidR="00D72116" w:rsidRPr="00D72116">
        <w:rPr>
          <w:lang w:val="es-ES_tradnl"/>
        </w:rPr>
        <w:t xml:space="preserve">2015 </w:t>
      </w:r>
      <w:r w:rsidR="00BE5C9D">
        <w:rPr>
          <w:lang w:val="es-ES_tradnl"/>
        </w:rPr>
        <w:t>a</w:t>
      </w:r>
      <w:r w:rsidR="00D72116" w:rsidRPr="00D72116">
        <w:rPr>
          <w:lang w:val="es-ES_tradnl"/>
        </w:rPr>
        <w:t xml:space="preserve"> 2021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204C32">
        <w:rPr>
          <w:lang w:val="es-ES_tradnl"/>
        </w:rPr>
        <w:t xml:space="preserve">fue prorrogada en </w:t>
      </w:r>
      <w:r w:rsidR="00A04DA1">
        <w:rPr>
          <w:lang w:val="es-ES_tradnl"/>
        </w:rPr>
        <w:t xml:space="preserve">distintas </w:t>
      </w:r>
      <w:r w:rsidR="00D7599A">
        <w:rPr>
          <w:lang w:val="es-ES_tradnl"/>
        </w:rPr>
        <w:t xml:space="preserve">ocasiones </w:t>
      </w:r>
      <w:r w:rsidR="000D047B">
        <w:rPr>
          <w:lang w:val="es-ES_tradnl"/>
        </w:rPr>
        <w:t xml:space="preserve">por </w:t>
      </w:r>
      <w:r w:rsidR="00142C8D" w:rsidRPr="00142C8D">
        <w:rPr>
          <w:lang w:val="es-ES_tradnl"/>
        </w:rPr>
        <w:t>dificultades</w:t>
      </w:r>
      <w:r w:rsidR="006A6171">
        <w:rPr>
          <w:lang w:val="es-ES_tradnl"/>
        </w:rPr>
        <w:t xml:space="preserve"> políticas e institucionales que escapaban</w:t>
      </w:r>
      <w:r w:rsidR="006A6171" w:rsidRPr="006A6171">
        <w:rPr>
          <w:lang w:val="es-ES_tradnl"/>
        </w:rPr>
        <w:t xml:space="preserve"> a la voluntad de la </w:t>
      </w:r>
      <w:r w:rsidR="000521A3" w:rsidRPr="00B924EB">
        <w:rPr>
          <w:lang w:val="es-ES_tradnl"/>
        </w:rPr>
        <w:t>ONO</w:t>
      </w:r>
      <w:r w:rsidR="00A13BEA" w:rsidRPr="00B924EB">
        <w:rPr>
          <w:lang w:val="es-ES_tradnl"/>
        </w:rPr>
        <w:t xml:space="preserve"> </w:t>
      </w:r>
      <w:r w:rsidR="007F7C94">
        <w:rPr>
          <w:lang w:val="es-ES_tradnl"/>
        </w:rPr>
        <w:t xml:space="preserve">y restringían </w:t>
      </w:r>
      <w:r w:rsidR="00A4705B">
        <w:rPr>
          <w:lang w:val="es-ES_tradnl"/>
        </w:rPr>
        <w:t>seria</w:t>
      </w:r>
      <w:r w:rsidR="009549A8">
        <w:rPr>
          <w:lang w:val="es-ES_tradnl"/>
        </w:rPr>
        <w:t xml:space="preserve">mente </w:t>
      </w:r>
      <w:r w:rsidR="001338BD">
        <w:rPr>
          <w:lang w:val="es-ES_tradnl"/>
        </w:rPr>
        <w:t xml:space="preserve">la capacidad de </w:t>
      </w:r>
      <w:r w:rsidR="004B0CA3" w:rsidRPr="00B924EB">
        <w:rPr>
          <w:lang w:val="es-ES_tradnl"/>
        </w:rPr>
        <w:t>los</w:t>
      </w:r>
      <w:r w:rsidR="00A13BEA" w:rsidRPr="00B924EB">
        <w:rPr>
          <w:lang w:val="es-ES_tradnl"/>
        </w:rPr>
        <w:t xml:space="preserve"> </w:t>
      </w:r>
      <w:r w:rsidR="004B0CA3" w:rsidRPr="00B924EB">
        <w:rPr>
          <w:lang w:val="es-ES_tradnl"/>
        </w:rPr>
        <w:t>organismos</w:t>
      </w:r>
      <w:r w:rsidR="00A13BEA" w:rsidRPr="00B924EB">
        <w:rPr>
          <w:lang w:val="es-ES_tradnl"/>
        </w:rPr>
        <w:t xml:space="preserve"> </w:t>
      </w:r>
      <w:r w:rsidRPr="00B924EB">
        <w:rPr>
          <w:lang w:val="es-ES_tradnl"/>
        </w:rPr>
        <w:t>de</w:t>
      </w:r>
      <w:r w:rsidR="00A13BEA" w:rsidRPr="00B924EB">
        <w:rPr>
          <w:lang w:val="es-ES_tradnl"/>
        </w:rPr>
        <w:t xml:space="preserve"> </w:t>
      </w:r>
      <w:r w:rsidRPr="00B924EB">
        <w:rPr>
          <w:lang w:val="es-ES_tradnl"/>
        </w:rPr>
        <w:t>ejecución</w:t>
      </w:r>
      <w:r w:rsidR="00A13BEA" w:rsidRPr="00B924EB">
        <w:rPr>
          <w:lang w:val="es-ES_tradnl"/>
        </w:rPr>
        <w:t xml:space="preserve"> </w:t>
      </w:r>
      <w:r w:rsidRPr="00B924EB">
        <w:rPr>
          <w:lang w:val="es-ES_tradnl"/>
        </w:rPr>
        <w:t>y</w:t>
      </w:r>
      <w:r w:rsidR="00A13BEA" w:rsidRPr="00B924EB">
        <w:rPr>
          <w:lang w:val="es-ES_tradnl"/>
        </w:rPr>
        <w:t xml:space="preserve"> </w:t>
      </w:r>
      <w:r w:rsidR="00805CB3">
        <w:rPr>
          <w:lang w:val="es-ES_tradnl"/>
        </w:rPr>
        <w:t>del país</w:t>
      </w:r>
      <w:r w:rsidR="00A13BEA" w:rsidRPr="00B924EB">
        <w:rPr>
          <w:lang w:val="es-ES_tradnl"/>
        </w:rPr>
        <w:t xml:space="preserve"> </w:t>
      </w:r>
      <w:r w:rsidR="001338BD">
        <w:rPr>
          <w:lang w:val="es-ES_tradnl"/>
        </w:rPr>
        <w:t xml:space="preserve">de </w:t>
      </w:r>
      <w:r w:rsidR="00051C3A">
        <w:rPr>
          <w:lang w:val="es-ES_tradnl"/>
        </w:rPr>
        <w:t xml:space="preserve">hacer entrega de </w:t>
      </w:r>
      <w:r w:rsidR="004E3A79">
        <w:rPr>
          <w:lang w:val="es-ES_tradnl"/>
        </w:rPr>
        <w:t xml:space="preserve">los </w:t>
      </w:r>
      <w:r w:rsidR="00945790">
        <w:rPr>
          <w:lang w:val="es-ES_tradnl"/>
        </w:rPr>
        <w:t>fondos aprobados</w:t>
      </w:r>
      <w:r w:rsidR="00A13BEA" w:rsidRPr="00B924EB">
        <w:rPr>
          <w:lang w:val="es-ES_tradnl"/>
        </w:rPr>
        <w:t xml:space="preserve"> </w:t>
      </w:r>
      <w:r w:rsidR="00EC63BC">
        <w:rPr>
          <w:lang w:val="es-ES_tradnl"/>
        </w:rPr>
        <w:t>y</w:t>
      </w:r>
      <w:r w:rsidR="00A13BEA" w:rsidRPr="00B924EB">
        <w:rPr>
          <w:lang w:val="es-ES_tradnl"/>
        </w:rPr>
        <w:t xml:space="preserve"> </w:t>
      </w:r>
      <w:r w:rsidR="00AC7A91">
        <w:rPr>
          <w:lang w:val="es-ES_tradnl"/>
        </w:rPr>
        <w:t xml:space="preserve">de </w:t>
      </w:r>
      <w:r w:rsidR="00EC63BC">
        <w:rPr>
          <w:lang w:val="es-ES_tradnl"/>
        </w:rPr>
        <w:t xml:space="preserve">ejecutar </w:t>
      </w:r>
      <w:r w:rsidRPr="00B924EB">
        <w:rPr>
          <w:lang w:val="es-ES_tradnl"/>
        </w:rPr>
        <w:t>actividades</w:t>
      </w:r>
      <w:r w:rsidR="00707342" w:rsidRPr="00B924EB">
        <w:rPr>
          <w:lang w:val="es-ES_tradnl"/>
        </w:rPr>
        <w:t>.</w:t>
      </w:r>
    </w:p>
    <w:p w14:paraId="20777DD2" w14:textId="16986526" w:rsidR="00A853AD" w:rsidRPr="00B924EB" w:rsidRDefault="00945790" w:rsidP="00F3575E">
      <w:pPr>
        <w:pStyle w:val="Heading1"/>
        <w:rPr>
          <w:lang w:val="es-ES_tradnl"/>
        </w:rPr>
      </w:pPr>
      <w:r>
        <w:rPr>
          <w:lang w:val="es-ES_tradnl"/>
        </w:rPr>
        <w:t xml:space="preserve">En la </w:t>
      </w:r>
      <w:r w:rsidR="00B53E5E" w:rsidRPr="00B924EB">
        <w:rPr>
          <w:lang w:val="es-ES_tradnl"/>
        </w:rPr>
        <w:t>8</w:t>
      </w:r>
      <w:r w:rsidR="00E26F0F" w:rsidRPr="00B924EB">
        <w:rPr>
          <w:lang w:val="es-ES_tradnl"/>
        </w:rPr>
        <w:t>4</w:t>
      </w:r>
      <w:r w:rsidR="004135A5" w:rsidRPr="00B924EB">
        <w:rPr>
          <w:lang w:val="es-ES_tradnl"/>
        </w:rPr>
        <w:t>ª reunión</w:t>
      </w:r>
      <w:r w:rsidR="00B53E5E" w:rsidRPr="00B924EB">
        <w:rPr>
          <w:lang w:val="es-ES_tradnl"/>
        </w:rPr>
        <w:t>,</w:t>
      </w:r>
      <w:r w:rsidR="00A13BEA" w:rsidRPr="00B924EB">
        <w:rPr>
          <w:lang w:val="es-ES_tradnl"/>
        </w:rPr>
        <w:t xml:space="preserve"> </w:t>
      </w:r>
      <w:r w:rsidR="00755C5D"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266F3E">
        <w:rPr>
          <w:lang w:val="es-ES_tradnl"/>
        </w:rPr>
        <w:t xml:space="preserve">solicitó </w:t>
      </w:r>
      <w:r w:rsidR="00CB72CE" w:rsidRPr="00B924EB">
        <w:rPr>
          <w:lang w:val="es-ES_tradnl"/>
        </w:rPr>
        <w:t>financiamiento</w:t>
      </w:r>
      <w:r w:rsidR="00A13BEA" w:rsidRPr="00B924EB">
        <w:rPr>
          <w:lang w:val="es-ES_tradnl"/>
        </w:rPr>
        <w:t xml:space="preserve"> </w:t>
      </w:r>
      <w:r w:rsidR="00F9341F" w:rsidRPr="00F9341F">
        <w:rPr>
          <w:lang w:val="es-ES_tradnl"/>
        </w:rPr>
        <w:t xml:space="preserve">para el último tramo de la etapa I </w:t>
      </w:r>
      <w:r w:rsidR="003B2E33" w:rsidRPr="003B2E33">
        <w:rPr>
          <w:lang w:val="es-ES_tradnl"/>
        </w:rPr>
        <w:t xml:space="preserve">del PGEH </w:t>
      </w:r>
      <w:r w:rsidR="00356B24">
        <w:rPr>
          <w:lang w:val="es-ES_tradnl"/>
        </w:rPr>
        <w:t>y además</w:t>
      </w:r>
      <w:r w:rsidR="00F9341F" w:rsidRPr="0083084B">
        <w:rPr>
          <w:lang w:val="es-419"/>
        </w:rPr>
        <w:t xml:space="preserve"> </w:t>
      </w:r>
      <w:r w:rsidR="00F9341F" w:rsidRPr="00F9341F">
        <w:rPr>
          <w:lang w:val="es-ES_tradnl"/>
        </w:rPr>
        <w:t>para la etapa II</w:t>
      </w:r>
      <w:r w:rsidR="00707342" w:rsidRPr="00B924EB">
        <w:rPr>
          <w:lang w:val="es-ES_tradnl"/>
        </w:rPr>
        <w:t>.</w:t>
      </w:r>
      <w:r w:rsidR="00A13BEA" w:rsidRPr="00B924EB">
        <w:rPr>
          <w:lang w:val="es-ES_tradnl"/>
        </w:rPr>
        <w:t xml:space="preserve"> </w:t>
      </w:r>
      <w:r w:rsidR="00B02BD1">
        <w:rPr>
          <w:lang w:val="es-ES_tradnl"/>
        </w:rPr>
        <w:t xml:space="preserve">Tras </w:t>
      </w:r>
      <w:r w:rsidR="00311703">
        <w:rPr>
          <w:lang w:val="es-ES_tradnl"/>
        </w:rPr>
        <w:t xml:space="preserve">la </w:t>
      </w:r>
      <w:r w:rsidR="00CB72CE" w:rsidRPr="00B924EB">
        <w:rPr>
          <w:lang w:val="es-ES_tradnl"/>
        </w:rPr>
        <w:t>evaluación</w:t>
      </w:r>
      <w:r w:rsidR="00A13BEA" w:rsidRPr="00B924EB">
        <w:rPr>
          <w:lang w:val="es-ES_tradnl"/>
        </w:rPr>
        <w:t xml:space="preserve"> </w:t>
      </w:r>
      <w:r w:rsidR="00CB72CE" w:rsidRPr="00B924EB">
        <w:rPr>
          <w:lang w:val="es-ES_tradnl"/>
        </w:rPr>
        <w:t>de</w:t>
      </w:r>
      <w:r w:rsidR="00A13BEA" w:rsidRPr="00B924EB">
        <w:rPr>
          <w:lang w:val="es-ES_tradnl"/>
        </w:rPr>
        <w:t xml:space="preserve"> </w:t>
      </w:r>
      <w:r w:rsidR="00CB72CE" w:rsidRPr="00B924EB">
        <w:rPr>
          <w:lang w:val="es-ES_tradnl"/>
        </w:rPr>
        <w:t>proyectos</w:t>
      </w:r>
      <w:r w:rsidR="00A13BEA" w:rsidRPr="00B924EB">
        <w:rPr>
          <w:lang w:val="es-ES_tradnl"/>
        </w:rPr>
        <w:t xml:space="preserve"> </w:t>
      </w:r>
      <w:r w:rsidR="00452F79" w:rsidRPr="00B924EB">
        <w:rPr>
          <w:lang w:val="es-ES_tradnl"/>
        </w:rPr>
        <w:t>se</w:t>
      </w:r>
      <w:r w:rsidR="00A13BEA" w:rsidRPr="00B924EB">
        <w:rPr>
          <w:lang w:val="es-ES_tradnl"/>
        </w:rPr>
        <w:t xml:space="preserve"> </w:t>
      </w:r>
      <w:r w:rsidR="00452F79" w:rsidRPr="00B924EB">
        <w:rPr>
          <w:lang w:val="es-ES_tradnl"/>
        </w:rPr>
        <w:t>acordó</w:t>
      </w:r>
      <w:r w:rsidR="00A13BEA" w:rsidRPr="00B924EB">
        <w:rPr>
          <w:lang w:val="es-ES_tradnl"/>
        </w:rPr>
        <w:t xml:space="preserve"> </w:t>
      </w:r>
      <w:r w:rsidR="00CC69A6">
        <w:rPr>
          <w:lang w:val="es-ES_tradnl"/>
        </w:rPr>
        <w:t>diferir</w:t>
      </w:r>
      <w:r w:rsidR="001D6EDD">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solicitud</w:t>
      </w:r>
      <w:r w:rsidR="00A13BEA" w:rsidRPr="00B924EB">
        <w:rPr>
          <w:lang w:val="es-ES_tradnl"/>
        </w:rPr>
        <w:t xml:space="preserve"> </w:t>
      </w:r>
      <w:r w:rsidR="008862C1">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853AD" w:rsidRPr="00B924EB">
        <w:rPr>
          <w:lang w:val="es-ES_tradnl"/>
        </w:rPr>
        <w:t>I</w:t>
      </w:r>
      <w:r w:rsidR="00A13BEA" w:rsidRPr="00B924EB">
        <w:rPr>
          <w:lang w:val="es-ES_tradnl"/>
        </w:rPr>
        <w:t xml:space="preserve"> </w:t>
      </w:r>
      <w:r w:rsidR="000664CD">
        <w:rPr>
          <w:lang w:val="es-ES_tradnl"/>
        </w:rPr>
        <w:t>hast</w:t>
      </w:r>
      <w:r>
        <w:rPr>
          <w:lang w:val="es-ES_tradnl"/>
        </w:rPr>
        <w:t>a la 8</w:t>
      </w:r>
      <w:r w:rsidR="00E26F0F" w:rsidRPr="00B924EB">
        <w:rPr>
          <w:lang w:val="es-ES_tradnl"/>
        </w:rPr>
        <w:t>5</w:t>
      </w:r>
      <w:r w:rsidR="004135A5" w:rsidRPr="00B924EB">
        <w:rPr>
          <w:lang w:val="es-ES_tradnl"/>
        </w:rPr>
        <w:t>ª reunión</w:t>
      </w:r>
      <w:r w:rsidR="00A13BEA" w:rsidRPr="00B924EB">
        <w:rPr>
          <w:lang w:val="es-ES_tradnl"/>
        </w:rPr>
        <w:t xml:space="preserve"> </w:t>
      </w:r>
      <w:r w:rsidR="00E941F8">
        <w:rPr>
          <w:lang w:val="es-ES_tradnl"/>
        </w:rPr>
        <w:t xml:space="preserve">en la expectativa </w:t>
      </w:r>
      <w:r w:rsidR="00BD7BE1">
        <w:rPr>
          <w:lang w:val="es-ES_tradnl"/>
        </w:rPr>
        <w:t xml:space="preserve">de </w:t>
      </w:r>
      <w:r w:rsidR="00DE231D">
        <w:rPr>
          <w:lang w:val="es-ES_tradnl"/>
        </w:rPr>
        <w:t xml:space="preserve">lograr </w:t>
      </w:r>
      <w:r w:rsidR="00F916BA">
        <w:rPr>
          <w:lang w:val="es-ES_tradnl"/>
        </w:rPr>
        <w:t xml:space="preserve">nuevos </w:t>
      </w:r>
      <w:r w:rsidR="00055F50" w:rsidRPr="00B924EB">
        <w:rPr>
          <w:lang w:val="es-ES_tradnl"/>
        </w:rPr>
        <w:t>avance</w:t>
      </w:r>
      <w:r w:rsidR="00F916BA">
        <w:rPr>
          <w:lang w:val="es-ES_tradnl"/>
        </w:rPr>
        <w:t>s</w:t>
      </w:r>
      <w:r w:rsidR="00A13BEA" w:rsidRPr="00B924EB">
        <w:rPr>
          <w:lang w:val="es-ES_tradnl"/>
        </w:rPr>
        <w:t xml:space="preserve"> </w:t>
      </w:r>
      <w:r w:rsidR="00D81F6A">
        <w:rPr>
          <w:lang w:val="es-ES_tradnl"/>
        </w:rPr>
        <w:t xml:space="preserve">en </w:t>
      </w:r>
      <w:r w:rsidR="00030C33">
        <w:rPr>
          <w:lang w:val="es-ES_tradnl"/>
        </w:rPr>
        <w:t xml:space="preserve">cuanto a </w:t>
      </w:r>
      <w:r w:rsidR="0014083D">
        <w:rPr>
          <w:lang w:val="es-ES_tradnl"/>
        </w:rPr>
        <w:t xml:space="preserve">dar </w:t>
      </w:r>
      <w:r w:rsidR="004A5C1C">
        <w:rPr>
          <w:lang w:val="es-ES_tradnl"/>
        </w:rPr>
        <w:t>término</w:t>
      </w:r>
      <w:r w:rsidR="00A13BEA" w:rsidRPr="00B924EB">
        <w:rPr>
          <w:lang w:val="es-ES_tradnl"/>
        </w:rPr>
        <w:t xml:space="preserve"> </w:t>
      </w:r>
      <w:r w:rsidR="0014083D">
        <w:rPr>
          <w:lang w:val="es-ES_tradnl"/>
        </w:rPr>
        <w:t>a</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753365">
        <w:rPr>
          <w:lang w:val="es-ES_tradnl"/>
        </w:rPr>
        <w:t>,</w:t>
      </w:r>
      <w:r w:rsidR="00F371F3">
        <w:rPr>
          <w:lang w:val="es-ES_tradnl"/>
        </w:rPr>
        <w:t xml:space="preserve"> </w:t>
      </w:r>
      <w:r w:rsidR="00497F52">
        <w:rPr>
          <w:lang w:val="es-ES_tradnl"/>
        </w:rPr>
        <w:t xml:space="preserve">oportunidad </w:t>
      </w:r>
      <w:r w:rsidR="00753365">
        <w:rPr>
          <w:lang w:val="es-ES_tradnl"/>
        </w:rPr>
        <w:t xml:space="preserve">en que </w:t>
      </w:r>
      <w:r w:rsidR="00755C5D" w:rsidRPr="00B924EB">
        <w:rPr>
          <w:lang w:val="es-ES_tradnl"/>
        </w:rPr>
        <w:t>el</w:t>
      </w:r>
      <w:r w:rsidR="00A00357">
        <w:rPr>
          <w:lang w:val="es-ES_tradnl"/>
        </w:rPr>
        <w:t xml:space="preserve"> </w:t>
      </w:r>
      <w:r w:rsidR="00755C5D" w:rsidRPr="00B924EB">
        <w:rPr>
          <w:lang w:val="es-ES_tradnl"/>
        </w:rPr>
        <w:t>PNUMA</w:t>
      </w:r>
      <w:r w:rsidR="00A13BEA" w:rsidRPr="00B924EB">
        <w:rPr>
          <w:lang w:val="es-ES_tradnl"/>
        </w:rPr>
        <w:t xml:space="preserve"> </w:t>
      </w:r>
      <w:r w:rsidR="004135A5" w:rsidRPr="00B924EB">
        <w:rPr>
          <w:lang w:val="es-ES_tradnl"/>
        </w:rPr>
        <w:t>conf</w:t>
      </w:r>
      <w:r w:rsidR="00A50C8B">
        <w:rPr>
          <w:lang w:val="es-ES_tradnl"/>
        </w:rPr>
        <w:t>irmó que</w:t>
      </w:r>
      <w:r w:rsidR="00A13BEA" w:rsidRPr="00B924EB">
        <w:rPr>
          <w:lang w:val="es-ES_tradnl"/>
        </w:rPr>
        <w:t xml:space="preserve"> </w:t>
      </w:r>
      <w:r w:rsidR="00115212" w:rsidRPr="00115212">
        <w:rPr>
          <w:lang w:val="es-ES_tradnl"/>
        </w:rPr>
        <w:t xml:space="preserve">estaban resueltos </w:t>
      </w:r>
      <w:r w:rsidR="00CB7A18">
        <w:rPr>
          <w:lang w:val="es-ES_tradnl"/>
        </w:rPr>
        <w:t xml:space="preserve">los problemas que </w:t>
      </w:r>
      <w:r w:rsidR="007F291B">
        <w:rPr>
          <w:lang w:val="es-ES_tradnl"/>
        </w:rPr>
        <w:t>anteriormente</w:t>
      </w:r>
      <w:r w:rsidR="00B532A6">
        <w:rPr>
          <w:lang w:val="es-ES_tradnl"/>
        </w:rPr>
        <w:t xml:space="preserve"> </w:t>
      </w:r>
      <w:r w:rsidR="004C6C91">
        <w:rPr>
          <w:lang w:val="es-ES_tradnl"/>
        </w:rPr>
        <w:t xml:space="preserve">habían impedido </w:t>
      </w:r>
      <w:r w:rsidR="005619BD">
        <w:rPr>
          <w:lang w:val="es-ES_tradnl"/>
        </w:rPr>
        <w:t xml:space="preserve">la ejecución </w:t>
      </w:r>
      <w:r w:rsidR="00CB7A18">
        <w:rPr>
          <w:lang w:val="es-ES_tradnl"/>
        </w:rPr>
        <w:t>de la 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E74272" w:rsidRPr="00B924EB">
        <w:rPr>
          <w:lang w:val="es-ES_tradnl"/>
        </w:rPr>
        <w:t>y</w:t>
      </w:r>
      <w:r w:rsidR="00A13BEA" w:rsidRPr="00B924EB">
        <w:rPr>
          <w:lang w:val="es-ES_tradnl"/>
        </w:rPr>
        <w:t xml:space="preserve"> </w:t>
      </w:r>
      <w:r w:rsidR="00E74272" w:rsidRPr="00B924EB">
        <w:rPr>
          <w:lang w:val="es-ES_tradnl"/>
        </w:rPr>
        <w:t>que</w:t>
      </w:r>
      <w:r w:rsidR="00A13BEA" w:rsidRPr="00B924EB">
        <w:rPr>
          <w:lang w:val="es-ES_tradnl"/>
        </w:rPr>
        <w:t xml:space="preserve"> </w:t>
      </w:r>
      <w:proofErr w:type="gramStart"/>
      <w:r w:rsidR="007B74D9">
        <w:rPr>
          <w:lang w:val="es-ES_tradnl"/>
        </w:rPr>
        <w:t>habían</w:t>
      </w:r>
      <w:proofErr w:type="gramEnd"/>
      <w:r w:rsidR="007B74D9">
        <w:rPr>
          <w:lang w:val="es-ES_tradnl"/>
        </w:rPr>
        <w:t xml:space="preserve"> </w:t>
      </w:r>
      <w:r w:rsidR="00CB72CE" w:rsidRPr="00B924EB">
        <w:rPr>
          <w:lang w:val="es-ES_tradnl"/>
        </w:rPr>
        <w:t>condiciones</w:t>
      </w:r>
      <w:r w:rsidR="00A13BEA" w:rsidRPr="00B924EB">
        <w:rPr>
          <w:lang w:val="es-ES_tradnl"/>
        </w:rPr>
        <w:t xml:space="preserve"> </w:t>
      </w:r>
      <w:r w:rsidR="00B70E3B">
        <w:rPr>
          <w:lang w:val="es-ES_tradnl"/>
        </w:rPr>
        <w:t>para un</w:t>
      </w:r>
      <w:r w:rsidR="008534F3">
        <w:rPr>
          <w:lang w:val="es-ES_tradnl"/>
        </w:rPr>
        <w:t xml:space="preserve"> </w:t>
      </w:r>
      <w:r w:rsidR="00B70E3B">
        <w:rPr>
          <w:lang w:val="es-ES_tradnl"/>
        </w:rPr>
        <w:t xml:space="preserve">trabajo </w:t>
      </w:r>
      <w:r w:rsidR="0023601A">
        <w:rPr>
          <w:lang w:val="es-ES_tradnl"/>
        </w:rPr>
        <w:t xml:space="preserve">más </w:t>
      </w:r>
      <w:r w:rsidR="00B70E3B">
        <w:rPr>
          <w:lang w:val="es-ES_tradnl"/>
        </w:rPr>
        <w:t>oportuno</w:t>
      </w:r>
      <w:r w:rsidR="00E5739E" w:rsidRPr="00B924EB">
        <w:rPr>
          <w:lang w:val="es-ES_tradnl"/>
        </w:rPr>
        <w:t>,</w:t>
      </w:r>
      <w:r w:rsidR="00A13BEA" w:rsidRPr="00B924EB">
        <w:rPr>
          <w:lang w:val="es-ES_tradnl"/>
        </w:rPr>
        <w:t xml:space="preserve"> </w:t>
      </w:r>
      <w:r w:rsidR="00D01DC2" w:rsidRPr="00B924EB">
        <w:rPr>
          <w:lang w:val="es-ES_tradnl"/>
        </w:rPr>
        <w:t>a</w:t>
      </w:r>
      <w:r w:rsidR="00A13BEA" w:rsidRPr="00B924EB">
        <w:rPr>
          <w:lang w:val="es-ES_tradnl"/>
        </w:rPr>
        <w:t xml:space="preserve"> </w:t>
      </w:r>
      <w:r w:rsidR="00D01DC2" w:rsidRPr="00B924EB">
        <w:rPr>
          <w:lang w:val="es-ES_tradnl"/>
        </w:rPr>
        <w:t>saber</w:t>
      </w:r>
      <w:r w:rsidR="00A853AD" w:rsidRPr="00B924EB">
        <w:rPr>
          <w:lang w:val="es-ES_tradnl"/>
        </w:rPr>
        <w:t>:</w:t>
      </w:r>
    </w:p>
    <w:p w14:paraId="31D67915" w14:textId="06970123" w:rsidR="000521A3" w:rsidRPr="00B924EB" w:rsidRDefault="00047AC7" w:rsidP="00A853AD">
      <w:pPr>
        <w:pStyle w:val="Heading2"/>
        <w:rPr>
          <w:lang w:val="es-ES_tradnl"/>
        </w:rPr>
      </w:pPr>
      <w:r>
        <w:rPr>
          <w:lang w:val="es-ES_tradnl"/>
        </w:rPr>
        <w:t xml:space="preserve">La mejoría </w:t>
      </w:r>
      <w:r w:rsidR="00607386">
        <w:rPr>
          <w:lang w:val="es-ES_tradnl"/>
        </w:rPr>
        <w:t xml:space="preserve">de las </w:t>
      </w:r>
      <w:r w:rsidR="00607386" w:rsidRPr="00607386">
        <w:rPr>
          <w:lang w:val="es-ES_tradnl"/>
        </w:rPr>
        <w:t xml:space="preserve">condiciones </w:t>
      </w:r>
      <w:r w:rsidR="00607386">
        <w:rPr>
          <w:lang w:val="es-ES_tradnl"/>
        </w:rPr>
        <w:t xml:space="preserve">de </w:t>
      </w:r>
      <w:r w:rsidR="004135A5" w:rsidRPr="00B924EB">
        <w:rPr>
          <w:lang w:val="es-ES_tradnl"/>
        </w:rPr>
        <w:t>seguridad</w:t>
      </w:r>
      <w:r w:rsidR="00A13BEA" w:rsidRPr="00B924EB">
        <w:rPr>
          <w:lang w:val="es-ES_tradnl"/>
        </w:rPr>
        <w:t xml:space="preserve"> </w:t>
      </w:r>
      <w:r w:rsidR="00755C5D" w:rsidRPr="00B924EB">
        <w:rPr>
          <w:lang w:val="es-ES_tradnl"/>
        </w:rPr>
        <w:t>y</w:t>
      </w:r>
      <w:r w:rsidR="00A13BEA" w:rsidRPr="00B924EB">
        <w:rPr>
          <w:lang w:val="es-ES_tradnl"/>
        </w:rPr>
        <w:t xml:space="preserve"> </w:t>
      </w:r>
      <w:r w:rsidR="00D4496C">
        <w:rPr>
          <w:lang w:val="es-ES_tradnl"/>
        </w:rPr>
        <w:t xml:space="preserve">de la </w:t>
      </w:r>
      <w:r w:rsidR="000A4EC5">
        <w:rPr>
          <w:lang w:val="es-ES_tradnl"/>
        </w:rPr>
        <w:t>estabilidad política</w:t>
      </w:r>
      <w:r w:rsidR="00A13BEA" w:rsidRPr="00B924EB">
        <w:rPr>
          <w:lang w:val="es-ES_tradnl"/>
        </w:rPr>
        <w:t xml:space="preserve"> </w:t>
      </w:r>
      <w:r w:rsidR="00E26F0F" w:rsidRPr="00B924EB">
        <w:rPr>
          <w:lang w:val="es-ES_tradnl"/>
        </w:rPr>
        <w:t>después</w:t>
      </w:r>
      <w:r w:rsidR="00A13BEA" w:rsidRPr="00B924EB">
        <w:rPr>
          <w:lang w:val="es-ES_tradnl"/>
        </w:rPr>
        <w:t xml:space="preserve"> </w:t>
      </w:r>
      <w:r w:rsidR="003C0A41">
        <w:rPr>
          <w:lang w:val="es-ES_tradnl"/>
        </w:rPr>
        <w:t xml:space="preserve">de la liberación </w:t>
      </w:r>
      <w:r w:rsidR="00755C5D" w:rsidRPr="00B924EB">
        <w:rPr>
          <w:lang w:val="es-ES_tradnl"/>
        </w:rPr>
        <w:t>de</w:t>
      </w:r>
      <w:r w:rsidR="00A13BEA" w:rsidRPr="00B924EB">
        <w:rPr>
          <w:lang w:val="es-ES_tradnl"/>
        </w:rPr>
        <w:t xml:space="preserve"> </w:t>
      </w:r>
      <w:r w:rsidR="00E14ED8">
        <w:rPr>
          <w:lang w:val="es-ES_tradnl"/>
        </w:rPr>
        <w:t>la totalidad del país facilitaría</w:t>
      </w:r>
      <w:r w:rsidR="00A13BEA" w:rsidRPr="00B924EB">
        <w:rPr>
          <w:lang w:val="es-ES_tradnl"/>
        </w:rPr>
        <w:t xml:space="preserve"> </w:t>
      </w:r>
      <w:r w:rsidR="00E14ED8">
        <w:rPr>
          <w:lang w:val="es-ES_tradnl"/>
        </w:rPr>
        <w:t xml:space="preserve">la </w:t>
      </w:r>
      <w:r w:rsidR="002F07D5">
        <w:rPr>
          <w:lang w:val="es-ES_tradnl"/>
        </w:rPr>
        <w:t>realización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166354">
        <w:rPr>
          <w:lang w:val="es-ES_tradnl"/>
        </w:rPr>
        <w:t xml:space="preserve">las </w:t>
      </w:r>
      <w:r w:rsidR="003208A7" w:rsidRPr="00B924EB">
        <w:rPr>
          <w:lang w:val="es-ES_tradnl"/>
        </w:rPr>
        <w:t>actividades</w:t>
      </w:r>
      <w:r w:rsidR="00A13BEA" w:rsidRPr="00B924EB">
        <w:rPr>
          <w:lang w:val="es-ES_tradnl"/>
        </w:rPr>
        <w:t xml:space="preserve"> </w:t>
      </w:r>
      <w:r w:rsidR="003208A7" w:rsidRPr="00B924EB">
        <w:rPr>
          <w:lang w:val="es-ES_tradnl"/>
        </w:rPr>
        <w:t>previstas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9308B1">
        <w:rPr>
          <w:lang w:val="es-ES_tradnl"/>
        </w:rPr>
        <w:t xml:space="preserve">el desplazamiento al país </w:t>
      </w:r>
      <w:r w:rsidR="00E9658E">
        <w:rPr>
          <w:lang w:val="es-ES_tradnl"/>
        </w:rPr>
        <w:t xml:space="preserve">de </w:t>
      </w:r>
      <w:r w:rsidR="005350EF">
        <w:rPr>
          <w:lang w:val="es-ES_tradnl"/>
        </w:rPr>
        <w:t>expertos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452F79" w:rsidRPr="00B924EB">
        <w:rPr>
          <w:lang w:val="es-ES_tradnl"/>
        </w:rPr>
        <w:t>consultores</w:t>
      </w:r>
      <w:r w:rsidR="00F2452B">
        <w:rPr>
          <w:lang w:val="es-ES_tradnl"/>
        </w:rPr>
        <w:t xml:space="preserve">, </w:t>
      </w:r>
      <w:r w:rsidR="005702AB">
        <w:rPr>
          <w:lang w:val="es-ES_tradnl"/>
        </w:rPr>
        <w:t xml:space="preserve">cuando </w:t>
      </w:r>
      <w:r w:rsidR="00BA2EED">
        <w:rPr>
          <w:lang w:val="es-ES_tradnl"/>
        </w:rPr>
        <w:t xml:space="preserve">ello </w:t>
      </w:r>
      <w:r w:rsidR="00B2284F">
        <w:rPr>
          <w:lang w:val="es-ES_tradnl"/>
        </w:rPr>
        <w:t xml:space="preserve">fuese </w:t>
      </w:r>
      <w:r w:rsidR="00745917">
        <w:rPr>
          <w:lang w:val="es-ES_tradnl"/>
        </w:rPr>
        <w:t>necesario</w:t>
      </w:r>
      <w:r w:rsidR="00A853AD" w:rsidRPr="00B924EB">
        <w:rPr>
          <w:lang w:val="es-ES_tradnl"/>
        </w:rPr>
        <w:t>;</w:t>
      </w:r>
    </w:p>
    <w:p w14:paraId="0E577EB8" w14:textId="6B6734F0" w:rsidR="000521A3" w:rsidRPr="00B924EB" w:rsidRDefault="006946F8" w:rsidP="00296E60">
      <w:pPr>
        <w:pStyle w:val="Heading2"/>
        <w:rPr>
          <w:lang w:val="es-ES_tradnl"/>
        </w:rPr>
      </w:pPr>
      <w:r>
        <w:rPr>
          <w:lang w:val="es-ES_tradnl"/>
        </w:rPr>
        <w:lastRenderedPageBreak/>
        <w:t xml:space="preserve">Los </w:t>
      </w:r>
      <w:r w:rsidRPr="00B924EB">
        <w:rPr>
          <w:lang w:val="es-ES_tradnl"/>
        </w:rPr>
        <w:t>ministerios</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3208A7" w:rsidRPr="00B924EB">
        <w:rPr>
          <w:lang w:val="es-ES_tradnl"/>
        </w:rPr>
        <w:t>Medio</w:t>
      </w:r>
      <w:r w:rsidR="00A13BEA" w:rsidRPr="00B924EB">
        <w:rPr>
          <w:lang w:val="es-ES_tradnl"/>
        </w:rPr>
        <w:t xml:space="preserve"> </w:t>
      </w:r>
      <w:r w:rsidRPr="00B924EB">
        <w:rPr>
          <w:lang w:val="es-ES_tradnl"/>
        </w:rPr>
        <w:t>Ambiente</w:t>
      </w:r>
      <w:r w:rsidR="00A13BEA" w:rsidRPr="00B924EB">
        <w:rPr>
          <w:lang w:val="es-ES_tradnl"/>
        </w:rPr>
        <w:t xml:space="preserve"> </w:t>
      </w:r>
      <w:r w:rsidR="00755C5D" w:rsidRPr="00B924EB">
        <w:rPr>
          <w:lang w:val="es-ES_tradnl"/>
        </w:rPr>
        <w:t>y</w:t>
      </w:r>
      <w:r w:rsidR="00A13BEA" w:rsidRPr="00B924EB">
        <w:rPr>
          <w:lang w:val="es-ES_tradnl"/>
        </w:rPr>
        <w:t xml:space="preserve"> </w:t>
      </w:r>
      <w:r w:rsidR="00AA6716" w:rsidRPr="00B924EB">
        <w:rPr>
          <w:lang w:val="es-ES_tradnl"/>
        </w:rPr>
        <w:t>Finanzas</w:t>
      </w:r>
      <w:r w:rsidR="00A13BEA" w:rsidRPr="00B924EB">
        <w:rPr>
          <w:lang w:val="es-ES_tradnl"/>
        </w:rPr>
        <w:t xml:space="preserve"> </w:t>
      </w:r>
      <w:r w:rsidR="0076269E">
        <w:rPr>
          <w:lang w:val="es-ES_tradnl"/>
        </w:rPr>
        <w:t>han dispuesto</w:t>
      </w:r>
      <w:r w:rsidR="00FB04B2">
        <w:rPr>
          <w:lang w:val="es-ES_tradnl"/>
        </w:rPr>
        <w:t xml:space="preserve"> un nuevo </w:t>
      </w:r>
      <w:r w:rsidR="00DB3D7B" w:rsidRPr="00B924EB">
        <w:rPr>
          <w:lang w:val="es-ES_tradnl"/>
        </w:rPr>
        <w:t>mecanismo</w:t>
      </w:r>
      <w:r w:rsidR="00A13BEA" w:rsidRPr="00B924EB">
        <w:rPr>
          <w:lang w:val="es-ES_tradnl"/>
        </w:rPr>
        <w:t xml:space="preserve"> </w:t>
      </w:r>
      <w:r w:rsidR="00804163">
        <w:rPr>
          <w:lang w:val="es-ES_tradnl"/>
        </w:rPr>
        <w:t xml:space="preserve">para simplificar </w:t>
      </w:r>
      <w:r w:rsidR="00440CA8">
        <w:rPr>
          <w:lang w:val="es-ES_tradnl"/>
        </w:rPr>
        <w:t xml:space="preserve">la </w:t>
      </w:r>
      <w:r w:rsidR="00051C3A" w:rsidRPr="00051C3A">
        <w:rPr>
          <w:lang w:val="es-ES_tradnl"/>
        </w:rPr>
        <w:t xml:space="preserve">entrega </w:t>
      </w:r>
      <w:r w:rsidR="00755C5D" w:rsidRPr="00B924EB">
        <w:rPr>
          <w:lang w:val="es-ES_tradnl"/>
        </w:rPr>
        <w:t>y</w:t>
      </w:r>
      <w:r w:rsidR="00A13BEA" w:rsidRPr="00B924EB">
        <w:rPr>
          <w:lang w:val="es-ES_tradnl"/>
        </w:rPr>
        <w:t xml:space="preserve"> </w:t>
      </w:r>
      <w:r w:rsidR="00440CA8">
        <w:rPr>
          <w:lang w:val="es-ES_tradnl"/>
        </w:rPr>
        <w:t>gestión de</w:t>
      </w:r>
      <w:r w:rsidR="00EE30F1">
        <w:rPr>
          <w:lang w:val="es-ES_tradnl"/>
        </w:rPr>
        <w:t xml:space="preserve"> los </w:t>
      </w:r>
      <w:r w:rsidR="00AE71C9">
        <w:rPr>
          <w:lang w:val="es-ES_tradnl"/>
        </w:rPr>
        <w:t xml:space="preserve">recursos </w:t>
      </w:r>
      <w:r w:rsidR="00BF6740" w:rsidRPr="00BF6740">
        <w:rPr>
          <w:lang w:val="es-ES_tradnl"/>
        </w:rPr>
        <w:t>adjudicados</w:t>
      </w:r>
      <w:r w:rsidR="001A3ECC">
        <w:rPr>
          <w:lang w:val="es-ES_tradnl"/>
        </w:rPr>
        <w:t xml:space="preserve"> por </w:t>
      </w:r>
      <w:r w:rsidR="00B06A4D">
        <w:rPr>
          <w:lang w:val="es-ES_tradnl"/>
        </w:rPr>
        <w:t>e</w:t>
      </w:r>
      <w:r w:rsidR="009374DA" w:rsidRPr="00B924EB">
        <w:rPr>
          <w:lang w:val="es-ES_tradnl"/>
        </w:rPr>
        <w:t>l</w:t>
      </w:r>
      <w:r w:rsidR="00A13BEA" w:rsidRPr="00B924EB">
        <w:rPr>
          <w:lang w:val="es-ES_tradnl"/>
        </w:rPr>
        <w:t xml:space="preserve"> </w:t>
      </w:r>
      <w:r w:rsidR="009374DA" w:rsidRPr="00B924EB">
        <w:rPr>
          <w:lang w:val="es-ES_tradnl"/>
        </w:rPr>
        <w:t>Fondo</w:t>
      </w:r>
      <w:r w:rsidR="00A13BEA" w:rsidRPr="00B924EB">
        <w:rPr>
          <w:lang w:val="es-ES_tradnl"/>
        </w:rPr>
        <w:t xml:space="preserve"> </w:t>
      </w:r>
      <w:r w:rsidR="00755C5D" w:rsidRPr="00B924EB">
        <w:rPr>
          <w:lang w:val="es-ES_tradnl"/>
        </w:rPr>
        <w:t>Multilateral</w:t>
      </w:r>
      <w:r w:rsidR="00A853AD" w:rsidRPr="00B924EB">
        <w:rPr>
          <w:lang w:val="es-ES_tradnl"/>
        </w:rPr>
        <w:t>;</w:t>
      </w:r>
      <w:r w:rsidR="00A13BEA" w:rsidRPr="00B924EB">
        <w:rPr>
          <w:lang w:val="es-ES_tradnl"/>
        </w:rPr>
        <w:t xml:space="preserve"> </w:t>
      </w:r>
      <w:r w:rsidR="00755C5D" w:rsidRPr="00B924EB">
        <w:rPr>
          <w:lang w:val="es-ES_tradnl"/>
        </w:rPr>
        <w:t>y</w:t>
      </w:r>
    </w:p>
    <w:p w14:paraId="596E4EB9" w14:textId="7E40032D" w:rsidR="00EF00E0" w:rsidRPr="00B924EB" w:rsidRDefault="009D3C26" w:rsidP="00A853AD">
      <w:pPr>
        <w:pStyle w:val="Heading2"/>
        <w:rPr>
          <w:lang w:val="es-ES_tradnl"/>
        </w:rPr>
      </w:pPr>
      <w:r>
        <w:rPr>
          <w:lang w:val="es-ES_tradnl"/>
        </w:rPr>
        <w:t>Se creó</w:t>
      </w:r>
      <w:r w:rsidR="001C13EE">
        <w:rPr>
          <w:lang w:val="es-ES_tradnl"/>
        </w:rPr>
        <w:t xml:space="preserve"> un </w:t>
      </w:r>
      <w:r w:rsidR="0017382F">
        <w:rPr>
          <w:lang w:val="es-ES_tradnl"/>
        </w:rPr>
        <w:t>equipo técnico</w:t>
      </w:r>
      <w:r w:rsidR="00A13BEA" w:rsidRPr="00B924EB">
        <w:rPr>
          <w:lang w:val="es-ES_tradnl"/>
        </w:rPr>
        <w:t xml:space="preserve"> </w:t>
      </w:r>
      <w:r w:rsidR="00950B6E">
        <w:rPr>
          <w:lang w:val="es-ES_tradnl"/>
        </w:rPr>
        <w:t xml:space="preserve">que </w:t>
      </w:r>
      <w:r>
        <w:rPr>
          <w:lang w:val="es-ES_tradnl"/>
        </w:rPr>
        <w:t xml:space="preserve">ya </w:t>
      </w:r>
      <w:r w:rsidR="00950B6E">
        <w:rPr>
          <w:lang w:val="es-ES_tradnl"/>
        </w:rPr>
        <w:t xml:space="preserve">se encuentra </w:t>
      </w:r>
      <w:r w:rsidR="00EE6764">
        <w:rPr>
          <w:lang w:val="es-ES_tradnl"/>
        </w:rPr>
        <w:t xml:space="preserve">trabajando en </w:t>
      </w:r>
      <w:r w:rsidR="00E26F0F" w:rsidRPr="00B924EB">
        <w:rPr>
          <w:lang w:val="es-ES_tradnl"/>
        </w:rPr>
        <w:t>las</w:t>
      </w:r>
      <w:r w:rsidR="00A13BEA" w:rsidRPr="00B924EB">
        <w:rPr>
          <w:lang w:val="es-ES_tradnl"/>
        </w:rPr>
        <w:t xml:space="preserve"> </w:t>
      </w:r>
      <w:r w:rsidR="003208A7" w:rsidRPr="00B924EB">
        <w:rPr>
          <w:lang w:val="es-ES_tradnl"/>
        </w:rPr>
        <w:t>actividades</w:t>
      </w:r>
      <w:r w:rsidR="00A13BEA" w:rsidRPr="00B924EB">
        <w:rPr>
          <w:lang w:val="es-ES_tradnl"/>
        </w:rPr>
        <w:t xml:space="preserve"> </w:t>
      </w:r>
      <w:r w:rsidR="003208A7" w:rsidRPr="00B924EB">
        <w:rPr>
          <w:lang w:val="es-ES_tradnl"/>
        </w:rPr>
        <w:t>aprobadas</w:t>
      </w:r>
      <w:r w:rsidR="00A13BEA" w:rsidRPr="00B924EB">
        <w:rPr>
          <w:lang w:val="es-ES_tradnl"/>
        </w:rPr>
        <w:t xml:space="preserve"> </w:t>
      </w:r>
      <w:r w:rsidR="009B5A28">
        <w:rPr>
          <w:lang w:val="es-ES_tradnl"/>
        </w:rPr>
        <w:t xml:space="preserve">para </w:t>
      </w:r>
      <w:r w:rsidR="001A1006" w:rsidRPr="00B924EB">
        <w:rPr>
          <w:lang w:val="es-ES_tradnl"/>
        </w:rPr>
        <w:t>la</w:t>
      </w:r>
      <w:r w:rsidR="00A13BEA" w:rsidRPr="00B924EB">
        <w:rPr>
          <w:lang w:val="es-ES_tradnl"/>
        </w:rPr>
        <w:t xml:space="preserve"> </w:t>
      </w:r>
      <w:r w:rsidR="001A1006" w:rsidRPr="00B924EB">
        <w:rPr>
          <w:lang w:val="es-ES_tradnl"/>
        </w:rPr>
        <w:t>etapa</w:t>
      </w:r>
      <w:r w:rsidR="00A13BEA" w:rsidRPr="00B924EB">
        <w:rPr>
          <w:lang w:val="es-ES_tradnl"/>
        </w:rPr>
        <w:t xml:space="preserve"> </w:t>
      </w:r>
      <w:r w:rsidR="003208A7" w:rsidRPr="00B924EB">
        <w:rPr>
          <w:lang w:val="es-ES_tradnl"/>
        </w:rPr>
        <w:t>I</w:t>
      </w:r>
      <w:r w:rsidR="00A853AD" w:rsidRPr="00B924EB">
        <w:rPr>
          <w:lang w:val="es-ES_tradnl"/>
        </w:rPr>
        <w:t>.</w:t>
      </w:r>
    </w:p>
    <w:p w14:paraId="50C22CDB" w14:textId="097E4BF6" w:rsidR="000521A3" w:rsidRPr="00B924EB" w:rsidRDefault="00945790" w:rsidP="00142E91">
      <w:pPr>
        <w:pStyle w:val="Heading1"/>
        <w:rPr>
          <w:lang w:val="es-ES_tradnl"/>
        </w:rPr>
      </w:pPr>
      <w:r>
        <w:rPr>
          <w:lang w:val="es-ES_tradnl"/>
        </w:rPr>
        <w:t xml:space="preserve">En la </w:t>
      </w:r>
      <w:r w:rsidR="00E5739E" w:rsidRPr="00B924EB">
        <w:rPr>
          <w:lang w:val="es-ES_tradnl"/>
        </w:rPr>
        <w:t>8</w:t>
      </w:r>
      <w:r w:rsidR="00E26F0F" w:rsidRPr="00B924EB">
        <w:rPr>
          <w:lang w:val="es-ES_tradnl"/>
        </w:rPr>
        <w:t>5</w:t>
      </w:r>
      <w:r w:rsidR="004135A5" w:rsidRPr="00B924EB">
        <w:rPr>
          <w:lang w:val="es-ES_tradnl"/>
        </w:rPr>
        <w:t>ª reunión</w:t>
      </w:r>
      <w:r w:rsidR="005D533E">
        <w:rPr>
          <w:lang w:val="es-ES_tradnl"/>
        </w:rPr>
        <w:t>,</w:t>
      </w:r>
      <w:r w:rsidR="00A13BEA" w:rsidRPr="00B924EB">
        <w:rPr>
          <w:lang w:val="es-ES_tradnl"/>
        </w:rPr>
        <w:t xml:space="preserve"> </w:t>
      </w:r>
      <w:r w:rsidR="00755C5D"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1D70DB">
        <w:rPr>
          <w:lang w:val="es-ES_tradnl"/>
        </w:rPr>
        <w:t xml:space="preserve">volvió a </w:t>
      </w:r>
      <w:r w:rsidR="006A6E45">
        <w:rPr>
          <w:lang w:val="es-ES_tradnl"/>
        </w:rPr>
        <w:t xml:space="preserve">solicitar financiamiento </w:t>
      </w:r>
      <w:r w:rsidR="009374DA" w:rsidRPr="00B924EB">
        <w:rPr>
          <w:lang w:val="es-ES_tradnl"/>
        </w:rPr>
        <w:t>para</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E5739E"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E5739E" w:rsidRPr="00B924EB">
        <w:rPr>
          <w:lang w:val="es-ES_tradnl"/>
        </w:rPr>
        <w:t>,</w:t>
      </w:r>
      <w:r w:rsidR="00A13BEA" w:rsidRPr="00B924EB">
        <w:rPr>
          <w:lang w:val="es-ES_tradnl"/>
        </w:rPr>
        <w:t xml:space="preserve"> </w:t>
      </w:r>
      <w:r w:rsidR="00771645">
        <w:rPr>
          <w:lang w:val="es-ES_tradnl"/>
        </w:rPr>
        <w:t xml:space="preserve">pero </w:t>
      </w:r>
      <w:r w:rsidR="00E464D0">
        <w:rPr>
          <w:lang w:val="es-ES_tradnl"/>
        </w:rPr>
        <w:t xml:space="preserve">tras </w:t>
      </w:r>
      <w:r w:rsidR="00D01D25">
        <w:rPr>
          <w:lang w:val="es-ES_tradnl"/>
        </w:rPr>
        <w:t>comprobar</w:t>
      </w:r>
      <w:r w:rsidR="00F92E46">
        <w:rPr>
          <w:lang w:val="es-ES_tradnl"/>
        </w:rPr>
        <w:t>se</w:t>
      </w:r>
      <w:r w:rsidR="00D01D25">
        <w:rPr>
          <w:lang w:val="es-ES_tradnl"/>
        </w:rPr>
        <w:t xml:space="preserve"> </w:t>
      </w:r>
      <w:r w:rsidR="00AE0D3F">
        <w:rPr>
          <w:lang w:val="es-ES_tradnl"/>
        </w:rPr>
        <w:t xml:space="preserve">los </w:t>
      </w:r>
      <w:r w:rsidR="00A555EF">
        <w:rPr>
          <w:lang w:val="es-ES_tradnl"/>
        </w:rPr>
        <w:t>escaso</w:t>
      </w:r>
      <w:r w:rsidR="00AE0D3F">
        <w:rPr>
          <w:lang w:val="es-ES_tradnl"/>
        </w:rPr>
        <w:t>s</w:t>
      </w:r>
      <w:r w:rsidR="00365156">
        <w:rPr>
          <w:lang w:val="es-ES_tradnl"/>
        </w:rPr>
        <w:t xml:space="preserve"> </w:t>
      </w:r>
      <w:r w:rsidR="00055F50" w:rsidRPr="00B924EB">
        <w:rPr>
          <w:lang w:val="es-ES_tradnl"/>
        </w:rPr>
        <w:t>avance</w:t>
      </w:r>
      <w:r w:rsidR="00AE0D3F">
        <w:rPr>
          <w:lang w:val="es-ES_tradnl"/>
        </w:rPr>
        <w:t>s</w:t>
      </w:r>
      <w:r w:rsidR="00A13BEA" w:rsidRPr="00B924EB">
        <w:rPr>
          <w:lang w:val="es-ES_tradnl"/>
        </w:rPr>
        <w:t xml:space="preserve"> </w:t>
      </w:r>
      <w:r w:rsidR="002B7839">
        <w:rPr>
          <w:lang w:val="es-ES_tradnl"/>
        </w:rPr>
        <w:t>logrado</w:t>
      </w:r>
      <w:r w:rsidR="00AE0D3F">
        <w:rPr>
          <w:lang w:val="es-ES_tradnl"/>
        </w:rPr>
        <w:t>s</w:t>
      </w:r>
      <w:r w:rsidR="002B7839">
        <w:rPr>
          <w:lang w:val="es-ES_tradnl"/>
        </w:rPr>
        <w:t xml:space="preserve"> </w:t>
      </w:r>
      <w:r w:rsidR="00B924EB">
        <w:rPr>
          <w:lang w:val="es-ES_tradnl"/>
        </w:rPr>
        <w:t>desde</w:t>
      </w:r>
      <w:r w:rsidR="00A13BEA" w:rsidRPr="00B924EB">
        <w:rPr>
          <w:lang w:val="es-ES_tradnl"/>
        </w:rPr>
        <w:t xml:space="preserve"> </w:t>
      </w:r>
      <w:r w:rsidR="00E74272" w:rsidRPr="00B924EB">
        <w:rPr>
          <w:lang w:val="es-ES_tradnl"/>
        </w:rPr>
        <w:t>la</w:t>
      </w:r>
      <w:r w:rsidR="00A13BEA" w:rsidRPr="00B924EB">
        <w:rPr>
          <w:lang w:val="es-ES_tradnl"/>
        </w:rPr>
        <w:t xml:space="preserve"> </w:t>
      </w:r>
      <w:r w:rsidR="00E74272" w:rsidRPr="00B924EB">
        <w:rPr>
          <w:lang w:val="es-ES_tradnl"/>
        </w:rPr>
        <w:t>aprobación</w:t>
      </w:r>
      <w:r w:rsidR="00A13BEA" w:rsidRPr="00B924EB">
        <w:rPr>
          <w:lang w:val="es-ES_tradnl"/>
        </w:rPr>
        <w:t xml:space="preserve"> </w:t>
      </w:r>
      <w:r w:rsidR="00E26F0F" w:rsidRPr="00B924EB">
        <w:rPr>
          <w:lang w:val="es-ES_tradnl"/>
        </w:rPr>
        <w:t>del</w:t>
      </w:r>
      <w:r w:rsidR="00A13BEA" w:rsidRPr="00B924EB">
        <w:rPr>
          <w:lang w:val="es-ES_tradnl"/>
        </w:rPr>
        <w:t xml:space="preserve"> </w:t>
      </w:r>
      <w:r w:rsidR="00CC6943">
        <w:rPr>
          <w:lang w:val="es-ES_tradnl"/>
        </w:rPr>
        <w:t>último tramo</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E5739E" w:rsidRPr="00B924EB">
        <w:rPr>
          <w:lang w:val="es-ES_tradnl"/>
        </w:rPr>
        <w:t>,</w:t>
      </w:r>
      <w:r w:rsidR="00A13BEA" w:rsidRPr="00B924EB">
        <w:rPr>
          <w:lang w:val="es-ES_tradnl"/>
        </w:rPr>
        <w:t xml:space="preserve"> </w:t>
      </w:r>
      <w:r w:rsidR="00755C5D"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7C308E">
        <w:rPr>
          <w:lang w:val="es-ES_tradnl"/>
        </w:rPr>
        <w:t xml:space="preserve">estuvo de acuerdo en retirar </w:t>
      </w:r>
      <w:r w:rsidR="00E74272" w:rsidRPr="00B924EB">
        <w:rPr>
          <w:lang w:val="es-ES_tradnl"/>
        </w:rPr>
        <w:t>la</w:t>
      </w:r>
      <w:r w:rsidR="00A13BEA" w:rsidRPr="00B924EB">
        <w:rPr>
          <w:lang w:val="es-ES_tradnl"/>
        </w:rPr>
        <w:t xml:space="preserve"> </w:t>
      </w:r>
      <w:r w:rsidR="00E74272" w:rsidRPr="00B924EB">
        <w:rPr>
          <w:lang w:val="es-ES_tradnl"/>
        </w:rPr>
        <w:t>propuesta</w:t>
      </w:r>
      <w:r w:rsidR="00A13BEA" w:rsidRPr="00B924EB">
        <w:rPr>
          <w:lang w:val="es-ES_tradnl"/>
        </w:rPr>
        <w:t xml:space="preserve"> </w:t>
      </w:r>
      <w:r w:rsidR="0044135C">
        <w:rPr>
          <w:lang w:val="es-ES_tradnl"/>
        </w:rPr>
        <w:t xml:space="preserve">y volverla a presentar </w:t>
      </w:r>
      <w:r w:rsidR="003820C2">
        <w:rPr>
          <w:lang w:val="es-ES_tradnl"/>
        </w:rPr>
        <w:t>a</w:t>
      </w:r>
      <w:r w:rsidR="00C134C5">
        <w:rPr>
          <w:lang w:val="es-ES_tradnl"/>
        </w:rPr>
        <w:t xml:space="preserve"> la 8</w:t>
      </w:r>
      <w:r w:rsidR="00E26F0F" w:rsidRPr="00B924EB">
        <w:rPr>
          <w:lang w:val="es-ES_tradnl"/>
        </w:rPr>
        <w:t>6</w:t>
      </w:r>
      <w:r w:rsidR="004135A5" w:rsidRPr="00B924EB">
        <w:rPr>
          <w:lang w:val="es-ES_tradnl"/>
        </w:rPr>
        <w:t>ª reunión</w:t>
      </w:r>
      <w:r w:rsidR="000A7460">
        <w:rPr>
          <w:lang w:val="es-ES_tradnl"/>
        </w:rPr>
        <w:t xml:space="preserve">. </w:t>
      </w:r>
      <w:r w:rsidR="00222135">
        <w:rPr>
          <w:lang w:val="es-ES_tradnl"/>
        </w:rPr>
        <w:t xml:space="preserve">Llegada dicha </w:t>
      </w:r>
      <w:r w:rsidR="004135A5" w:rsidRPr="00B924EB">
        <w:rPr>
          <w:lang w:val="es-ES_tradnl"/>
        </w:rPr>
        <w:t>reunión</w:t>
      </w:r>
      <w:r w:rsidR="00222135">
        <w:rPr>
          <w:lang w:val="es-ES_tradnl"/>
        </w:rPr>
        <w:t xml:space="preserve">, </w:t>
      </w:r>
      <w:r w:rsidR="00755C5D"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EF0C86">
        <w:rPr>
          <w:lang w:val="es-ES_tradnl"/>
        </w:rPr>
        <w:t xml:space="preserve">solicitó </w:t>
      </w:r>
      <w:r w:rsidR="00694600" w:rsidRPr="00694600">
        <w:rPr>
          <w:lang w:val="es-ES_tradnl"/>
        </w:rPr>
        <w:t>prolongar</w:t>
      </w:r>
      <w:r w:rsidR="00251345">
        <w:rPr>
          <w:lang w:val="es-ES_tradnl"/>
        </w:rPr>
        <w:t xml:space="preserve"> </w:t>
      </w:r>
      <w:r w:rsidR="00245B0B">
        <w:rPr>
          <w:lang w:val="es-ES_tradnl"/>
        </w:rPr>
        <w:t xml:space="preserve">el </w:t>
      </w:r>
      <w:r w:rsidR="009374DA" w:rsidRPr="00B924EB">
        <w:rPr>
          <w:lang w:val="es-ES_tradnl"/>
        </w:rPr>
        <w:t>componente</w:t>
      </w:r>
      <w:r w:rsidR="00A13BEA" w:rsidRPr="00B924EB">
        <w:rPr>
          <w:lang w:val="es-ES_tradnl"/>
        </w:rPr>
        <w:t xml:space="preserve"> </w:t>
      </w:r>
      <w:r w:rsidR="00245B0B">
        <w:rPr>
          <w:lang w:val="es-ES_tradnl"/>
        </w:rPr>
        <w:t xml:space="preserve">a su cargo </w:t>
      </w:r>
      <w:r w:rsidR="00A15375">
        <w:rPr>
          <w:lang w:val="es-ES_tradnl"/>
        </w:rPr>
        <w:t xml:space="preserve">en </w:t>
      </w:r>
      <w:r w:rsidR="00E26F0F" w:rsidRPr="00B924EB">
        <w:rPr>
          <w:lang w:val="es-ES_tradnl"/>
        </w:rPr>
        <w:t>el</w:t>
      </w:r>
      <w:r w:rsidR="00A13BEA" w:rsidRPr="00B924EB">
        <w:rPr>
          <w:lang w:val="es-ES_tradnl"/>
        </w:rPr>
        <w:t xml:space="preserve"> </w:t>
      </w:r>
      <w:r w:rsidR="00755C5D" w:rsidRPr="00B924EB">
        <w:rPr>
          <w:lang w:val="es-ES_tradnl"/>
        </w:rPr>
        <w:t>tercer</w:t>
      </w:r>
      <w:r w:rsidR="00A13BEA" w:rsidRPr="00B924EB">
        <w:rPr>
          <w:lang w:val="es-ES_tradnl"/>
        </w:rPr>
        <w:t xml:space="preserve"> </w:t>
      </w:r>
      <w:r w:rsidR="00755C5D" w:rsidRPr="00B924EB">
        <w:rPr>
          <w:lang w:val="es-ES_tradnl"/>
        </w:rPr>
        <w:t>tramo</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534297">
        <w:rPr>
          <w:lang w:val="es-ES_tradnl"/>
        </w:rPr>
        <w:t>hasta el</w:t>
      </w:r>
      <w:r w:rsidR="00684977">
        <w:rPr>
          <w:lang w:val="es-ES_tradnl"/>
        </w:rPr>
        <w:t xml:space="preserve"> </w:t>
      </w:r>
      <w:r w:rsidR="00707342" w:rsidRPr="00B924EB">
        <w:rPr>
          <w:lang w:val="es-ES_tradnl"/>
        </w:rPr>
        <w:t>30</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junio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07342" w:rsidRPr="00B924EB">
        <w:rPr>
          <w:lang w:val="es-ES_tradnl"/>
        </w:rPr>
        <w:t>2021</w:t>
      </w:r>
      <w:r w:rsidR="00A13BEA" w:rsidRPr="00B924EB">
        <w:rPr>
          <w:lang w:val="es-ES_tradnl"/>
        </w:rPr>
        <w:t xml:space="preserve"> </w:t>
      </w:r>
      <w:r w:rsidR="00755C5D" w:rsidRPr="00B924EB">
        <w:rPr>
          <w:lang w:val="es-ES_tradnl"/>
        </w:rPr>
        <w:t>y</w:t>
      </w:r>
      <w:r w:rsidR="00A13BEA" w:rsidRPr="00B924EB">
        <w:rPr>
          <w:lang w:val="es-ES_tradnl"/>
        </w:rPr>
        <w:t xml:space="preserve"> </w:t>
      </w:r>
      <w:r w:rsidR="00523C80">
        <w:rPr>
          <w:lang w:val="es-ES_tradnl"/>
        </w:rPr>
        <w:t xml:space="preserve">el </w:t>
      </w:r>
      <w:r w:rsidR="001A1006" w:rsidRPr="00B924EB">
        <w:rPr>
          <w:lang w:val="es-ES_tradnl"/>
        </w:rPr>
        <w:t>componente</w:t>
      </w:r>
      <w:r w:rsidR="00A13BEA" w:rsidRPr="00B924EB">
        <w:rPr>
          <w:lang w:val="es-ES_tradnl"/>
        </w:rPr>
        <w:t xml:space="preserve"> </w:t>
      </w:r>
      <w:r w:rsidR="00015E25">
        <w:rPr>
          <w:lang w:val="es-ES_tradnl"/>
        </w:rPr>
        <w:t xml:space="preserve">a </w:t>
      </w:r>
      <w:r w:rsidR="00015E25" w:rsidRPr="00015E25">
        <w:rPr>
          <w:lang w:val="es-ES_tradnl"/>
        </w:rPr>
        <w:t xml:space="preserve">cargo </w:t>
      </w:r>
      <w:r w:rsidR="00523C80">
        <w:rPr>
          <w:lang w:val="es-ES_tradnl"/>
        </w:rPr>
        <w:t xml:space="preserve">de la </w:t>
      </w:r>
      <w:r w:rsidR="001A1006" w:rsidRPr="00B924EB">
        <w:rPr>
          <w:lang w:val="es-ES_tradnl"/>
        </w:rPr>
        <w:t>ONUDI</w:t>
      </w:r>
      <w:r w:rsidR="00A13BEA" w:rsidRPr="00B924EB">
        <w:rPr>
          <w:lang w:val="es-ES_tradnl"/>
        </w:rPr>
        <w:t xml:space="preserve"> </w:t>
      </w:r>
      <w:r w:rsidR="00CE24D6">
        <w:rPr>
          <w:lang w:val="es-ES_tradnl"/>
        </w:rPr>
        <w:t xml:space="preserve">en </w:t>
      </w:r>
      <w:r w:rsidR="003575F1">
        <w:rPr>
          <w:lang w:val="es-ES_tradnl"/>
        </w:rPr>
        <w:t>los tramos segundo</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55C5D" w:rsidRPr="00B924EB">
        <w:rPr>
          <w:lang w:val="es-ES_tradnl"/>
        </w:rPr>
        <w:t>tercer</w:t>
      </w:r>
      <w:r w:rsidR="003575F1">
        <w:rPr>
          <w:lang w:val="es-ES_tradnl"/>
        </w:rPr>
        <w:t>o</w:t>
      </w:r>
      <w:r w:rsidR="00A13BEA" w:rsidRPr="00B924EB">
        <w:rPr>
          <w:lang w:val="es-ES_tradnl"/>
        </w:rPr>
        <w:t xml:space="preserve"> </w:t>
      </w:r>
      <w:r w:rsidR="003575F1">
        <w:rPr>
          <w:lang w:val="es-ES_tradnl"/>
        </w:rPr>
        <w:t xml:space="preserve">hasta el </w:t>
      </w:r>
      <w:r w:rsidR="00E5739E" w:rsidRPr="00B924EB">
        <w:rPr>
          <w:lang w:val="es-ES_tradnl"/>
        </w:rPr>
        <w:t>31</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diciembre</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E5739E" w:rsidRPr="00B924EB">
        <w:rPr>
          <w:lang w:val="es-ES_tradnl"/>
        </w:rPr>
        <w:t>202</w:t>
      </w:r>
      <w:r w:rsidR="00707342" w:rsidRPr="00B924EB">
        <w:rPr>
          <w:lang w:val="es-ES_tradnl"/>
        </w:rPr>
        <w:t>1</w:t>
      </w:r>
      <w:r w:rsidR="009C063C">
        <w:rPr>
          <w:lang w:val="es-ES_tradnl"/>
        </w:rPr>
        <w:t xml:space="preserve">. Habida cuenta de los </w:t>
      </w:r>
      <w:r w:rsidR="004E2115">
        <w:rPr>
          <w:lang w:val="es-ES_tradnl"/>
        </w:rPr>
        <w:t>avances</w:t>
      </w:r>
      <w:r w:rsidR="00A13BEA" w:rsidRPr="00B924EB">
        <w:rPr>
          <w:lang w:val="es-ES_tradnl"/>
        </w:rPr>
        <w:t xml:space="preserve"> </w:t>
      </w:r>
      <w:r w:rsidR="006B5456" w:rsidRPr="006B5456">
        <w:rPr>
          <w:lang w:val="es-ES_tradnl"/>
        </w:rPr>
        <w:t>adicional</w:t>
      </w:r>
      <w:r w:rsidR="006B5456">
        <w:rPr>
          <w:lang w:val="es-ES_tradnl"/>
        </w:rPr>
        <w:t>es</w:t>
      </w:r>
      <w:r w:rsidR="006B5456" w:rsidRPr="006B5456">
        <w:rPr>
          <w:lang w:val="es-ES_tradnl"/>
        </w:rPr>
        <w:t xml:space="preserve"> </w:t>
      </w:r>
      <w:r w:rsidR="004135A5" w:rsidRPr="00B924EB">
        <w:rPr>
          <w:lang w:val="es-ES_tradnl"/>
        </w:rPr>
        <w:t>logrado</w:t>
      </w:r>
      <w:r w:rsidR="00981F5F">
        <w:rPr>
          <w:lang w:val="es-ES_tradnl"/>
        </w:rPr>
        <w:t>s</w:t>
      </w:r>
      <w:r w:rsidR="00A13BEA" w:rsidRPr="00B924EB">
        <w:rPr>
          <w:lang w:val="es-ES_tradnl"/>
        </w:rPr>
        <w:t xml:space="preserve"> </w:t>
      </w:r>
      <w:r w:rsidR="009374DA" w:rsidRPr="00B924EB">
        <w:rPr>
          <w:lang w:val="es-ES_tradnl"/>
        </w:rPr>
        <w:t>en</w:t>
      </w:r>
      <w:r w:rsidR="00A13BEA" w:rsidRPr="00B924EB">
        <w:rPr>
          <w:lang w:val="es-ES_tradnl"/>
        </w:rPr>
        <w:t xml:space="preserve"> </w:t>
      </w:r>
      <w:r w:rsidR="00D848E4">
        <w:rPr>
          <w:lang w:val="es-ES_tradnl"/>
        </w:rPr>
        <w:t>la ejecución</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7511D3" w:rsidRPr="00B924EB">
        <w:rPr>
          <w:lang w:val="es-ES_tradnl"/>
        </w:rPr>
        <w:t>,</w:t>
      </w:r>
      <w:r w:rsidR="00A13BEA" w:rsidRPr="00B924EB">
        <w:rPr>
          <w:lang w:val="es-ES_tradnl"/>
        </w:rPr>
        <w:t xml:space="preserve"> </w:t>
      </w:r>
      <w:r w:rsidR="009374DA" w:rsidRPr="00B924EB">
        <w:rPr>
          <w:lang w:val="es-ES_tradnl"/>
        </w:rPr>
        <w:t>el</w:t>
      </w:r>
      <w:r w:rsidR="00A13BEA" w:rsidRPr="00B924EB">
        <w:rPr>
          <w:lang w:val="es-ES_tradnl"/>
        </w:rPr>
        <w:t xml:space="preserve"> </w:t>
      </w:r>
      <w:r w:rsidR="00E74272" w:rsidRPr="00B924EB">
        <w:rPr>
          <w:lang w:val="es-ES_tradnl"/>
        </w:rPr>
        <w:t>Comité</w:t>
      </w:r>
      <w:r w:rsidR="00A13BEA" w:rsidRPr="00B924EB">
        <w:rPr>
          <w:lang w:val="es-ES_tradnl"/>
        </w:rPr>
        <w:t xml:space="preserve"> </w:t>
      </w:r>
      <w:r w:rsidR="00E74272" w:rsidRPr="00B924EB">
        <w:rPr>
          <w:lang w:val="es-ES_tradnl"/>
        </w:rPr>
        <w:t>Ejecutivo</w:t>
      </w:r>
      <w:r w:rsidR="00A13BEA" w:rsidRPr="00B924EB">
        <w:rPr>
          <w:lang w:val="es-ES_tradnl"/>
        </w:rPr>
        <w:t xml:space="preserve"> </w:t>
      </w:r>
      <w:r w:rsidR="00C15836">
        <w:rPr>
          <w:lang w:val="es-ES_tradnl"/>
        </w:rPr>
        <w:t>acordó</w:t>
      </w:r>
      <w:r w:rsidR="00317641">
        <w:rPr>
          <w:lang w:val="es-ES_tradnl"/>
        </w:rPr>
        <w:t xml:space="preserve"> autorizar </w:t>
      </w:r>
      <w:r w:rsidR="003208A7" w:rsidRPr="00B924EB">
        <w:rPr>
          <w:lang w:val="es-ES_tradnl"/>
        </w:rPr>
        <w:t>la</w:t>
      </w:r>
      <w:r w:rsidR="00A13BEA" w:rsidRPr="00B924EB">
        <w:rPr>
          <w:lang w:val="es-ES_tradnl"/>
        </w:rPr>
        <w:t xml:space="preserve"> </w:t>
      </w:r>
      <w:r w:rsidR="003208A7" w:rsidRPr="00B924EB">
        <w:rPr>
          <w:lang w:val="es-ES_tradnl"/>
        </w:rPr>
        <w:t>solicitud</w:t>
      </w:r>
      <w:r w:rsidR="00A13BEA" w:rsidRPr="00B924EB">
        <w:rPr>
          <w:lang w:val="es-ES_tradnl"/>
        </w:rPr>
        <w:t xml:space="preserve"> </w:t>
      </w:r>
      <w:r w:rsidR="004C6B8D">
        <w:rPr>
          <w:lang w:val="es-ES_tradnl"/>
        </w:rPr>
        <w:t xml:space="preserve">de extensión del </w:t>
      </w:r>
      <w:r w:rsidR="004A5C1C">
        <w:rPr>
          <w:lang w:val="es-ES_tradnl"/>
        </w:rPr>
        <w:t>término</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707342" w:rsidRPr="00B924EB">
        <w:rPr>
          <w:lang w:val="es-ES_tradnl"/>
        </w:rPr>
        <w:t>.</w:t>
      </w:r>
      <w:r w:rsidR="00707342" w:rsidRPr="00B924EB">
        <w:rPr>
          <w:rStyle w:val="FootnoteReference"/>
          <w:lang w:val="es-ES_tradnl"/>
        </w:rPr>
        <w:footnoteReference w:id="11"/>
      </w:r>
    </w:p>
    <w:p w14:paraId="5A0E39D4" w14:textId="06A0B6C2" w:rsidR="000521A3" w:rsidRPr="00B924EB" w:rsidRDefault="00A0138B" w:rsidP="00FB2466">
      <w:pPr>
        <w:pStyle w:val="Heading1"/>
        <w:rPr>
          <w:lang w:val="es-ES_tradnl"/>
        </w:rPr>
      </w:pPr>
      <w:r>
        <w:rPr>
          <w:lang w:val="es-ES_tradnl"/>
        </w:rPr>
        <w:t xml:space="preserve">Al analizar la </w:t>
      </w:r>
      <w:r w:rsidR="00E26F0F" w:rsidRPr="00B924EB">
        <w:rPr>
          <w:lang w:val="es-ES_tradnl"/>
        </w:rPr>
        <w:t>presentación</w:t>
      </w:r>
      <w:r w:rsidR="00A8200D" w:rsidRPr="00B924EB">
        <w:rPr>
          <w:lang w:val="es-ES_tradnl"/>
        </w:rPr>
        <w:t>,</w:t>
      </w:r>
      <w:r w:rsidR="00A13BEA" w:rsidRPr="00B924EB">
        <w:rPr>
          <w:lang w:val="es-ES_tradnl"/>
        </w:rPr>
        <w:t xml:space="preserve"> </w:t>
      </w:r>
      <w:r w:rsidR="00755C5D" w:rsidRPr="00B924EB">
        <w:rPr>
          <w:lang w:val="es-ES_tradnl"/>
        </w:rPr>
        <w:t>la</w:t>
      </w:r>
      <w:r w:rsidR="00A13BEA" w:rsidRPr="00B924EB">
        <w:rPr>
          <w:lang w:val="es-ES_tradnl"/>
        </w:rPr>
        <w:t xml:space="preserve"> </w:t>
      </w:r>
      <w:r w:rsidR="00755C5D" w:rsidRPr="00B924EB">
        <w:rPr>
          <w:lang w:val="es-ES_tradnl"/>
        </w:rPr>
        <w:t>Secretaría</w:t>
      </w:r>
      <w:r w:rsidR="00A13BEA" w:rsidRPr="00B924EB">
        <w:rPr>
          <w:lang w:val="es-ES_tradnl"/>
        </w:rPr>
        <w:t xml:space="preserve"> </w:t>
      </w:r>
      <w:r w:rsidR="00755C5D" w:rsidRPr="00B924EB">
        <w:rPr>
          <w:lang w:val="es-ES_tradnl"/>
        </w:rPr>
        <w:t>tomó</w:t>
      </w:r>
      <w:r w:rsidR="00A13BEA" w:rsidRPr="00B924EB">
        <w:rPr>
          <w:lang w:val="es-ES_tradnl"/>
        </w:rPr>
        <w:t xml:space="preserve"> </w:t>
      </w:r>
      <w:r w:rsidR="00755C5D" w:rsidRPr="00B924EB">
        <w:rPr>
          <w:lang w:val="es-ES_tradnl"/>
        </w:rPr>
        <w:t>nota</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que</w:t>
      </w:r>
      <w:r w:rsidR="00F33880">
        <w:rPr>
          <w:lang w:val="es-ES_tradnl"/>
        </w:rPr>
        <w:t xml:space="preserve">, </w:t>
      </w:r>
      <w:r w:rsidR="00B924EB">
        <w:rPr>
          <w:lang w:val="es-ES_tradnl"/>
        </w:rPr>
        <w:t>pese</w:t>
      </w:r>
      <w:r w:rsidR="00A13BEA" w:rsidRPr="00B924EB">
        <w:rPr>
          <w:lang w:val="es-ES_tradnl"/>
        </w:rPr>
        <w:t xml:space="preserve"> </w:t>
      </w:r>
      <w:r w:rsidR="007918F6">
        <w:rPr>
          <w:lang w:val="es-ES_tradnl"/>
        </w:rPr>
        <w:t>a las</w:t>
      </w:r>
      <w:r w:rsidR="00A13BEA" w:rsidRPr="00B924EB">
        <w:rPr>
          <w:lang w:val="es-ES_tradnl"/>
        </w:rPr>
        <w:t xml:space="preserve"> </w:t>
      </w:r>
      <w:r w:rsidR="00363607" w:rsidRPr="00B924EB">
        <w:rPr>
          <w:lang w:val="es-ES_tradnl"/>
        </w:rPr>
        <w:t>dificultades</w:t>
      </w:r>
      <w:r w:rsidR="008A5D7D" w:rsidRPr="00B924EB">
        <w:rPr>
          <w:lang w:val="es-ES_tradnl"/>
        </w:rPr>
        <w:t>,</w:t>
      </w:r>
      <w:r w:rsidR="00A13BEA" w:rsidRPr="00B924EB">
        <w:rPr>
          <w:lang w:val="es-ES_tradnl"/>
        </w:rPr>
        <w:t xml:space="preserve"> </w:t>
      </w:r>
      <w:r w:rsidR="00755C5D" w:rsidRPr="00B924EB">
        <w:rPr>
          <w:lang w:val="es-ES_tradnl"/>
        </w:rPr>
        <w:t>el</w:t>
      </w:r>
      <w:r w:rsidR="00A13BEA" w:rsidRPr="00B924EB">
        <w:rPr>
          <w:lang w:val="es-ES_tradnl"/>
        </w:rPr>
        <w:t xml:space="preserve"> </w:t>
      </w:r>
      <w:r w:rsidR="00755C5D" w:rsidRPr="00B924EB">
        <w:rPr>
          <w:lang w:val="es-ES_tradnl"/>
        </w:rPr>
        <w:t>Gobierno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FC7364" w:rsidRPr="00B924EB">
        <w:rPr>
          <w:lang w:val="es-ES_tradnl"/>
        </w:rPr>
        <w:t>Iraq</w:t>
      </w:r>
      <w:r w:rsidR="00A13BEA" w:rsidRPr="00B924EB">
        <w:rPr>
          <w:lang w:val="es-ES_tradnl"/>
        </w:rPr>
        <w:t xml:space="preserve"> </w:t>
      </w:r>
      <w:r w:rsidR="00AD56E0">
        <w:rPr>
          <w:lang w:val="es-ES_tradnl"/>
        </w:rPr>
        <w:t xml:space="preserve">ha </w:t>
      </w:r>
      <w:r w:rsidR="00544F20">
        <w:rPr>
          <w:lang w:val="es-ES_tradnl"/>
        </w:rPr>
        <w:t xml:space="preserve">continuado la ejecución de </w:t>
      </w:r>
      <w:r w:rsidR="00AD56E0">
        <w:rPr>
          <w:lang w:val="es-ES_tradnl"/>
        </w:rPr>
        <w:t xml:space="preserve">las </w:t>
      </w:r>
      <w:r w:rsidR="003208A7" w:rsidRPr="00B924EB">
        <w:rPr>
          <w:lang w:val="es-ES_tradnl"/>
        </w:rPr>
        <w:t>actividades</w:t>
      </w:r>
      <w:r w:rsidR="00A13BEA" w:rsidRPr="00B924EB">
        <w:rPr>
          <w:lang w:val="es-ES_tradnl"/>
        </w:rPr>
        <w:t xml:space="preserve"> </w:t>
      </w:r>
      <w:r w:rsidR="003208A7" w:rsidRPr="00B924EB">
        <w:rPr>
          <w:lang w:val="es-ES_tradnl"/>
        </w:rPr>
        <w:t>aprobadas</w:t>
      </w:r>
      <w:r w:rsidR="00A13BEA" w:rsidRPr="00B924EB">
        <w:rPr>
          <w:lang w:val="es-ES_tradnl"/>
        </w:rPr>
        <w:t xml:space="preserve"> </w:t>
      </w:r>
      <w:r w:rsidR="00D869BE">
        <w:rPr>
          <w:lang w:val="es-ES_tradnl"/>
        </w:rPr>
        <w:t>para</w:t>
      </w:r>
      <w:r w:rsidR="00A13BEA" w:rsidRPr="00B924EB">
        <w:rPr>
          <w:lang w:val="es-ES_tradnl"/>
        </w:rPr>
        <w:t xml:space="preserve"> </w:t>
      </w:r>
      <w:r w:rsidR="001A1006" w:rsidRPr="00B924EB">
        <w:rPr>
          <w:lang w:val="es-ES_tradnl"/>
        </w:rPr>
        <w:t>la</w:t>
      </w:r>
      <w:r w:rsidR="00A13BEA" w:rsidRPr="00B924EB">
        <w:rPr>
          <w:lang w:val="es-ES_tradnl"/>
        </w:rPr>
        <w:t xml:space="preserve"> </w:t>
      </w:r>
      <w:r w:rsidR="001A1006" w:rsidRPr="00B924EB">
        <w:rPr>
          <w:lang w:val="es-ES_tradnl"/>
        </w:rPr>
        <w:t>etapa</w:t>
      </w:r>
      <w:r w:rsidR="00A13BEA" w:rsidRPr="00B924EB">
        <w:rPr>
          <w:lang w:val="es-ES_tradnl"/>
        </w:rPr>
        <w:t xml:space="preserve"> </w:t>
      </w:r>
      <w:r w:rsidR="003208A7" w:rsidRPr="00B924EB">
        <w:rPr>
          <w:lang w:val="es-ES_tradnl"/>
        </w:rPr>
        <w:t>I</w:t>
      </w:r>
      <w:r w:rsidR="00800210" w:rsidRPr="00B924EB">
        <w:rPr>
          <w:lang w:val="es-ES_tradnl"/>
        </w:rPr>
        <w:t>.</w:t>
      </w:r>
      <w:r w:rsidR="00A13BEA" w:rsidRPr="00B924EB">
        <w:rPr>
          <w:lang w:val="es-ES_tradnl"/>
        </w:rPr>
        <w:t xml:space="preserve"> </w:t>
      </w:r>
      <w:r w:rsidR="004135A5" w:rsidRPr="00B924EB">
        <w:rPr>
          <w:lang w:val="es-ES_tradnl"/>
        </w:rPr>
        <w:t>Más aún</w:t>
      </w:r>
      <w:r w:rsidR="00811CA3" w:rsidRPr="00B924EB">
        <w:rPr>
          <w:lang w:val="es-ES_tradnl"/>
        </w:rPr>
        <w:t>,</w:t>
      </w:r>
      <w:r w:rsidR="00A13BEA" w:rsidRPr="00B924EB">
        <w:rPr>
          <w:lang w:val="es-ES_tradnl"/>
        </w:rPr>
        <w:t xml:space="preserve"> </w:t>
      </w:r>
      <w:r w:rsidR="003D7F73">
        <w:rPr>
          <w:lang w:val="es-ES_tradnl"/>
        </w:rPr>
        <w:t>el PNUMA informó</w:t>
      </w:r>
      <w:r w:rsidR="006E6DD0" w:rsidRPr="006E6DD0">
        <w:rPr>
          <w:lang w:val="es-ES_tradnl"/>
        </w:rPr>
        <w:t xml:space="preserve"> que</w:t>
      </w:r>
      <w:r w:rsidR="00416BD7">
        <w:rPr>
          <w:lang w:val="es-ES_tradnl"/>
        </w:rPr>
        <w:t xml:space="preserve">, </w:t>
      </w:r>
      <w:r w:rsidR="00B22210">
        <w:rPr>
          <w:lang w:val="es-ES_tradnl"/>
        </w:rPr>
        <w:t>luego de</w:t>
      </w:r>
      <w:r w:rsidR="00416BD7">
        <w:rPr>
          <w:lang w:val="es-ES_tradnl"/>
        </w:rPr>
        <w:t xml:space="preserve"> </w:t>
      </w:r>
      <w:r w:rsidR="00363607" w:rsidRPr="00B924EB">
        <w:rPr>
          <w:lang w:val="es-ES_tradnl"/>
        </w:rPr>
        <w:t>la</w:t>
      </w:r>
      <w:r w:rsidR="00A13BEA" w:rsidRPr="00B924EB">
        <w:rPr>
          <w:lang w:val="es-ES_tradnl"/>
        </w:rPr>
        <w:t xml:space="preserve"> </w:t>
      </w:r>
      <w:r w:rsidR="00363607" w:rsidRPr="00B924EB">
        <w:rPr>
          <w:lang w:val="es-ES_tradnl"/>
        </w:rPr>
        <w:t>presentación</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811CA3" w:rsidRPr="00B924EB">
        <w:rPr>
          <w:lang w:val="es-ES_tradnl"/>
        </w:rPr>
        <w:t>I</w:t>
      </w:r>
      <w:r w:rsidR="00416BD7" w:rsidRPr="0083084B">
        <w:rPr>
          <w:lang w:val="es-419"/>
        </w:rPr>
        <w:t xml:space="preserve"> </w:t>
      </w:r>
      <w:r w:rsidR="00416BD7" w:rsidRPr="00416BD7">
        <w:rPr>
          <w:lang w:val="es-ES_tradnl"/>
        </w:rPr>
        <w:t>el 15 de marzo de 2021</w:t>
      </w:r>
      <w:r w:rsidR="00B77774">
        <w:rPr>
          <w:lang w:val="es-ES_tradnl"/>
        </w:rPr>
        <w:t xml:space="preserve">, </w:t>
      </w:r>
      <w:r w:rsidR="00B06E07">
        <w:rPr>
          <w:lang w:val="es-ES_tradnl"/>
        </w:rPr>
        <w:t xml:space="preserve">se han capacitado </w:t>
      </w:r>
      <w:r w:rsidR="00D23687" w:rsidRPr="00B924EB">
        <w:rPr>
          <w:lang w:val="es-ES_tradnl"/>
        </w:rPr>
        <w:t>60</w:t>
      </w:r>
      <w:r w:rsidR="00A13BEA" w:rsidRPr="00B924EB">
        <w:rPr>
          <w:lang w:val="es-ES_tradnl"/>
        </w:rPr>
        <w:t xml:space="preserve"> </w:t>
      </w:r>
      <w:r w:rsidR="00E26F0F" w:rsidRPr="00B924EB">
        <w:rPr>
          <w:lang w:val="es-ES_tradnl"/>
        </w:rPr>
        <w:t>técnico</w:t>
      </w:r>
      <w:r w:rsidR="00811CA3" w:rsidRPr="00B924EB">
        <w:rPr>
          <w:lang w:val="es-ES_tradnl"/>
        </w:rPr>
        <w:t>s</w:t>
      </w:r>
      <w:r w:rsidR="00A13BEA" w:rsidRPr="00B924EB">
        <w:rPr>
          <w:lang w:val="es-ES_tradnl"/>
        </w:rPr>
        <w:t xml:space="preserve"> </w:t>
      </w:r>
      <w:r w:rsidR="009374A7">
        <w:rPr>
          <w:lang w:val="es-ES_tradnl"/>
        </w:rPr>
        <w:t xml:space="preserve">más </w:t>
      </w:r>
      <w:r w:rsidR="00755C5D" w:rsidRPr="00B924EB">
        <w:rPr>
          <w:lang w:val="es-ES_tradnl"/>
        </w:rPr>
        <w:t>y</w:t>
      </w:r>
      <w:r w:rsidR="00A13BEA" w:rsidRPr="00B924EB">
        <w:rPr>
          <w:lang w:val="es-ES_tradnl"/>
        </w:rPr>
        <w:t xml:space="preserve"> </w:t>
      </w:r>
      <w:r w:rsidR="0018609E">
        <w:rPr>
          <w:lang w:val="es-ES_tradnl"/>
        </w:rPr>
        <w:t xml:space="preserve">se han </w:t>
      </w:r>
      <w:r w:rsidR="0018609E" w:rsidRPr="0018609E">
        <w:rPr>
          <w:lang w:val="es-ES_tradnl"/>
        </w:rPr>
        <w:t xml:space="preserve">desembolsado </w:t>
      </w:r>
      <w:r w:rsidR="003E0ADC">
        <w:rPr>
          <w:lang w:val="es-ES_tradnl"/>
        </w:rPr>
        <w:t xml:space="preserve">otros </w:t>
      </w:r>
      <w:r w:rsidR="00811CA3" w:rsidRPr="00B924EB">
        <w:rPr>
          <w:lang w:val="es-ES_tradnl"/>
        </w:rPr>
        <w:t>8</w:t>
      </w:r>
      <w:r w:rsidR="009374DA" w:rsidRPr="00B924EB">
        <w:rPr>
          <w:lang w:val="es-ES_tradnl"/>
        </w:rPr>
        <w:t>5.</w:t>
      </w:r>
      <w:r w:rsidR="00811CA3" w:rsidRPr="00B924EB">
        <w:rPr>
          <w:lang w:val="es-ES_tradnl"/>
        </w:rPr>
        <w:t>000</w:t>
      </w:r>
      <w:r w:rsidR="007247C6" w:rsidRPr="007247C6">
        <w:rPr>
          <w:lang w:val="es-ES_tradnl"/>
        </w:rPr>
        <w:t xml:space="preserve"> $EUA</w:t>
      </w:r>
      <w:r w:rsidR="0018609E">
        <w:rPr>
          <w:lang w:val="es-ES_tradnl"/>
        </w:rPr>
        <w:t>.</w:t>
      </w:r>
      <w:r w:rsidR="006B5A91" w:rsidRPr="00B924EB">
        <w:rPr>
          <w:rStyle w:val="FootnoteReference"/>
          <w:lang w:val="es-ES_tradnl"/>
        </w:rPr>
        <w:footnoteReference w:id="12"/>
      </w:r>
      <w:r w:rsidR="00A13BEA" w:rsidRPr="00B924EB">
        <w:rPr>
          <w:lang w:val="es-ES_tradnl"/>
        </w:rPr>
        <w:t xml:space="preserve"> </w:t>
      </w:r>
      <w:r w:rsidR="004417A1">
        <w:rPr>
          <w:lang w:val="es-ES_tradnl"/>
        </w:rPr>
        <w:t>Se</w:t>
      </w:r>
      <w:r w:rsidR="00A13BEA" w:rsidRPr="00B924EB">
        <w:rPr>
          <w:lang w:val="es-ES_tradnl"/>
        </w:rPr>
        <w:t xml:space="preserve"> </w:t>
      </w:r>
      <w:r w:rsidR="004417A1">
        <w:rPr>
          <w:lang w:val="es-ES_tradnl"/>
        </w:rPr>
        <w:t xml:space="preserve">mantienen sin terminar </w:t>
      </w:r>
      <w:r w:rsidR="005E1320" w:rsidRPr="00B924EB">
        <w:rPr>
          <w:lang w:val="es-ES_tradnl"/>
        </w:rPr>
        <w:t>otras</w:t>
      </w:r>
      <w:r w:rsidR="00A13BEA" w:rsidRPr="00B924EB">
        <w:rPr>
          <w:lang w:val="es-ES_tradnl"/>
        </w:rPr>
        <w:t xml:space="preserve"> </w:t>
      </w:r>
      <w:r w:rsidR="005E1320" w:rsidRPr="00B924EB">
        <w:rPr>
          <w:lang w:val="es-ES_tradnl"/>
        </w:rPr>
        <w:t>actividades</w:t>
      </w:r>
      <w:r w:rsidR="004417A1">
        <w:rPr>
          <w:lang w:val="es-ES_tradnl"/>
        </w:rPr>
        <w:t>,</w:t>
      </w:r>
      <w:r w:rsidR="00A13BEA" w:rsidRPr="00B924EB">
        <w:rPr>
          <w:lang w:val="es-ES_tradnl"/>
        </w:rPr>
        <w:t xml:space="preserve"> </w:t>
      </w:r>
      <w:r w:rsidR="004417A1">
        <w:rPr>
          <w:lang w:val="es-ES_tradnl"/>
        </w:rPr>
        <w:t xml:space="preserve">entre ellas </w:t>
      </w:r>
      <w:r w:rsidR="00A368D2">
        <w:rPr>
          <w:lang w:val="es-ES_tradnl"/>
        </w:rPr>
        <w:t>la adquisición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9374DA" w:rsidRPr="00B924EB">
        <w:rPr>
          <w:lang w:val="es-ES_tradnl"/>
        </w:rPr>
        <w:t>equipos</w:t>
      </w:r>
      <w:r w:rsidR="00FB2466" w:rsidRPr="00B924EB">
        <w:rPr>
          <w:lang w:val="es-ES_tradnl"/>
        </w:rPr>
        <w:t>,</w:t>
      </w:r>
      <w:r w:rsidR="00A13BEA" w:rsidRPr="00B924EB">
        <w:rPr>
          <w:lang w:val="es-ES_tradnl"/>
        </w:rPr>
        <w:t xml:space="preserve"> </w:t>
      </w:r>
      <w:r w:rsidR="009374DA" w:rsidRPr="00B924EB">
        <w:rPr>
          <w:lang w:val="es-ES_tradnl"/>
        </w:rPr>
        <w:t>con</w:t>
      </w:r>
      <w:r w:rsidR="00A13BEA" w:rsidRPr="00B924EB">
        <w:rPr>
          <w:lang w:val="es-ES_tradnl"/>
        </w:rPr>
        <w:t xml:space="preserve"> </w:t>
      </w:r>
      <w:r w:rsidR="004135A5" w:rsidRPr="00B924EB">
        <w:rPr>
          <w:lang w:val="es-ES_tradnl"/>
        </w:rPr>
        <w:t>un</w:t>
      </w:r>
      <w:r w:rsidR="00A13BEA" w:rsidRPr="00B924EB">
        <w:rPr>
          <w:lang w:val="es-ES_tradnl"/>
        </w:rPr>
        <w:t xml:space="preserve"> </w:t>
      </w:r>
      <w:r w:rsidR="004135A5" w:rsidRPr="00B924EB">
        <w:rPr>
          <w:lang w:val="es-ES_tradnl"/>
        </w:rPr>
        <w:t>saldo</w:t>
      </w:r>
      <w:r w:rsidR="00A13BEA" w:rsidRPr="00B924EB">
        <w:rPr>
          <w:lang w:val="es-ES_tradnl"/>
        </w:rPr>
        <w:t xml:space="preserve"> </w:t>
      </w:r>
      <w:r w:rsidR="00B25C2E">
        <w:rPr>
          <w:lang w:val="es-ES_tradnl"/>
        </w:rPr>
        <w:t xml:space="preserve">remanente </w:t>
      </w:r>
      <w:r w:rsidR="00755C5D" w:rsidRPr="00B924EB">
        <w:rPr>
          <w:lang w:val="es-ES_tradnl"/>
        </w:rPr>
        <w:t>de</w:t>
      </w:r>
      <w:r w:rsidR="00A13BEA" w:rsidRPr="00B924EB">
        <w:rPr>
          <w:lang w:val="es-ES_tradnl"/>
        </w:rPr>
        <w:t xml:space="preserve"> </w:t>
      </w:r>
      <w:r w:rsidR="00D23687" w:rsidRPr="00B924EB">
        <w:rPr>
          <w:lang w:val="es-ES_tradnl"/>
        </w:rPr>
        <w:t>65</w:t>
      </w:r>
      <w:r w:rsidR="00755C5D" w:rsidRPr="00B924EB">
        <w:rPr>
          <w:lang w:val="es-ES_tradnl"/>
        </w:rPr>
        <w:t>4.</w:t>
      </w:r>
      <w:r w:rsidR="00D23687" w:rsidRPr="00B924EB">
        <w:rPr>
          <w:lang w:val="es-ES_tradnl"/>
        </w:rPr>
        <w:t>633</w:t>
      </w:r>
      <w:r w:rsidR="00B47C80" w:rsidRPr="00B47C80">
        <w:rPr>
          <w:lang w:val="es-ES_tradnl"/>
        </w:rPr>
        <w:t xml:space="preserve"> $EUA</w:t>
      </w:r>
      <w:r w:rsidR="00257294" w:rsidRPr="00B924EB">
        <w:rPr>
          <w:lang w:val="es-ES_tradnl"/>
        </w:rPr>
        <w:t>.</w:t>
      </w:r>
    </w:p>
    <w:p w14:paraId="56B2033F" w14:textId="4A632410" w:rsidR="000521A3" w:rsidRPr="00B924EB" w:rsidRDefault="0033072E" w:rsidP="00156F53">
      <w:pPr>
        <w:pStyle w:val="Heading1"/>
        <w:rPr>
          <w:lang w:val="es-ES_tradnl"/>
        </w:rPr>
      </w:pPr>
      <w:r w:rsidRPr="00B924EB">
        <w:rPr>
          <w:lang w:val="es-ES_tradnl"/>
        </w:rPr>
        <w:t>E</w:t>
      </w:r>
      <w:r w:rsidR="00755C5D" w:rsidRPr="00B924EB">
        <w:rPr>
          <w:lang w:val="es-ES_tradnl"/>
        </w:rPr>
        <w:t>l</w:t>
      </w:r>
      <w:r>
        <w:rPr>
          <w:lang w:val="es-ES_tradnl"/>
        </w:rPr>
        <w:t xml:space="preserve"> </w:t>
      </w:r>
      <w:r w:rsidR="00755C5D" w:rsidRPr="00B924EB">
        <w:rPr>
          <w:lang w:val="es-ES_tradnl"/>
        </w:rPr>
        <w:t>PNUMA</w:t>
      </w:r>
      <w:r w:rsidR="00A13BEA" w:rsidRPr="00B924EB">
        <w:rPr>
          <w:lang w:val="es-ES_tradnl"/>
        </w:rPr>
        <w:t xml:space="preserve"> </w:t>
      </w:r>
      <w:r w:rsidR="00BD2B0C">
        <w:rPr>
          <w:lang w:val="es-ES_tradnl"/>
        </w:rPr>
        <w:t xml:space="preserve">informó </w:t>
      </w:r>
      <w:r w:rsidR="00406930">
        <w:rPr>
          <w:lang w:val="es-ES_tradnl"/>
        </w:rPr>
        <w:t xml:space="preserve">asimismo </w:t>
      </w:r>
      <w:r w:rsidR="00BD2B0C">
        <w:rPr>
          <w:lang w:val="es-ES_tradnl"/>
        </w:rPr>
        <w:t>que</w:t>
      </w:r>
      <w:r w:rsidR="00A13BEA" w:rsidRPr="00B924EB">
        <w:rPr>
          <w:lang w:val="es-ES_tradnl"/>
        </w:rPr>
        <w:t xml:space="preserve"> </w:t>
      </w:r>
      <w:r w:rsidR="0011087C">
        <w:rPr>
          <w:lang w:val="es-ES_tradnl"/>
        </w:rPr>
        <w:t xml:space="preserve">ya </w:t>
      </w:r>
      <w:r w:rsidR="00261AF0">
        <w:rPr>
          <w:lang w:val="es-ES_tradnl"/>
        </w:rPr>
        <w:t>estaba comprometida</w:t>
      </w:r>
      <w:r w:rsidR="0011087C" w:rsidRPr="0011087C">
        <w:rPr>
          <w:lang w:val="es-ES_tradnl"/>
        </w:rPr>
        <w:t xml:space="preserve"> </w:t>
      </w:r>
      <w:r w:rsidR="00333F83">
        <w:rPr>
          <w:lang w:val="es-ES_tradnl"/>
        </w:rPr>
        <w:t xml:space="preserve">la suma </w:t>
      </w:r>
      <w:r w:rsidR="00EF1D20">
        <w:rPr>
          <w:lang w:val="es-ES_tradnl"/>
        </w:rPr>
        <w:t xml:space="preserve">de </w:t>
      </w:r>
      <w:r w:rsidR="00D93C0C" w:rsidRPr="00B924EB">
        <w:rPr>
          <w:lang w:val="es-ES_tradnl"/>
        </w:rPr>
        <w:t>30</w:t>
      </w:r>
      <w:r w:rsidR="00755C5D" w:rsidRPr="00B924EB">
        <w:rPr>
          <w:lang w:val="es-ES_tradnl"/>
        </w:rPr>
        <w:t>2.</w:t>
      </w:r>
      <w:r w:rsidR="00693DB2" w:rsidRPr="00B924EB">
        <w:rPr>
          <w:lang w:val="es-ES_tradnl"/>
        </w:rPr>
        <w:t>6</w:t>
      </w:r>
      <w:r w:rsidR="00D93C0C" w:rsidRPr="00B924EB">
        <w:rPr>
          <w:lang w:val="es-ES_tradnl"/>
        </w:rPr>
        <w:t>33</w:t>
      </w:r>
      <w:r w:rsidR="00F9270C" w:rsidRPr="00F9270C">
        <w:rPr>
          <w:lang w:val="es-ES_tradnl"/>
        </w:rPr>
        <w:t xml:space="preserve"> $EUA</w:t>
      </w:r>
      <w:r w:rsidR="00A13BEA" w:rsidRPr="00B924EB">
        <w:rPr>
          <w:lang w:val="es-ES_tradnl"/>
        </w:rPr>
        <w:t xml:space="preserve"> </w:t>
      </w:r>
      <w:r w:rsidR="00E74272" w:rsidRPr="00B924EB">
        <w:rPr>
          <w:lang w:val="es-ES_tradnl"/>
        </w:rPr>
        <w:t>y</w:t>
      </w:r>
      <w:r w:rsidR="00A13BEA" w:rsidRPr="00B924EB">
        <w:rPr>
          <w:lang w:val="es-ES_tradnl"/>
        </w:rPr>
        <w:t xml:space="preserve"> </w:t>
      </w:r>
      <w:r w:rsidR="00E74272" w:rsidRPr="00B924EB">
        <w:rPr>
          <w:lang w:val="es-ES_tradnl"/>
        </w:rPr>
        <w:t>que</w:t>
      </w:r>
      <w:r w:rsidR="00A13BEA" w:rsidRPr="00B924EB">
        <w:rPr>
          <w:lang w:val="es-ES_tradnl"/>
        </w:rPr>
        <w:t xml:space="preserve"> </w:t>
      </w:r>
      <w:r w:rsidR="00DB3D7B" w:rsidRPr="00B924EB">
        <w:rPr>
          <w:lang w:val="es-ES_tradnl"/>
        </w:rPr>
        <w:t>el</w:t>
      </w:r>
      <w:r w:rsidR="00A13BEA" w:rsidRPr="00B924EB">
        <w:rPr>
          <w:lang w:val="es-ES_tradnl"/>
        </w:rPr>
        <w:t xml:space="preserve"> </w:t>
      </w:r>
      <w:r w:rsidR="00DB3D7B" w:rsidRPr="00B924EB">
        <w:rPr>
          <w:lang w:val="es-ES_tradnl"/>
        </w:rPr>
        <w:t>saldo</w:t>
      </w:r>
      <w:r w:rsidR="00A13BEA" w:rsidRPr="00B924EB">
        <w:rPr>
          <w:lang w:val="es-ES_tradnl"/>
        </w:rPr>
        <w:t xml:space="preserve"> </w:t>
      </w:r>
      <w:r w:rsidR="00A53B62">
        <w:rPr>
          <w:lang w:val="es-ES_tradnl"/>
        </w:rPr>
        <w:t xml:space="preserve">se desembolsará </w:t>
      </w:r>
      <w:r w:rsidR="0098165F" w:rsidRPr="0098165F">
        <w:rPr>
          <w:lang w:val="es-ES_tradnl"/>
        </w:rPr>
        <w:t xml:space="preserve">a más tardar </w:t>
      </w:r>
      <w:r w:rsidR="00C60463">
        <w:rPr>
          <w:lang w:val="es-ES_tradnl"/>
        </w:rPr>
        <w:t>a</w:t>
      </w:r>
      <w:r w:rsidR="0098165F" w:rsidRPr="0098165F">
        <w:rPr>
          <w:lang w:val="es-ES_tradnl"/>
        </w:rPr>
        <w:t xml:space="preserve"> diciembre de 2021</w:t>
      </w:r>
      <w:r w:rsidR="0098165F">
        <w:rPr>
          <w:lang w:val="es-ES_tradnl"/>
        </w:rPr>
        <w:t xml:space="preserve">, </w:t>
      </w:r>
      <w:r w:rsidR="004135A5" w:rsidRPr="00B924EB">
        <w:rPr>
          <w:lang w:val="es-ES_tradnl"/>
        </w:rPr>
        <w:t>una vez</w:t>
      </w:r>
      <w:r w:rsidR="00A13BEA" w:rsidRPr="00B924EB">
        <w:rPr>
          <w:lang w:val="es-ES_tradnl"/>
        </w:rPr>
        <w:t xml:space="preserve"> </w:t>
      </w:r>
      <w:r w:rsidR="00A05BBC">
        <w:rPr>
          <w:lang w:val="es-ES_tradnl"/>
        </w:rPr>
        <w:t xml:space="preserve">terminada la </w:t>
      </w:r>
      <w:r w:rsidR="00E26F0F" w:rsidRPr="00B924EB">
        <w:rPr>
          <w:lang w:val="es-ES_tradnl"/>
        </w:rPr>
        <w:t>adquisición</w:t>
      </w:r>
      <w:r w:rsidR="00A13BEA" w:rsidRPr="00B924EB">
        <w:rPr>
          <w:lang w:val="es-ES_tradnl"/>
        </w:rPr>
        <w:t xml:space="preserve"> </w:t>
      </w:r>
      <w:r w:rsidR="00755C5D" w:rsidRPr="00B924EB">
        <w:rPr>
          <w:lang w:val="es-ES_tradnl"/>
        </w:rPr>
        <w:t>y</w:t>
      </w:r>
      <w:r w:rsidR="00A13BEA" w:rsidRPr="00B924EB">
        <w:rPr>
          <w:lang w:val="es-ES_tradnl"/>
        </w:rPr>
        <w:t xml:space="preserve"> </w:t>
      </w:r>
      <w:r w:rsidR="000521A3" w:rsidRPr="00B924EB">
        <w:rPr>
          <w:lang w:val="es-ES_tradnl"/>
        </w:rPr>
        <w:t>entrega</w:t>
      </w:r>
      <w:r w:rsidR="00A13BEA" w:rsidRPr="00B924EB">
        <w:rPr>
          <w:lang w:val="es-ES_tradnl"/>
        </w:rPr>
        <w:t xml:space="preserve"> </w:t>
      </w:r>
      <w:r w:rsidR="0056107C">
        <w:rPr>
          <w:lang w:val="es-ES_tradnl"/>
        </w:rPr>
        <w:t xml:space="preserve">de </w:t>
      </w:r>
      <w:r w:rsidR="0098165F">
        <w:rPr>
          <w:lang w:val="es-ES_tradnl"/>
        </w:rPr>
        <w:t>equipos</w:t>
      </w:r>
      <w:r w:rsidR="00DB3D7B" w:rsidRPr="00B924EB">
        <w:rPr>
          <w:lang w:val="es-ES_tradnl"/>
        </w:rPr>
        <w:t>.</w:t>
      </w:r>
      <w:r w:rsidR="00A13BEA" w:rsidRPr="00B924EB">
        <w:rPr>
          <w:lang w:val="es-ES_tradnl"/>
        </w:rPr>
        <w:t xml:space="preserve"> </w:t>
      </w:r>
      <w:r w:rsidR="00DB3D7B" w:rsidRPr="00B924EB">
        <w:rPr>
          <w:lang w:val="es-ES_tradnl"/>
        </w:rPr>
        <w:t>El</w:t>
      </w:r>
      <w:r w:rsidR="00A13BEA" w:rsidRPr="00B924EB">
        <w:rPr>
          <w:lang w:val="es-ES_tradnl"/>
        </w:rPr>
        <w:t xml:space="preserve"> </w:t>
      </w:r>
      <w:r w:rsidR="00DB3D7B" w:rsidRPr="00B924EB">
        <w:rPr>
          <w:lang w:val="es-ES_tradnl"/>
        </w:rPr>
        <w:t>PNU</w:t>
      </w:r>
      <w:r w:rsidR="00755C5D" w:rsidRPr="00B924EB">
        <w:rPr>
          <w:lang w:val="es-ES_tradnl"/>
        </w:rPr>
        <w:t>MA</w:t>
      </w:r>
      <w:r w:rsidR="00A13BEA" w:rsidRPr="00B924EB">
        <w:rPr>
          <w:lang w:val="es-ES_tradnl"/>
        </w:rPr>
        <w:t xml:space="preserve"> </w:t>
      </w:r>
      <w:r w:rsidR="00945790">
        <w:rPr>
          <w:lang w:val="es-ES_tradnl"/>
        </w:rPr>
        <w:t>también</w:t>
      </w:r>
      <w:r w:rsidR="00A13BEA" w:rsidRPr="00B924EB">
        <w:rPr>
          <w:lang w:val="es-ES_tradnl"/>
        </w:rPr>
        <w:t xml:space="preserve"> </w:t>
      </w:r>
      <w:r w:rsidR="00800210" w:rsidRPr="00B924EB">
        <w:rPr>
          <w:lang w:val="es-ES_tradnl"/>
        </w:rPr>
        <w:t>re</w:t>
      </w:r>
      <w:r w:rsidR="00E127EC">
        <w:rPr>
          <w:lang w:val="es-ES_tradnl"/>
        </w:rPr>
        <w:t>confirmó</w:t>
      </w:r>
      <w:r w:rsidR="00A13BEA" w:rsidRPr="00B924EB">
        <w:rPr>
          <w:lang w:val="es-ES_tradnl"/>
        </w:rPr>
        <w:t xml:space="preserve"> </w:t>
      </w:r>
      <w:r w:rsidR="009463F6">
        <w:rPr>
          <w:lang w:val="es-ES_tradnl"/>
        </w:rPr>
        <w:t xml:space="preserve">que la totalidad de las </w:t>
      </w:r>
      <w:r w:rsidR="005E1320" w:rsidRPr="00B924EB">
        <w:rPr>
          <w:lang w:val="es-ES_tradnl"/>
        </w:rPr>
        <w:t>actividades</w:t>
      </w:r>
      <w:r w:rsidR="00A13BEA" w:rsidRPr="00B924EB">
        <w:rPr>
          <w:lang w:val="es-ES_tradnl"/>
        </w:rPr>
        <w:t xml:space="preserve"> </w:t>
      </w:r>
      <w:r w:rsidR="005E1320" w:rsidRPr="00B924EB">
        <w:rPr>
          <w:lang w:val="es-ES_tradnl"/>
        </w:rPr>
        <w:t>relativas</w:t>
      </w:r>
      <w:r w:rsidR="00A13BEA" w:rsidRPr="00B924EB">
        <w:rPr>
          <w:lang w:val="es-ES_tradnl"/>
        </w:rPr>
        <w:t xml:space="preserve"> </w:t>
      </w:r>
      <w:r w:rsidR="005E1320" w:rsidRPr="00B924EB">
        <w:rPr>
          <w:lang w:val="es-ES_tradnl"/>
        </w:rPr>
        <w:t>a</w:t>
      </w:r>
      <w:r w:rsidR="00A13BEA" w:rsidRPr="00B924EB">
        <w:rPr>
          <w:lang w:val="es-ES_tradnl"/>
        </w:rPr>
        <w:t xml:space="preserve"> </w:t>
      </w:r>
      <w:r w:rsidR="00B924EB">
        <w:rPr>
          <w:lang w:val="es-ES_tradnl"/>
        </w:rPr>
        <w:t>la capacitación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997FD2" w:rsidRPr="00B924EB">
        <w:rPr>
          <w:lang w:val="es-ES_tradnl"/>
        </w:rPr>
        <w:t>200</w:t>
      </w:r>
      <w:r w:rsidR="00A13BEA" w:rsidRPr="00B924EB">
        <w:rPr>
          <w:lang w:val="es-ES_tradnl"/>
        </w:rPr>
        <w:t xml:space="preserve"> </w:t>
      </w:r>
      <w:r w:rsidR="000521A3" w:rsidRPr="00B924EB">
        <w:rPr>
          <w:lang w:val="es-ES_tradnl"/>
        </w:rPr>
        <w:t>funcionarios</w:t>
      </w:r>
      <w:r w:rsidR="00A13BEA" w:rsidRPr="00B924EB">
        <w:rPr>
          <w:lang w:val="es-ES_tradnl"/>
        </w:rPr>
        <w:t xml:space="preserve"> </w:t>
      </w:r>
      <w:r w:rsidR="000521A3" w:rsidRPr="00B924EB">
        <w:rPr>
          <w:lang w:val="es-ES_tradnl"/>
        </w:rPr>
        <w:t>aduaneros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997FD2" w:rsidRPr="00B924EB">
        <w:rPr>
          <w:lang w:val="es-ES_tradnl"/>
        </w:rPr>
        <w:t>182</w:t>
      </w:r>
      <w:r w:rsidR="00A13BEA" w:rsidRPr="00B924EB">
        <w:rPr>
          <w:lang w:val="es-ES_tradnl"/>
        </w:rPr>
        <w:t xml:space="preserve"> </w:t>
      </w:r>
      <w:r w:rsidR="00E26F0F" w:rsidRPr="00B924EB">
        <w:rPr>
          <w:lang w:val="es-ES_tradnl"/>
        </w:rPr>
        <w:t>técnicos</w:t>
      </w:r>
      <w:r w:rsidR="00A13BEA" w:rsidRPr="00B924EB">
        <w:rPr>
          <w:lang w:val="es-ES_tradnl"/>
        </w:rPr>
        <w:t xml:space="preserve"> </w:t>
      </w:r>
      <w:r w:rsidR="00520861">
        <w:rPr>
          <w:lang w:val="es-ES_tradnl"/>
        </w:rPr>
        <w:t xml:space="preserve">adicionales </w:t>
      </w:r>
      <w:r w:rsidR="00755C5D" w:rsidRPr="00B924EB">
        <w:rPr>
          <w:lang w:val="es-ES_tradnl"/>
        </w:rPr>
        <w:t>y</w:t>
      </w:r>
      <w:r w:rsidR="00A13BEA" w:rsidRPr="00B924EB">
        <w:rPr>
          <w:lang w:val="es-ES_tradnl"/>
        </w:rPr>
        <w:t xml:space="preserve"> </w:t>
      </w:r>
      <w:r w:rsidR="009A1136">
        <w:rPr>
          <w:lang w:val="es-ES_tradnl"/>
        </w:rPr>
        <w:t xml:space="preserve">a </w:t>
      </w:r>
      <w:r w:rsidR="00A368D2">
        <w:rPr>
          <w:lang w:val="es-ES_tradnl"/>
        </w:rPr>
        <w:t>la adquisición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997FD2" w:rsidRPr="00B924EB">
        <w:rPr>
          <w:lang w:val="es-ES_tradnl"/>
        </w:rPr>
        <w:t>200</w:t>
      </w:r>
      <w:r w:rsidR="00A13BEA" w:rsidRPr="00B924EB">
        <w:rPr>
          <w:lang w:val="es-ES_tradnl"/>
        </w:rPr>
        <w:t xml:space="preserve"> </w:t>
      </w:r>
      <w:r w:rsidR="0086080E">
        <w:rPr>
          <w:lang w:val="es-ES_tradnl"/>
        </w:rPr>
        <w:t>juegos</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9374DA" w:rsidRPr="00B924EB">
        <w:rPr>
          <w:lang w:val="es-ES_tradnl"/>
        </w:rPr>
        <w:t>equipos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E26F0F" w:rsidRPr="00B924EB">
        <w:rPr>
          <w:lang w:val="es-ES_tradnl"/>
        </w:rPr>
        <w:t>herramientas</w:t>
      </w:r>
      <w:r w:rsidR="00A13BEA" w:rsidRPr="00B924EB">
        <w:rPr>
          <w:lang w:val="es-ES_tradnl"/>
        </w:rPr>
        <w:t xml:space="preserve"> </w:t>
      </w:r>
      <w:r w:rsidR="009D7E7F">
        <w:rPr>
          <w:lang w:val="es-ES_tradnl"/>
        </w:rPr>
        <w:t xml:space="preserve">quedarían </w:t>
      </w:r>
      <w:r w:rsidR="001A3F6B">
        <w:rPr>
          <w:lang w:val="es-ES_tradnl"/>
        </w:rPr>
        <w:t xml:space="preserve">terminadas </w:t>
      </w:r>
      <w:r w:rsidR="006E1CC7">
        <w:rPr>
          <w:lang w:val="es-ES_tradnl"/>
        </w:rPr>
        <w:t xml:space="preserve">dentro del </w:t>
      </w:r>
      <w:r w:rsidR="002213BB">
        <w:rPr>
          <w:lang w:val="es-ES_tradnl"/>
        </w:rPr>
        <w:t xml:space="preserve">nuevo </w:t>
      </w:r>
      <w:r w:rsidR="00A043F6">
        <w:rPr>
          <w:lang w:val="es-ES_tradnl"/>
        </w:rPr>
        <w:t xml:space="preserve">plazo </w:t>
      </w:r>
      <w:r w:rsidR="00755C5D" w:rsidRPr="00B924EB">
        <w:rPr>
          <w:lang w:val="es-ES_tradnl"/>
        </w:rPr>
        <w:t>aprobado</w:t>
      </w:r>
      <w:r w:rsidR="00A13BEA" w:rsidRPr="00B924EB">
        <w:rPr>
          <w:lang w:val="es-ES_tradnl"/>
        </w:rPr>
        <w:t xml:space="preserve"> </w:t>
      </w:r>
      <w:r w:rsidR="00363607" w:rsidRPr="00B924EB">
        <w:rPr>
          <w:lang w:val="es-ES_tradnl"/>
        </w:rPr>
        <w:t>por</w:t>
      </w:r>
      <w:r w:rsidR="00A13BEA" w:rsidRPr="00B924EB">
        <w:rPr>
          <w:lang w:val="es-ES_tradnl"/>
        </w:rPr>
        <w:t xml:space="preserve"> </w:t>
      </w:r>
      <w:r w:rsidR="00363607" w:rsidRPr="00B924EB">
        <w:rPr>
          <w:lang w:val="es-ES_tradnl"/>
        </w:rPr>
        <w:t>el</w:t>
      </w:r>
      <w:r w:rsidR="00A13BEA" w:rsidRPr="00B924EB">
        <w:rPr>
          <w:lang w:val="es-ES_tradnl"/>
        </w:rPr>
        <w:t xml:space="preserve"> </w:t>
      </w:r>
      <w:r w:rsidR="009374DA" w:rsidRPr="00B924EB">
        <w:rPr>
          <w:lang w:val="es-ES_tradnl"/>
        </w:rPr>
        <w:t>Comité</w:t>
      </w:r>
      <w:r w:rsidR="00A13BEA" w:rsidRPr="00B924EB">
        <w:rPr>
          <w:lang w:val="es-ES_tradnl"/>
        </w:rPr>
        <w:t xml:space="preserve"> </w:t>
      </w:r>
      <w:r w:rsidR="00755C5D" w:rsidRPr="00B924EB">
        <w:rPr>
          <w:lang w:val="es-ES_tradnl"/>
        </w:rPr>
        <w:t>Ejecutivo</w:t>
      </w:r>
      <w:r w:rsidR="00A13BEA" w:rsidRPr="00B924EB">
        <w:rPr>
          <w:lang w:val="es-ES_tradnl"/>
        </w:rPr>
        <w:t xml:space="preserve"> </w:t>
      </w:r>
      <w:r w:rsidR="00C134C5">
        <w:rPr>
          <w:lang w:val="es-ES_tradnl"/>
        </w:rPr>
        <w:t>en la 8</w:t>
      </w:r>
      <w:r w:rsidR="00E26F0F" w:rsidRPr="00B924EB">
        <w:rPr>
          <w:lang w:val="es-ES_tradnl"/>
        </w:rPr>
        <w:t>6</w:t>
      </w:r>
      <w:r w:rsidR="004135A5" w:rsidRPr="00B924EB">
        <w:rPr>
          <w:lang w:val="es-ES_tradnl"/>
        </w:rPr>
        <w:t>ª reunión</w:t>
      </w:r>
      <w:r w:rsidR="00FB2466" w:rsidRPr="00B924EB">
        <w:rPr>
          <w:lang w:val="es-ES_tradnl"/>
        </w:rPr>
        <w:t>,</w:t>
      </w:r>
      <w:r w:rsidR="00A13BEA" w:rsidRPr="00B924EB">
        <w:rPr>
          <w:lang w:val="es-ES_tradnl"/>
        </w:rPr>
        <w:t xml:space="preserve"> </w:t>
      </w:r>
      <w:r w:rsidR="00E74272" w:rsidRPr="00B924EB">
        <w:rPr>
          <w:lang w:val="es-ES_tradnl"/>
        </w:rPr>
        <w:t>y</w:t>
      </w:r>
      <w:r w:rsidR="00A13BEA" w:rsidRPr="00B924EB">
        <w:rPr>
          <w:lang w:val="es-ES_tradnl"/>
        </w:rPr>
        <w:t xml:space="preserve"> </w:t>
      </w:r>
      <w:r w:rsidR="00E74272" w:rsidRPr="00B924EB">
        <w:rPr>
          <w:lang w:val="es-ES_tradnl"/>
        </w:rPr>
        <w:t>que</w:t>
      </w:r>
      <w:r w:rsidR="00A13BEA" w:rsidRPr="00B924EB">
        <w:rPr>
          <w:lang w:val="es-ES_tradnl"/>
        </w:rPr>
        <w:t xml:space="preserve"> </w:t>
      </w:r>
      <w:r w:rsidR="00DB3D7B" w:rsidRPr="00B924EB">
        <w:rPr>
          <w:lang w:val="es-ES_tradnl"/>
        </w:rPr>
        <w:t>el</w:t>
      </w:r>
      <w:r w:rsidR="00A13BEA" w:rsidRPr="00B924EB">
        <w:rPr>
          <w:lang w:val="es-ES_tradnl"/>
        </w:rPr>
        <w:t xml:space="preserve"> </w:t>
      </w:r>
      <w:r w:rsidR="00C86987">
        <w:rPr>
          <w:lang w:val="es-ES_tradnl"/>
        </w:rPr>
        <w:t>Gobierno</w:t>
      </w:r>
      <w:r w:rsidR="00A13BEA" w:rsidRPr="00B924EB">
        <w:rPr>
          <w:lang w:val="es-ES_tradnl"/>
        </w:rPr>
        <w:t xml:space="preserve"> </w:t>
      </w:r>
      <w:r w:rsidR="00397110">
        <w:rPr>
          <w:lang w:val="es-ES_tradnl"/>
        </w:rPr>
        <w:t xml:space="preserve">no solicitará </w:t>
      </w:r>
      <w:r w:rsidR="006F0521">
        <w:rPr>
          <w:lang w:val="es-ES_tradnl"/>
        </w:rPr>
        <w:t xml:space="preserve">nuevas </w:t>
      </w:r>
      <w:r w:rsidR="00E97AEF">
        <w:rPr>
          <w:lang w:val="es-ES_tradnl"/>
        </w:rPr>
        <w:t>prórrogas</w:t>
      </w:r>
      <w:r w:rsidR="00693DB2" w:rsidRPr="00B924EB">
        <w:rPr>
          <w:lang w:val="es-ES_tradnl"/>
        </w:rPr>
        <w:t>.</w:t>
      </w:r>
      <w:r w:rsidR="00A13BEA" w:rsidRPr="00B924EB">
        <w:rPr>
          <w:lang w:val="es-ES_tradnl"/>
        </w:rPr>
        <w:t xml:space="preserve"> </w:t>
      </w:r>
      <w:r w:rsidR="005E1320" w:rsidRPr="00B924EB">
        <w:rPr>
          <w:lang w:val="es-ES_tradnl"/>
        </w:rPr>
        <w:t>Por</w:t>
      </w:r>
      <w:r w:rsidR="00A13BEA" w:rsidRPr="00B924EB">
        <w:rPr>
          <w:lang w:val="es-ES_tradnl"/>
        </w:rPr>
        <w:t xml:space="preserve"> </w:t>
      </w:r>
      <w:r w:rsidR="005E1320" w:rsidRPr="00B924EB">
        <w:rPr>
          <w:lang w:val="es-ES_tradnl"/>
        </w:rPr>
        <w:t>consiguiente</w:t>
      </w:r>
      <w:r w:rsidR="00693DB2" w:rsidRPr="00B924EB">
        <w:rPr>
          <w:lang w:val="es-ES_tradnl"/>
        </w:rPr>
        <w:t>,</w:t>
      </w:r>
      <w:r w:rsidR="00A13BEA" w:rsidRPr="00B924EB">
        <w:rPr>
          <w:lang w:val="es-ES_tradnl"/>
        </w:rPr>
        <w:t xml:space="preserve"> </w:t>
      </w:r>
      <w:r w:rsidR="003E2462" w:rsidRPr="003E2462">
        <w:rPr>
          <w:lang w:val="es-ES_tradnl"/>
        </w:rPr>
        <w:t xml:space="preserve">deberá reintegrarse al Fondo Multilateral </w:t>
      </w:r>
      <w:r w:rsidR="002C26E3">
        <w:rPr>
          <w:lang w:val="es-ES_tradnl"/>
        </w:rPr>
        <w:t xml:space="preserve">todo </w:t>
      </w:r>
      <w:r w:rsidR="004135A5" w:rsidRPr="00B924EB">
        <w:rPr>
          <w:lang w:val="es-ES_tradnl"/>
        </w:rPr>
        <w:t>saldo</w:t>
      </w:r>
      <w:r w:rsidR="00A13BEA" w:rsidRPr="00B924EB">
        <w:rPr>
          <w:lang w:val="es-ES_tradnl"/>
        </w:rPr>
        <w:t xml:space="preserve"> </w:t>
      </w:r>
      <w:r w:rsidR="0047506D">
        <w:rPr>
          <w:lang w:val="es-ES_tradnl"/>
        </w:rPr>
        <w:t>asociado</w:t>
      </w:r>
      <w:r w:rsidR="00B924EB">
        <w:rPr>
          <w:lang w:val="es-ES_tradnl"/>
        </w:rPr>
        <w:t xml:space="preserve"> a</w:t>
      </w:r>
      <w:r w:rsidR="00A13BEA" w:rsidRPr="00B924EB">
        <w:rPr>
          <w:lang w:val="es-ES_tradnl"/>
        </w:rPr>
        <w:t xml:space="preserve"> </w:t>
      </w:r>
      <w:r w:rsidR="00926240">
        <w:rPr>
          <w:lang w:val="es-ES_tradnl"/>
        </w:rPr>
        <w:t xml:space="preserve">los </w:t>
      </w:r>
      <w:r w:rsidR="00926240" w:rsidRPr="00926240">
        <w:rPr>
          <w:lang w:val="es-ES_tradnl"/>
        </w:rPr>
        <w:t>componente</w:t>
      </w:r>
      <w:r w:rsidR="003D3E79">
        <w:rPr>
          <w:lang w:val="es-ES_tradnl"/>
        </w:rPr>
        <w:t>s</w:t>
      </w:r>
      <w:r w:rsidR="00926240" w:rsidRPr="00926240">
        <w:rPr>
          <w:lang w:val="es-ES_tradnl"/>
        </w:rPr>
        <w:t xml:space="preserve"> </w:t>
      </w:r>
      <w:r w:rsidR="00CB13E4">
        <w:rPr>
          <w:lang w:val="es-ES_tradnl"/>
        </w:rPr>
        <w:t xml:space="preserve">a cargo </w:t>
      </w:r>
      <w:r w:rsidR="00DB3D7B" w:rsidRPr="00B924EB">
        <w:rPr>
          <w:lang w:val="es-ES_tradnl"/>
        </w:rPr>
        <w:t>del</w:t>
      </w:r>
      <w:r w:rsidR="00A13BEA" w:rsidRPr="00B924EB">
        <w:rPr>
          <w:lang w:val="es-ES_tradnl"/>
        </w:rPr>
        <w:t xml:space="preserve"> </w:t>
      </w:r>
      <w:r w:rsidR="00DB3D7B" w:rsidRPr="00B924EB">
        <w:rPr>
          <w:lang w:val="es-ES_tradnl"/>
        </w:rPr>
        <w:t>PNUMA</w:t>
      </w:r>
      <w:r w:rsidR="00A13BEA" w:rsidRPr="00B924EB">
        <w:rPr>
          <w:lang w:val="es-ES_tradnl"/>
        </w:rPr>
        <w:t xml:space="preserve"> </w:t>
      </w:r>
      <w:r w:rsidR="00755C5D" w:rsidRPr="00B924EB">
        <w:rPr>
          <w:lang w:val="es-ES_tradnl"/>
        </w:rPr>
        <w:t>y</w:t>
      </w:r>
      <w:r w:rsidR="00A13BEA" w:rsidRPr="00B924EB">
        <w:rPr>
          <w:lang w:val="es-ES_tradnl"/>
        </w:rPr>
        <w:t xml:space="preserve"> </w:t>
      </w:r>
      <w:r w:rsidR="00DB3D7B" w:rsidRPr="00B924EB">
        <w:rPr>
          <w:lang w:val="es-ES_tradnl"/>
        </w:rPr>
        <w:t>de</w:t>
      </w:r>
      <w:r w:rsidR="00A13BEA" w:rsidRPr="00B924EB">
        <w:rPr>
          <w:lang w:val="es-ES_tradnl"/>
        </w:rPr>
        <w:t xml:space="preserve"> </w:t>
      </w:r>
      <w:r w:rsidR="00CB13E4">
        <w:rPr>
          <w:lang w:val="es-ES_tradnl"/>
        </w:rPr>
        <w:t xml:space="preserve">la </w:t>
      </w:r>
      <w:r w:rsidR="001A1006" w:rsidRPr="00B924EB">
        <w:rPr>
          <w:lang w:val="es-ES_tradnl"/>
        </w:rPr>
        <w:t>ONUDI</w:t>
      </w:r>
      <w:r w:rsidR="00A13BEA" w:rsidRPr="00B924EB">
        <w:rPr>
          <w:lang w:val="es-ES_tradnl"/>
        </w:rPr>
        <w:t xml:space="preserve"> </w:t>
      </w:r>
      <w:r w:rsidR="002C1359">
        <w:rPr>
          <w:lang w:val="es-ES_tradnl"/>
        </w:rPr>
        <w:t>sin desembolsar</w:t>
      </w:r>
      <w:r w:rsidR="003D3E79">
        <w:rPr>
          <w:lang w:val="es-ES_tradnl"/>
        </w:rPr>
        <w:t xml:space="preserve"> al </w:t>
      </w:r>
      <w:r w:rsidR="00D93C0C" w:rsidRPr="00B924EB">
        <w:rPr>
          <w:lang w:val="es-ES_tradnl"/>
        </w:rPr>
        <w:t>31</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junio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693DB2" w:rsidRPr="00B924EB">
        <w:rPr>
          <w:lang w:val="es-ES_tradnl"/>
        </w:rPr>
        <w:t>2021</w:t>
      </w:r>
      <w:r w:rsidR="00A13BEA" w:rsidRPr="00B924EB">
        <w:rPr>
          <w:lang w:val="es-ES_tradnl"/>
        </w:rPr>
        <w:t xml:space="preserve"> </w:t>
      </w:r>
      <w:r w:rsidR="00755C5D" w:rsidRPr="00B924EB">
        <w:rPr>
          <w:lang w:val="es-ES_tradnl"/>
        </w:rPr>
        <w:t>y</w:t>
      </w:r>
      <w:r w:rsidR="00A13BEA" w:rsidRPr="00B924EB">
        <w:rPr>
          <w:lang w:val="es-ES_tradnl"/>
        </w:rPr>
        <w:t xml:space="preserve"> </w:t>
      </w:r>
      <w:r w:rsidR="000611F7">
        <w:rPr>
          <w:lang w:val="es-ES_tradnl"/>
        </w:rPr>
        <w:t xml:space="preserve">al </w:t>
      </w:r>
      <w:r w:rsidR="00D93C0C" w:rsidRPr="00B924EB">
        <w:rPr>
          <w:lang w:val="es-ES_tradnl"/>
        </w:rPr>
        <w:t>31</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diciembre</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693DB2" w:rsidRPr="00B924EB">
        <w:rPr>
          <w:lang w:val="es-ES_tradnl"/>
        </w:rPr>
        <w:t>202</w:t>
      </w:r>
      <w:r w:rsidR="00755C5D" w:rsidRPr="00B924EB">
        <w:rPr>
          <w:lang w:val="es-ES_tradnl"/>
        </w:rPr>
        <w:t>1</w:t>
      </w:r>
      <w:r w:rsidR="00780A66">
        <w:rPr>
          <w:lang w:val="es-ES_tradnl"/>
        </w:rPr>
        <w:t>, respectivamente</w:t>
      </w:r>
      <w:r w:rsidR="00693DB2" w:rsidRPr="00B924EB">
        <w:rPr>
          <w:lang w:val="es-ES_tradnl"/>
        </w:rPr>
        <w:t>.</w:t>
      </w:r>
    </w:p>
    <w:p w14:paraId="3FBA852D" w14:textId="15431FA0" w:rsidR="009446BC" w:rsidRPr="00B924EB" w:rsidRDefault="009374DA" w:rsidP="009446BC">
      <w:pPr>
        <w:pStyle w:val="Heading1"/>
        <w:rPr>
          <w:lang w:val="es-ES_tradnl"/>
        </w:rPr>
      </w:pPr>
      <w:r w:rsidRPr="00B924EB">
        <w:rPr>
          <w:lang w:val="es-ES_tradnl"/>
        </w:rPr>
        <w:t>La</w:t>
      </w:r>
      <w:r w:rsidR="00A13BEA" w:rsidRPr="00B924EB">
        <w:rPr>
          <w:lang w:val="es-ES_tradnl"/>
        </w:rPr>
        <w:t xml:space="preserve"> </w:t>
      </w:r>
      <w:r w:rsidRPr="00B924EB">
        <w:rPr>
          <w:lang w:val="es-ES_tradnl"/>
        </w:rPr>
        <w:t>Secretaría</w:t>
      </w:r>
      <w:r w:rsidR="00A13BEA" w:rsidRPr="00B924EB">
        <w:rPr>
          <w:lang w:val="es-ES_tradnl"/>
        </w:rPr>
        <w:t xml:space="preserve"> </w:t>
      </w:r>
      <w:r w:rsidR="00FD74CD">
        <w:rPr>
          <w:lang w:val="es-ES_tradnl"/>
        </w:rPr>
        <w:t xml:space="preserve">estima </w:t>
      </w:r>
      <w:r w:rsidR="00916AFB">
        <w:rPr>
          <w:lang w:val="es-ES_tradnl"/>
        </w:rPr>
        <w:t>perentorio</w:t>
      </w:r>
      <w:r w:rsidR="008E374B">
        <w:rPr>
          <w:lang w:val="es-ES_tradnl"/>
        </w:rPr>
        <w:t xml:space="preserve"> que </w:t>
      </w:r>
      <w:r w:rsidR="00755C5D"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55C5D" w:rsidRPr="00B924EB">
        <w:rPr>
          <w:lang w:val="es-ES_tradnl"/>
        </w:rPr>
        <w:t>la</w:t>
      </w:r>
      <w:r w:rsidR="00A13BEA" w:rsidRPr="00B924EB">
        <w:rPr>
          <w:lang w:val="es-ES_tradnl"/>
        </w:rPr>
        <w:t xml:space="preserve"> </w:t>
      </w:r>
      <w:r w:rsidR="00755C5D" w:rsidRPr="00B924EB">
        <w:rPr>
          <w:lang w:val="es-ES_tradnl"/>
        </w:rPr>
        <w:t>ONUDI</w:t>
      </w:r>
      <w:r w:rsidR="00A13BEA" w:rsidRPr="00B924EB">
        <w:rPr>
          <w:lang w:val="es-ES_tradnl"/>
        </w:rPr>
        <w:t xml:space="preserve"> </w:t>
      </w:r>
      <w:r w:rsidR="00AD2627">
        <w:rPr>
          <w:lang w:val="es-ES_tradnl"/>
        </w:rPr>
        <w:t xml:space="preserve">prioricen </w:t>
      </w:r>
      <w:r w:rsidR="002236E2">
        <w:rPr>
          <w:lang w:val="es-ES_tradnl"/>
        </w:rPr>
        <w:t xml:space="preserve">dar </w:t>
      </w:r>
      <w:r w:rsidR="00A13BEA" w:rsidRPr="00B924EB">
        <w:rPr>
          <w:lang w:val="es-ES_tradnl"/>
        </w:rPr>
        <w:t xml:space="preserve">término </w:t>
      </w:r>
      <w:r w:rsidR="00320027">
        <w:rPr>
          <w:lang w:val="es-ES_tradnl"/>
        </w:rPr>
        <w:t xml:space="preserve">a la brevedad </w:t>
      </w:r>
      <w:r w:rsidR="002236E2">
        <w:rPr>
          <w:lang w:val="es-ES_tradnl"/>
        </w:rPr>
        <w:t xml:space="preserve">a </w:t>
      </w:r>
      <w:r w:rsidR="00B4035F">
        <w:rPr>
          <w:lang w:val="es-ES_tradnl"/>
        </w:rPr>
        <w:t xml:space="preserve">las </w:t>
      </w:r>
      <w:r w:rsidR="009E1180">
        <w:rPr>
          <w:lang w:val="es-ES_tradnl"/>
        </w:rPr>
        <w:t xml:space="preserve">restantes </w:t>
      </w:r>
      <w:r w:rsidR="004A5C1C">
        <w:rPr>
          <w:lang w:val="es-ES_tradnl"/>
        </w:rPr>
        <w:t>actividades</w:t>
      </w:r>
      <w:r w:rsidR="00A13BEA" w:rsidRPr="00B924EB">
        <w:rPr>
          <w:lang w:val="es-ES_tradnl"/>
        </w:rPr>
        <w:t xml:space="preserve"> </w:t>
      </w:r>
      <w:r w:rsidR="003D487B">
        <w:rPr>
          <w:lang w:val="es-ES_tradnl"/>
        </w:rPr>
        <w:t>de</w:t>
      </w:r>
      <w:r w:rsidR="00F24051">
        <w:rPr>
          <w:lang w:val="es-ES_tradnl"/>
        </w:rPr>
        <w:t xml:space="preserve"> </w:t>
      </w:r>
      <w:r w:rsidR="001A1006" w:rsidRPr="00B924EB">
        <w:rPr>
          <w:lang w:val="es-ES_tradnl"/>
        </w:rPr>
        <w:t>la</w:t>
      </w:r>
      <w:r w:rsidR="00A13BEA" w:rsidRPr="00B924EB">
        <w:rPr>
          <w:lang w:val="es-ES_tradnl"/>
        </w:rPr>
        <w:t xml:space="preserve"> </w:t>
      </w:r>
      <w:r w:rsidR="001A1006" w:rsidRPr="00B924EB">
        <w:rPr>
          <w:lang w:val="es-ES_tradnl"/>
        </w:rPr>
        <w:t>etapa</w:t>
      </w:r>
      <w:r w:rsidR="00A13BEA" w:rsidRPr="00B924EB">
        <w:rPr>
          <w:lang w:val="es-ES_tradnl"/>
        </w:rPr>
        <w:t xml:space="preserve"> </w:t>
      </w:r>
      <w:r w:rsidR="003208A7" w:rsidRPr="00B924EB">
        <w:rPr>
          <w:lang w:val="es-ES_tradnl"/>
        </w:rPr>
        <w:t>I</w:t>
      </w:r>
      <w:r w:rsidR="00EA4BC1">
        <w:rPr>
          <w:lang w:val="es-ES_tradnl"/>
        </w:rPr>
        <w:t>,</w:t>
      </w:r>
      <w:r w:rsidR="00A13BEA" w:rsidRPr="00B924EB">
        <w:rPr>
          <w:lang w:val="es-ES_tradnl"/>
        </w:rPr>
        <w:t xml:space="preserve"> </w:t>
      </w:r>
      <w:r w:rsidR="00C5725E">
        <w:rPr>
          <w:lang w:val="es-ES_tradnl"/>
        </w:rPr>
        <w:t xml:space="preserve">y </w:t>
      </w:r>
      <w:r w:rsidR="00755C5D" w:rsidRPr="00B924EB">
        <w:rPr>
          <w:lang w:val="es-ES_tradnl"/>
        </w:rPr>
        <w:t>toma</w:t>
      </w:r>
      <w:r w:rsidR="00A13BEA" w:rsidRPr="00B924EB">
        <w:rPr>
          <w:lang w:val="es-ES_tradnl"/>
        </w:rPr>
        <w:t xml:space="preserve"> </w:t>
      </w:r>
      <w:r w:rsidR="00755C5D" w:rsidRPr="00B924EB">
        <w:rPr>
          <w:lang w:val="es-ES_tradnl"/>
        </w:rPr>
        <w:t>nota</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que</w:t>
      </w:r>
      <w:r w:rsidR="001C694A">
        <w:rPr>
          <w:lang w:val="es-ES_tradnl"/>
        </w:rPr>
        <w:t xml:space="preserve">, </w:t>
      </w:r>
      <w:r w:rsidR="0015235B">
        <w:rPr>
          <w:lang w:val="es-ES_tradnl"/>
        </w:rPr>
        <w:t xml:space="preserve">por </w:t>
      </w:r>
      <w:r w:rsidR="00210B96">
        <w:rPr>
          <w:lang w:val="es-ES_tradnl"/>
        </w:rPr>
        <w:t xml:space="preserve">haberse </w:t>
      </w:r>
      <w:r w:rsidR="00BA774D">
        <w:rPr>
          <w:lang w:val="es-ES_tradnl"/>
        </w:rPr>
        <w:t xml:space="preserve">prolongado </w:t>
      </w:r>
      <w:r w:rsidR="00E26F0F" w:rsidRPr="00B924EB">
        <w:rPr>
          <w:lang w:val="es-ES_tradnl"/>
        </w:rPr>
        <w:t>el</w:t>
      </w:r>
      <w:r w:rsidR="00A13BEA" w:rsidRPr="00B924EB">
        <w:rPr>
          <w:lang w:val="es-ES_tradnl"/>
        </w:rPr>
        <w:t xml:space="preserve"> </w:t>
      </w:r>
      <w:r w:rsidR="00DA4D65">
        <w:rPr>
          <w:lang w:val="es-ES_tradnl"/>
        </w:rPr>
        <w:t>cierre</w:t>
      </w:r>
      <w:r w:rsidR="00A13BEA" w:rsidRPr="00B924EB">
        <w:rPr>
          <w:lang w:val="es-ES_tradnl"/>
        </w:rPr>
        <w:t xml:space="preserve"> </w:t>
      </w:r>
      <w:r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A13BEA" w:rsidRPr="00B924EB">
        <w:rPr>
          <w:lang w:val="es-ES_tradnl"/>
        </w:rPr>
        <w:t xml:space="preserve"> </w:t>
      </w:r>
      <w:r w:rsidR="004C25FB">
        <w:rPr>
          <w:lang w:val="es-ES_tradnl"/>
        </w:rPr>
        <w:t xml:space="preserve">más allá del </w:t>
      </w:r>
      <w:r w:rsidR="00363607" w:rsidRPr="00B924EB">
        <w:rPr>
          <w:lang w:val="es-ES_tradnl"/>
        </w:rPr>
        <w:t>1º</w:t>
      </w:r>
      <w:r w:rsidR="00A13BEA" w:rsidRPr="00B924EB">
        <w:rPr>
          <w:lang w:val="es-ES_tradnl"/>
        </w:rPr>
        <w:t xml:space="preserve"> </w:t>
      </w:r>
      <w:r w:rsidR="00363607" w:rsidRPr="00B924EB">
        <w:rPr>
          <w:lang w:val="es-ES_tradnl"/>
        </w:rPr>
        <w:t>de</w:t>
      </w:r>
      <w:r w:rsidR="00A13BEA" w:rsidRPr="00B924EB">
        <w:rPr>
          <w:lang w:val="es-ES_tradnl"/>
        </w:rPr>
        <w:t xml:space="preserve"> </w:t>
      </w:r>
      <w:r w:rsidR="00363607" w:rsidRPr="00B924EB">
        <w:rPr>
          <w:lang w:val="es-ES_tradnl"/>
        </w:rPr>
        <w:t>enero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9446BC" w:rsidRPr="00B924EB">
        <w:rPr>
          <w:lang w:val="es-ES_tradnl"/>
        </w:rPr>
        <w:t>202</w:t>
      </w:r>
      <w:r w:rsidR="00534D9C">
        <w:rPr>
          <w:lang w:val="es-ES_tradnl"/>
        </w:rPr>
        <w:t>0</w:t>
      </w:r>
      <w:r w:rsidR="00142E91" w:rsidRPr="00B924EB">
        <w:rPr>
          <w:lang w:val="es-ES_tradnl"/>
        </w:rPr>
        <w:t>,</w:t>
      </w:r>
      <w:r w:rsidR="00A13BEA" w:rsidRPr="00B924EB">
        <w:rPr>
          <w:lang w:val="es-ES_tradnl"/>
        </w:rPr>
        <w:t xml:space="preserve"> </w:t>
      </w:r>
      <w:r w:rsidR="002F6B91">
        <w:rPr>
          <w:lang w:val="es-ES_tradnl"/>
        </w:rPr>
        <w:t>fecha originalmente solicitada</w:t>
      </w:r>
      <w:r w:rsidR="0078286E">
        <w:rPr>
          <w:lang w:val="es-ES_tradnl"/>
        </w:rPr>
        <w:t>,</w:t>
      </w:r>
      <w:r w:rsidR="0078286E" w:rsidRPr="0078286E">
        <w:rPr>
          <w:lang w:val="es-ES_tradnl"/>
        </w:rPr>
        <w:t xml:space="preserve"> </w:t>
      </w:r>
      <w:r w:rsidR="00755C5D" w:rsidRPr="00B924EB">
        <w:rPr>
          <w:lang w:val="es-ES_tradnl"/>
        </w:rPr>
        <w:t>el</w:t>
      </w:r>
      <w:r w:rsidR="00A13BEA" w:rsidRPr="00B924EB">
        <w:rPr>
          <w:lang w:val="es-ES_tradnl"/>
        </w:rPr>
        <w:t xml:space="preserve"> </w:t>
      </w:r>
      <w:r w:rsidR="00755C5D" w:rsidRPr="00B924EB">
        <w:rPr>
          <w:lang w:val="es-ES_tradnl"/>
        </w:rPr>
        <w:t>Gobierno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9446BC" w:rsidRPr="00B924EB">
        <w:rPr>
          <w:lang w:val="es-ES_tradnl"/>
        </w:rPr>
        <w:t>Iraq</w:t>
      </w:r>
      <w:r w:rsidR="00A13BEA" w:rsidRPr="00B924EB">
        <w:rPr>
          <w:lang w:val="es-ES_tradnl"/>
        </w:rPr>
        <w:t xml:space="preserve"> </w:t>
      </w:r>
      <w:r w:rsidR="00395526">
        <w:rPr>
          <w:lang w:val="es-ES_tradnl"/>
        </w:rPr>
        <w:t>debió</w:t>
      </w:r>
      <w:r w:rsidR="00067235" w:rsidRPr="0083084B">
        <w:rPr>
          <w:lang w:val="es-419"/>
        </w:rPr>
        <w:t xml:space="preserve"> </w:t>
      </w:r>
      <w:r w:rsidR="00067235" w:rsidRPr="00067235">
        <w:rPr>
          <w:lang w:val="es-ES_tradnl"/>
        </w:rPr>
        <w:t>eliminar</w:t>
      </w:r>
      <w:r w:rsidR="009B2A7F" w:rsidRPr="009B2A7F">
        <w:rPr>
          <w:lang w:val="es-ES_tradnl"/>
        </w:rPr>
        <w:t xml:space="preserve"> sin </w:t>
      </w:r>
      <w:r w:rsidR="006F2E3A">
        <w:rPr>
          <w:lang w:val="es-ES_tradnl"/>
        </w:rPr>
        <w:t>asistencia del Fondo</w:t>
      </w:r>
      <w:r w:rsidR="00395526">
        <w:rPr>
          <w:lang w:val="es-ES_tradnl"/>
        </w:rPr>
        <w:t xml:space="preserve"> más de </w:t>
      </w:r>
      <w:r w:rsidR="008C62CF" w:rsidRPr="00B924EB">
        <w:rPr>
          <w:lang w:val="es-ES_tradnl"/>
        </w:rPr>
        <w:t>27.0</w:t>
      </w:r>
      <w:r w:rsidR="00142E91" w:rsidRPr="00B924EB">
        <w:rPr>
          <w:lang w:val="es-ES_tradnl"/>
        </w:rPr>
        <w:t>1</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C02FBA">
        <w:rPr>
          <w:lang w:val="es-ES_tradnl"/>
        </w:rPr>
        <w:t>HCFC</w:t>
      </w:r>
      <w:r w:rsidR="00A16654" w:rsidRPr="0083084B">
        <w:rPr>
          <w:lang w:val="es-419"/>
        </w:rPr>
        <w:t xml:space="preserve"> </w:t>
      </w:r>
      <w:r w:rsidR="00D5711F">
        <w:rPr>
          <w:lang w:val="es-ES_tradnl"/>
        </w:rPr>
        <w:t xml:space="preserve">a fin de </w:t>
      </w:r>
      <w:r w:rsidR="00176147">
        <w:rPr>
          <w:lang w:val="es-ES_tradnl"/>
        </w:rPr>
        <w:t xml:space="preserve">lograr </w:t>
      </w:r>
      <w:r w:rsidR="00A16654" w:rsidRPr="00A16654">
        <w:rPr>
          <w:lang w:val="es-ES_tradnl"/>
        </w:rPr>
        <w:t xml:space="preserve">la meta del 35 por ciento </w:t>
      </w:r>
      <w:r w:rsidR="008704E5">
        <w:rPr>
          <w:lang w:val="es-ES_tradnl"/>
        </w:rPr>
        <w:t>prevista</w:t>
      </w:r>
      <w:r w:rsidR="00A16654" w:rsidRPr="00A16654">
        <w:rPr>
          <w:lang w:val="es-ES_tradnl"/>
        </w:rPr>
        <w:t xml:space="preserve"> en el Protocolo de Montreal</w:t>
      </w:r>
      <w:r w:rsidR="008C62CF" w:rsidRPr="00B924EB">
        <w:rPr>
          <w:lang w:val="es-ES_tradnl"/>
        </w:rPr>
        <w:t>.</w:t>
      </w:r>
    </w:p>
    <w:p w14:paraId="7D4CE1D3" w14:textId="136F7647" w:rsidR="000521A3" w:rsidRPr="00B924EB" w:rsidRDefault="00C51EAF" w:rsidP="00156F53">
      <w:pPr>
        <w:pStyle w:val="Heading1"/>
        <w:rPr>
          <w:lang w:val="es-ES_tradnl"/>
        </w:rPr>
      </w:pPr>
      <w:r>
        <w:rPr>
          <w:lang w:val="es-ES_tradnl"/>
        </w:rPr>
        <w:t>Asimismo, la</w:t>
      </w:r>
      <w:r w:rsidR="00A13BEA" w:rsidRPr="00B924EB">
        <w:rPr>
          <w:lang w:val="es-ES_tradnl"/>
        </w:rPr>
        <w:t xml:space="preserve"> </w:t>
      </w:r>
      <w:r w:rsidR="009374DA" w:rsidRPr="00B924EB">
        <w:rPr>
          <w:lang w:val="es-ES_tradnl"/>
        </w:rPr>
        <w:t>Secretaría</w:t>
      </w:r>
      <w:r w:rsidR="00A13BEA" w:rsidRPr="00B924EB">
        <w:rPr>
          <w:lang w:val="es-ES_tradnl"/>
        </w:rPr>
        <w:t xml:space="preserve"> </w:t>
      </w:r>
      <w:r w:rsidR="00AB103C">
        <w:rPr>
          <w:lang w:val="es-ES_tradnl"/>
        </w:rPr>
        <w:t xml:space="preserve">estima </w:t>
      </w:r>
      <w:r w:rsidR="009410CA" w:rsidRPr="009410CA">
        <w:rPr>
          <w:lang w:val="es-ES_tradnl"/>
        </w:rPr>
        <w:t xml:space="preserve">necesario </w:t>
      </w:r>
      <w:r w:rsidR="008B7AE1">
        <w:rPr>
          <w:lang w:val="es-ES_tradnl"/>
        </w:rPr>
        <w:t xml:space="preserve">aprobar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693DB2"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A13BEA" w:rsidRPr="00B924EB">
        <w:rPr>
          <w:lang w:val="es-ES_tradnl"/>
        </w:rPr>
        <w:t xml:space="preserve"> </w:t>
      </w:r>
      <w:r w:rsidR="00AA73CA">
        <w:rPr>
          <w:lang w:val="es-ES_tradnl"/>
        </w:rPr>
        <w:t xml:space="preserve">durante </w:t>
      </w:r>
      <w:r w:rsidR="00C134C5">
        <w:rPr>
          <w:lang w:val="es-ES_tradnl"/>
        </w:rPr>
        <w:t>la 8</w:t>
      </w:r>
      <w:r w:rsidR="00E26F0F" w:rsidRPr="00B924EB">
        <w:rPr>
          <w:lang w:val="es-ES_tradnl"/>
        </w:rPr>
        <w:t>7</w:t>
      </w:r>
      <w:r w:rsidR="004135A5" w:rsidRPr="00B924EB">
        <w:rPr>
          <w:lang w:val="es-ES_tradnl"/>
        </w:rPr>
        <w:t>ª reunión</w:t>
      </w:r>
      <w:r w:rsidR="00A13BEA" w:rsidRPr="00B924EB">
        <w:rPr>
          <w:lang w:val="es-ES_tradnl"/>
        </w:rPr>
        <w:t xml:space="preserve"> </w:t>
      </w:r>
      <w:r w:rsidR="00CB2DA1">
        <w:rPr>
          <w:lang w:val="es-ES_tradnl"/>
        </w:rPr>
        <w:t xml:space="preserve">a fin de garantizar la </w:t>
      </w:r>
      <w:r w:rsidR="001E76F6">
        <w:rPr>
          <w:lang w:val="es-ES_tradnl"/>
        </w:rPr>
        <w:t>continuidad</w:t>
      </w:r>
      <w:r w:rsidR="00A13BEA" w:rsidRPr="00B924EB">
        <w:rPr>
          <w:lang w:val="es-ES_tradnl"/>
        </w:rPr>
        <w:t xml:space="preserve"> </w:t>
      </w:r>
      <w:r w:rsidR="00CB2DA1">
        <w:rPr>
          <w:lang w:val="es-ES_tradnl"/>
        </w:rPr>
        <w:t xml:space="preserve">de las </w:t>
      </w:r>
      <w:r w:rsidR="004D7BCB">
        <w:rPr>
          <w:lang w:val="es-ES_tradnl"/>
        </w:rPr>
        <w:t xml:space="preserve">actividades </w:t>
      </w:r>
      <w:r w:rsidR="000575E2">
        <w:rPr>
          <w:lang w:val="es-ES_tradnl"/>
        </w:rPr>
        <w:t xml:space="preserve">sectoriales </w:t>
      </w:r>
      <w:r w:rsidR="000C2DFB">
        <w:rPr>
          <w:lang w:val="es-ES_tradnl"/>
        </w:rPr>
        <w:t xml:space="preserve">después de </w:t>
      </w:r>
      <w:r w:rsidR="00755C5D" w:rsidRPr="00B924EB">
        <w:rPr>
          <w:lang w:val="es-ES_tradnl"/>
        </w:rPr>
        <w:t>diciembre</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693DB2" w:rsidRPr="00B924EB">
        <w:rPr>
          <w:lang w:val="es-ES_tradnl"/>
        </w:rPr>
        <w:t>202</w:t>
      </w:r>
      <w:r w:rsidR="00D4038D">
        <w:rPr>
          <w:lang w:val="es-ES_tradnl"/>
        </w:rPr>
        <w:t>1,</w:t>
      </w:r>
      <w:r w:rsidR="00A13BEA" w:rsidRPr="00B924EB">
        <w:rPr>
          <w:lang w:val="es-ES_tradnl"/>
        </w:rPr>
        <w:t xml:space="preserve"> </w:t>
      </w:r>
      <w:r w:rsidR="009532F5">
        <w:rPr>
          <w:lang w:val="es-ES_tradnl"/>
        </w:rPr>
        <w:t>en especial</w:t>
      </w:r>
      <w:r w:rsidR="00A13BEA" w:rsidRPr="00B924EB">
        <w:rPr>
          <w:lang w:val="es-ES_tradnl"/>
        </w:rPr>
        <w:t xml:space="preserve"> </w:t>
      </w:r>
      <w:r w:rsidR="00E1019B">
        <w:rPr>
          <w:lang w:val="es-ES_tradnl"/>
        </w:rPr>
        <w:t xml:space="preserve">el diseño </w:t>
      </w:r>
      <w:r w:rsidR="005E1320" w:rsidRPr="00B924EB">
        <w:rPr>
          <w:lang w:val="es-ES_tradnl"/>
        </w:rPr>
        <w:t>de</w:t>
      </w:r>
      <w:r w:rsidR="00A13BEA" w:rsidRPr="00B924EB">
        <w:rPr>
          <w:lang w:val="es-ES_tradnl"/>
        </w:rPr>
        <w:t xml:space="preserve"> </w:t>
      </w:r>
      <w:r w:rsidR="005E1320" w:rsidRPr="00B924EB">
        <w:rPr>
          <w:lang w:val="es-ES_tradnl"/>
        </w:rPr>
        <w:t>políticas</w:t>
      </w:r>
      <w:r w:rsidR="00B17D6A">
        <w:rPr>
          <w:lang w:val="es-ES_tradnl"/>
        </w:rPr>
        <w:t xml:space="preserve">, </w:t>
      </w:r>
      <w:r w:rsidR="00B924EB">
        <w:rPr>
          <w:lang w:val="es-ES_tradnl"/>
        </w:rPr>
        <w:t>la capacitación</w:t>
      </w:r>
      <w:r w:rsidR="00A13BEA" w:rsidRPr="00B924EB">
        <w:rPr>
          <w:lang w:val="es-ES_tradnl"/>
        </w:rPr>
        <w:t xml:space="preserve"> </w:t>
      </w:r>
      <w:r w:rsidR="00755C5D" w:rsidRPr="00B924EB">
        <w:rPr>
          <w:lang w:val="es-ES_tradnl"/>
        </w:rPr>
        <w:t>y</w:t>
      </w:r>
      <w:r w:rsidR="00A13BEA" w:rsidRPr="00B924EB">
        <w:rPr>
          <w:lang w:val="es-ES_tradnl"/>
        </w:rPr>
        <w:t xml:space="preserve"> </w:t>
      </w:r>
      <w:r w:rsidR="00E26F0F" w:rsidRPr="00B924EB">
        <w:rPr>
          <w:lang w:val="es-ES_tradnl"/>
        </w:rPr>
        <w:t>acreditación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E26F0F" w:rsidRPr="00B924EB">
        <w:rPr>
          <w:lang w:val="es-ES_tradnl"/>
        </w:rPr>
        <w:t>técnico</w:t>
      </w:r>
      <w:r w:rsidR="008C62CF" w:rsidRPr="00B924EB">
        <w:rPr>
          <w:lang w:val="es-ES_tradnl"/>
        </w:rPr>
        <w:t>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AA01CC">
        <w:rPr>
          <w:lang w:val="es-ES_tradnl"/>
        </w:rPr>
        <w:t xml:space="preserve">la asistencia </w:t>
      </w:r>
      <w:r w:rsidR="003101A6">
        <w:rPr>
          <w:lang w:val="es-ES_tradnl"/>
        </w:rPr>
        <w:t xml:space="preserve">al </w:t>
      </w:r>
      <w:r w:rsidR="00755C5D" w:rsidRPr="00B924EB">
        <w:rPr>
          <w:lang w:val="es-ES_tradnl"/>
        </w:rPr>
        <w:t>Gobierno</w:t>
      </w:r>
      <w:r w:rsidR="00A13BEA" w:rsidRPr="00B924EB">
        <w:rPr>
          <w:lang w:val="es-ES_tradnl"/>
        </w:rPr>
        <w:t xml:space="preserve"> </w:t>
      </w:r>
      <w:r w:rsidR="007811EF">
        <w:rPr>
          <w:lang w:val="es-ES_tradnl"/>
        </w:rPr>
        <w:t>par</w:t>
      </w:r>
      <w:r w:rsidR="006B06F4">
        <w:rPr>
          <w:lang w:val="es-ES_tradnl"/>
        </w:rPr>
        <w:t xml:space="preserve">a lograr </w:t>
      </w:r>
      <w:r w:rsidR="00B66CEF">
        <w:rPr>
          <w:lang w:val="es-ES_tradnl"/>
        </w:rPr>
        <w:t xml:space="preserve">nuevas </w:t>
      </w:r>
      <w:r w:rsidR="00D01DC2" w:rsidRPr="00B924EB">
        <w:rPr>
          <w:lang w:val="es-ES_tradnl"/>
        </w:rPr>
        <w:t>reducciones</w:t>
      </w:r>
      <w:r w:rsidR="00A13BEA" w:rsidRPr="00B924EB">
        <w:rPr>
          <w:lang w:val="es-ES_tradnl"/>
        </w:rPr>
        <w:t xml:space="preserve"> </w:t>
      </w:r>
      <w:r w:rsidR="00FA6BC3">
        <w:rPr>
          <w:lang w:val="es-ES_tradnl"/>
        </w:rPr>
        <w:t xml:space="preserve">de </w:t>
      </w:r>
      <w:r w:rsidR="00FA6BC3" w:rsidRPr="00FA6BC3">
        <w:rPr>
          <w:lang w:val="es-ES_tradnl"/>
        </w:rPr>
        <w:t xml:space="preserve">HCFC </w:t>
      </w:r>
      <w:r w:rsidR="00755C5D" w:rsidRPr="00B924EB">
        <w:rPr>
          <w:lang w:val="es-ES_tradnl"/>
        </w:rPr>
        <w:t>y</w:t>
      </w:r>
      <w:r w:rsidR="00A13BEA" w:rsidRPr="00B924EB">
        <w:rPr>
          <w:lang w:val="es-ES_tradnl"/>
        </w:rPr>
        <w:t xml:space="preserve"> </w:t>
      </w:r>
      <w:r w:rsidR="00007EF9">
        <w:rPr>
          <w:lang w:val="es-ES_tradnl"/>
        </w:rPr>
        <w:t xml:space="preserve">cumplir con </w:t>
      </w:r>
      <w:r w:rsidR="00E440EC">
        <w:rPr>
          <w:lang w:val="es-ES_tradnl"/>
        </w:rPr>
        <w:t xml:space="preserve">las </w:t>
      </w:r>
      <w:r w:rsidR="00B20698">
        <w:rPr>
          <w:lang w:val="es-ES_tradnl"/>
        </w:rPr>
        <w:t xml:space="preserve">obligaciones </w:t>
      </w:r>
      <w:r w:rsidR="001221EC">
        <w:rPr>
          <w:lang w:val="es-ES_tradnl"/>
        </w:rPr>
        <w:t xml:space="preserve">previstas en el </w:t>
      </w:r>
      <w:r w:rsidR="00755C5D" w:rsidRPr="00B924EB">
        <w:rPr>
          <w:lang w:val="es-ES_tradnl"/>
        </w:rPr>
        <w:t>Protocolo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Montreal</w:t>
      </w:r>
      <w:r w:rsidR="001C42D7" w:rsidRPr="00B924EB">
        <w:rPr>
          <w:lang w:val="es-ES_tradnl"/>
        </w:rPr>
        <w:t>.</w:t>
      </w:r>
    </w:p>
    <w:p w14:paraId="2E52C302" w14:textId="68D651B0" w:rsidR="00AE32F1" w:rsidRPr="00B924EB" w:rsidRDefault="00B41F7E" w:rsidP="001760D8">
      <w:pPr>
        <w:pStyle w:val="Heading1"/>
        <w:rPr>
          <w:lang w:val="es-ES_tradnl"/>
        </w:rPr>
      </w:pPr>
      <w:r>
        <w:rPr>
          <w:lang w:val="es-ES_tradnl"/>
        </w:rPr>
        <w:t xml:space="preserve">Ante </w:t>
      </w:r>
      <w:r w:rsidRPr="00B41F7E">
        <w:rPr>
          <w:lang w:val="es-ES_tradnl"/>
        </w:rPr>
        <w:t>la demora en ejecutar la etapa I</w:t>
      </w:r>
      <w:r>
        <w:rPr>
          <w:lang w:val="es-ES_tradnl"/>
        </w:rPr>
        <w:t>, y a</w:t>
      </w:r>
      <w:r w:rsidR="005E5E18">
        <w:rPr>
          <w:lang w:val="es-ES_tradnl"/>
        </w:rPr>
        <w:t xml:space="preserve"> objeto de </w:t>
      </w:r>
      <w:r w:rsidR="00D77D5B">
        <w:rPr>
          <w:lang w:val="es-ES_tradnl"/>
        </w:rPr>
        <w:t xml:space="preserve">determinar </w:t>
      </w:r>
      <w:r w:rsidR="00555C9D">
        <w:rPr>
          <w:lang w:val="es-ES_tradnl"/>
        </w:rPr>
        <w:t xml:space="preserve">si es posible </w:t>
      </w:r>
      <w:r w:rsidR="00005E56">
        <w:rPr>
          <w:lang w:val="es-ES_tradnl"/>
        </w:rPr>
        <w:t xml:space="preserve">evaluar </w:t>
      </w:r>
      <w:r w:rsidR="003208A7" w:rsidRPr="00B924EB">
        <w:rPr>
          <w:lang w:val="es-ES_tradnl"/>
        </w:rPr>
        <w:t>la</w:t>
      </w:r>
      <w:r w:rsidR="00A13BEA" w:rsidRPr="00B924EB">
        <w:rPr>
          <w:lang w:val="es-ES_tradnl"/>
        </w:rPr>
        <w:t xml:space="preserve"> </w:t>
      </w:r>
      <w:r w:rsidR="003208A7" w:rsidRPr="00B924EB">
        <w:rPr>
          <w:lang w:val="es-ES_tradnl"/>
        </w:rPr>
        <w:t>solicitud</w:t>
      </w:r>
      <w:r w:rsidR="00A13BEA" w:rsidRPr="00B924EB">
        <w:rPr>
          <w:lang w:val="es-ES_tradnl"/>
        </w:rPr>
        <w:t xml:space="preserve"> </w:t>
      </w:r>
      <w:r w:rsidR="009374DA" w:rsidRPr="00B924EB">
        <w:rPr>
          <w:lang w:val="es-ES_tradnl"/>
        </w:rPr>
        <w:t>para</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FC65D8"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A13BEA" w:rsidRPr="00B924EB">
        <w:rPr>
          <w:lang w:val="es-ES_tradnl"/>
        </w:rPr>
        <w:t xml:space="preserve"> </w:t>
      </w:r>
      <w:r w:rsidR="00C134C5">
        <w:rPr>
          <w:lang w:val="es-ES_tradnl"/>
        </w:rPr>
        <w:t>en la 8</w:t>
      </w:r>
      <w:r w:rsidR="00E26F0F" w:rsidRPr="00B924EB">
        <w:rPr>
          <w:lang w:val="es-ES_tradnl"/>
        </w:rPr>
        <w:t>7</w:t>
      </w:r>
      <w:r w:rsidR="004135A5" w:rsidRPr="00B924EB">
        <w:rPr>
          <w:lang w:val="es-ES_tradnl"/>
        </w:rPr>
        <w:t>ª reunión</w:t>
      </w:r>
      <w:r w:rsidR="00FC65D8" w:rsidRPr="00B924EB">
        <w:rPr>
          <w:lang w:val="es-ES_tradnl"/>
        </w:rPr>
        <w:t>,</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Secretaría</w:t>
      </w:r>
      <w:r w:rsidR="00A13BEA" w:rsidRPr="00B924EB">
        <w:rPr>
          <w:lang w:val="es-ES_tradnl"/>
        </w:rPr>
        <w:t xml:space="preserve"> </w:t>
      </w:r>
      <w:r w:rsidR="003208A7" w:rsidRPr="00B924EB">
        <w:rPr>
          <w:lang w:val="es-ES_tradnl"/>
        </w:rPr>
        <w:t>solicitó</w:t>
      </w:r>
      <w:r w:rsidR="00A13BEA" w:rsidRPr="00B924EB">
        <w:rPr>
          <w:lang w:val="es-ES_tradnl"/>
        </w:rPr>
        <w:t xml:space="preserve"> </w:t>
      </w:r>
      <w:r w:rsidR="00C45634">
        <w:rPr>
          <w:lang w:val="es-ES_tradnl"/>
        </w:rPr>
        <w:t>a</w:t>
      </w:r>
      <w:r w:rsidR="00755C5D" w:rsidRPr="00B924EB">
        <w:rPr>
          <w:lang w:val="es-ES_tradnl"/>
        </w:rPr>
        <w:t>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A44FB7">
        <w:rPr>
          <w:lang w:val="es-ES_tradnl"/>
        </w:rPr>
        <w:t xml:space="preserve">mayores </w:t>
      </w:r>
      <w:r w:rsidR="00A13BEA" w:rsidRPr="00B924EB">
        <w:rPr>
          <w:lang w:val="es-ES_tradnl"/>
        </w:rPr>
        <w:t xml:space="preserve">detalles </w:t>
      </w:r>
      <w:r w:rsidR="003D68EC">
        <w:rPr>
          <w:lang w:val="es-ES_tradnl"/>
        </w:rPr>
        <w:t xml:space="preserve">sobre </w:t>
      </w:r>
      <w:r w:rsidR="007E19AF">
        <w:rPr>
          <w:lang w:val="es-ES_tradnl"/>
        </w:rPr>
        <w:t xml:space="preserve">la situación actual del </w:t>
      </w:r>
      <w:r w:rsidR="000521A3" w:rsidRPr="00B924EB">
        <w:rPr>
          <w:lang w:val="es-ES_tradnl"/>
        </w:rPr>
        <w:t>país</w:t>
      </w:r>
      <w:r w:rsidR="007E19AF">
        <w:rPr>
          <w:lang w:val="es-ES_tradnl"/>
        </w:rPr>
        <w:t>.</w:t>
      </w:r>
      <w:r w:rsidR="00A13BEA" w:rsidRPr="00B924EB">
        <w:rPr>
          <w:lang w:val="es-ES_tradnl"/>
        </w:rPr>
        <w:t xml:space="preserve"> </w:t>
      </w:r>
      <w:r w:rsidR="009374DA" w:rsidRPr="00B924EB">
        <w:rPr>
          <w:lang w:val="es-ES_tradnl"/>
        </w:rPr>
        <w:t>En</w:t>
      </w:r>
      <w:r w:rsidR="00A13BEA" w:rsidRPr="00B924EB">
        <w:rPr>
          <w:lang w:val="es-ES_tradnl"/>
        </w:rPr>
        <w:t xml:space="preserve"> </w:t>
      </w:r>
      <w:r w:rsidR="00524385">
        <w:rPr>
          <w:lang w:val="es-ES_tradnl"/>
        </w:rPr>
        <w:t>respuesta</w:t>
      </w:r>
      <w:r w:rsidR="00FC65D8" w:rsidRPr="00B924EB">
        <w:rPr>
          <w:lang w:val="es-ES_tradnl"/>
        </w:rPr>
        <w:t>,</w:t>
      </w:r>
      <w:r w:rsidR="00A13BEA" w:rsidRPr="00B924EB">
        <w:rPr>
          <w:lang w:val="es-ES_tradnl"/>
        </w:rPr>
        <w:t xml:space="preserve"> </w:t>
      </w:r>
      <w:r w:rsidR="00755C5D"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5E3CD4" w:rsidRPr="005E3CD4">
        <w:rPr>
          <w:lang w:val="es-ES_tradnl"/>
        </w:rPr>
        <w:t>ratificó</w:t>
      </w:r>
      <w:r w:rsidR="005E3CD4">
        <w:rPr>
          <w:lang w:val="es-ES_tradnl"/>
        </w:rPr>
        <w:t xml:space="preserve"> e</w:t>
      </w:r>
      <w:r w:rsidR="007F25EA">
        <w:rPr>
          <w:lang w:val="es-ES_tradnl"/>
        </w:rPr>
        <w:t xml:space="preserve">l firme </w:t>
      </w:r>
      <w:r w:rsidR="005E1320" w:rsidRPr="00B924EB">
        <w:rPr>
          <w:lang w:val="es-ES_tradnl"/>
        </w:rPr>
        <w:t>compromiso</w:t>
      </w:r>
      <w:r w:rsidR="00A13BEA" w:rsidRPr="00B924EB">
        <w:rPr>
          <w:lang w:val="es-ES_tradnl"/>
        </w:rPr>
        <w:t xml:space="preserve"> </w:t>
      </w:r>
      <w:r w:rsidR="005E1320" w:rsidRPr="00B924EB">
        <w:rPr>
          <w:lang w:val="es-ES_tradnl"/>
        </w:rPr>
        <w:t>d</w:t>
      </w:r>
      <w:r w:rsidR="00AA6716" w:rsidRPr="00B924EB">
        <w:rPr>
          <w:lang w:val="es-ES_tradnl"/>
        </w:rPr>
        <w:t>el</w:t>
      </w:r>
      <w:r w:rsidR="00A13BEA" w:rsidRPr="00B924EB">
        <w:rPr>
          <w:lang w:val="es-ES_tradnl"/>
        </w:rPr>
        <w:t xml:space="preserve"> </w:t>
      </w:r>
      <w:r w:rsidR="00AA6716" w:rsidRPr="00B924EB">
        <w:rPr>
          <w:lang w:val="es-ES_tradnl"/>
        </w:rPr>
        <w:t>Gobierno</w:t>
      </w:r>
      <w:r w:rsidR="00A13BEA" w:rsidRPr="00B924EB">
        <w:rPr>
          <w:lang w:val="es-ES_tradnl"/>
        </w:rPr>
        <w:t xml:space="preserve"> </w:t>
      </w:r>
      <w:r w:rsidR="00AA6716" w:rsidRPr="00B924EB">
        <w:rPr>
          <w:lang w:val="es-ES_tradnl"/>
        </w:rPr>
        <w:t>de</w:t>
      </w:r>
      <w:r w:rsidR="00A13BEA" w:rsidRPr="00B924EB">
        <w:rPr>
          <w:lang w:val="es-ES_tradnl"/>
        </w:rPr>
        <w:t xml:space="preserve"> </w:t>
      </w:r>
      <w:r w:rsidR="00B46043" w:rsidRPr="00B924EB">
        <w:rPr>
          <w:lang w:val="es-ES_tradnl"/>
        </w:rPr>
        <w:t>Iraq</w:t>
      </w:r>
      <w:r w:rsidR="001760D8" w:rsidRPr="00B924EB">
        <w:rPr>
          <w:lang w:val="es-ES_tradnl"/>
        </w:rPr>
        <w:t>,</w:t>
      </w:r>
      <w:r w:rsidR="00A13BEA" w:rsidRPr="00B924EB">
        <w:rPr>
          <w:lang w:val="es-ES_tradnl"/>
        </w:rPr>
        <w:t xml:space="preserve"> </w:t>
      </w:r>
      <w:r w:rsidR="001903A0">
        <w:rPr>
          <w:lang w:val="es-ES_tradnl"/>
        </w:rPr>
        <w:t>d</w:t>
      </w:r>
      <w:r w:rsidR="00755C5D"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755C5D" w:rsidRPr="00B924EB">
        <w:rPr>
          <w:lang w:val="es-ES_tradnl"/>
        </w:rPr>
        <w:t>y</w:t>
      </w:r>
      <w:r w:rsidR="00A13BEA" w:rsidRPr="00B924EB">
        <w:rPr>
          <w:lang w:val="es-ES_tradnl"/>
        </w:rPr>
        <w:t xml:space="preserve"> </w:t>
      </w:r>
      <w:r w:rsidR="001903A0">
        <w:rPr>
          <w:lang w:val="es-ES_tradnl"/>
        </w:rPr>
        <w:t xml:space="preserve">de </w:t>
      </w:r>
      <w:r w:rsidR="00755C5D" w:rsidRPr="00B924EB">
        <w:rPr>
          <w:lang w:val="es-ES_tradnl"/>
        </w:rPr>
        <w:t>la</w:t>
      </w:r>
      <w:r w:rsidR="00A13BEA" w:rsidRPr="00B924EB">
        <w:rPr>
          <w:lang w:val="es-ES_tradnl"/>
        </w:rPr>
        <w:t xml:space="preserve"> </w:t>
      </w:r>
      <w:r w:rsidR="00755C5D" w:rsidRPr="00B924EB">
        <w:rPr>
          <w:lang w:val="es-ES_tradnl"/>
        </w:rPr>
        <w:t>ONUDI</w:t>
      </w:r>
      <w:r w:rsidR="00A13BEA" w:rsidRPr="00B924EB">
        <w:rPr>
          <w:lang w:val="es-ES_tradnl"/>
        </w:rPr>
        <w:t xml:space="preserve"> </w:t>
      </w:r>
      <w:r w:rsidR="002E0D96">
        <w:rPr>
          <w:lang w:val="es-ES_tradnl"/>
        </w:rPr>
        <w:t xml:space="preserve">en cuanto a </w:t>
      </w:r>
      <w:r w:rsidR="001E2F32" w:rsidRPr="001E2F32">
        <w:rPr>
          <w:lang w:val="es-ES_tradnl"/>
        </w:rPr>
        <w:t xml:space="preserve">llevar a término </w:t>
      </w:r>
      <w:r w:rsidR="002F540B">
        <w:rPr>
          <w:lang w:val="es-ES_tradnl"/>
        </w:rPr>
        <w:t>todas las actividades</w:t>
      </w:r>
      <w:r w:rsidR="004D7BCB">
        <w:rPr>
          <w:lang w:val="es-ES_tradnl"/>
        </w:rPr>
        <w:t xml:space="preserve"> en curso</w:t>
      </w:r>
      <w:r w:rsidR="00A13BEA" w:rsidRPr="00B924EB">
        <w:rPr>
          <w:lang w:val="es-ES_tradnl"/>
        </w:rPr>
        <w:t xml:space="preserve"> </w:t>
      </w:r>
      <w:r w:rsidR="00325B50">
        <w:rPr>
          <w:lang w:val="es-ES_tradnl"/>
        </w:rPr>
        <w:t xml:space="preserve">de </w:t>
      </w:r>
      <w:r w:rsidR="001A1006" w:rsidRPr="00B924EB">
        <w:rPr>
          <w:lang w:val="es-ES_tradnl"/>
        </w:rPr>
        <w:t>la</w:t>
      </w:r>
      <w:r w:rsidR="00A13BEA" w:rsidRPr="00B924EB">
        <w:rPr>
          <w:lang w:val="es-ES_tradnl"/>
        </w:rPr>
        <w:t xml:space="preserve"> </w:t>
      </w:r>
      <w:r w:rsidR="001A1006"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E24F20">
        <w:rPr>
          <w:lang w:val="es-ES_tradnl"/>
        </w:rPr>
        <w:t xml:space="preserve">dentro del </w:t>
      </w:r>
      <w:r w:rsidR="00E525FD">
        <w:rPr>
          <w:lang w:val="es-ES_tradnl"/>
        </w:rPr>
        <w:t xml:space="preserve">nuevo </w:t>
      </w:r>
      <w:r w:rsidR="00E24F20">
        <w:rPr>
          <w:lang w:val="es-ES_tradnl"/>
        </w:rPr>
        <w:t xml:space="preserve">plazo </w:t>
      </w:r>
      <w:r w:rsidR="00755C5D" w:rsidRPr="00B924EB">
        <w:rPr>
          <w:lang w:val="es-ES_tradnl"/>
        </w:rPr>
        <w:t>aprobado</w:t>
      </w:r>
      <w:r w:rsidR="00A13BEA" w:rsidRPr="00B924EB">
        <w:rPr>
          <w:lang w:val="es-ES_tradnl"/>
        </w:rPr>
        <w:t xml:space="preserve"> </w:t>
      </w:r>
      <w:r w:rsidR="00363607" w:rsidRPr="00B924EB">
        <w:rPr>
          <w:lang w:val="es-ES_tradnl"/>
        </w:rPr>
        <w:t>por</w:t>
      </w:r>
      <w:r w:rsidR="00A13BEA" w:rsidRPr="00B924EB">
        <w:rPr>
          <w:lang w:val="es-ES_tradnl"/>
        </w:rPr>
        <w:t xml:space="preserve"> </w:t>
      </w:r>
      <w:r w:rsidR="00363607" w:rsidRPr="00B924EB">
        <w:rPr>
          <w:lang w:val="es-ES_tradnl"/>
        </w:rPr>
        <w:t>el</w:t>
      </w:r>
      <w:r w:rsidR="00A13BEA" w:rsidRPr="00B924EB">
        <w:rPr>
          <w:lang w:val="es-ES_tradnl"/>
        </w:rPr>
        <w:t xml:space="preserve"> </w:t>
      </w:r>
      <w:r w:rsidR="009374DA" w:rsidRPr="00B924EB">
        <w:rPr>
          <w:lang w:val="es-ES_tradnl"/>
        </w:rPr>
        <w:t>Comité</w:t>
      </w:r>
      <w:r w:rsidR="00A13BEA" w:rsidRPr="00B924EB">
        <w:rPr>
          <w:lang w:val="es-ES_tradnl"/>
        </w:rPr>
        <w:t xml:space="preserve"> </w:t>
      </w:r>
      <w:r w:rsidR="00755C5D" w:rsidRPr="00B924EB">
        <w:rPr>
          <w:lang w:val="es-ES_tradnl"/>
        </w:rPr>
        <w:t>Ejecutivo</w:t>
      </w:r>
      <w:r w:rsidR="009830C1">
        <w:rPr>
          <w:lang w:val="es-ES_tradnl"/>
        </w:rPr>
        <w:t>,</w:t>
      </w:r>
      <w:r w:rsidR="00A13BEA" w:rsidRPr="00B924EB">
        <w:rPr>
          <w:lang w:val="es-ES_tradnl"/>
        </w:rPr>
        <w:t xml:space="preserve"> </w:t>
      </w:r>
      <w:r w:rsidR="00170286">
        <w:rPr>
          <w:lang w:val="es-ES_tradnl"/>
        </w:rPr>
        <w:t xml:space="preserve">agregando que </w:t>
      </w:r>
      <w:r w:rsidR="000235EB" w:rsidRPr="000235EB">
        <w:rPr>
          <w:lang w:val="es-ES_tradnl"/>
        </w:rPr>
        <w:t xml:space="preserve">las dificultades </w:t>
      </w:r>
      <w:r w:rsidR="00CB163E">
        <w:rPr>
          <w:lang w:val="es-ES_tradnl"/>
        </w:rPr>
        <w:t xml:space="preserve">informadas </w:t>
      </w:r>
      <w:r w:rsidR="009374DA" w:rsidRPr="00B924EB">
        <w:rPr>
          <w:lang w:val="es-ES_tradnl"/>
        </w:rPr>
        <w:t>en</w:t>
      </w:r>
      <w:r w:rsidR="00A13BEA" w:rsidRPr="00B924EB">
        <w:rPr>
          <w:lang w:val="es-ES_tradnl"/>
        </w:rPr>
        <w:t xml:space="preserve"> </w:t>
      </w:r>
      <w:r w:rsidR="00913096">
        <w:rPr>
          <w:lang w:val="es-ES_tradnl"/>
        </w:rPr>
        <w:t>años anteriores</w:t>
      </w:r>
      <w:r w:rsidR="00B46043" w:rsidRPr="00B924EB">
        <w:rPr>
          <w:lang w:val="es-ES_tradnl"/>
        </w:rPr>
        <w:t>,</w:t>
      </w:r>
      <w:r w:rsidR="00A13BEA" w:rsidRPr="00B924EB">
        <w:rPr>
          <w:lang w:val="es-ES_tradnl"/>
        </w:rPr>
        <w:t xml:space="preserve"> </w:t>
      </w:r>
      <w:r w:rsidR="00B62D46">
        <w:rPr>
          <w:lang w:val="es-ES_tradnl"/>
        </w:rPr>
        <w:t xml:space="preserve">entre ellas </w:t>
      </w:r>
      <w:r w:rsidR="00651787">
        <w:rPr>
          <w:lang w:val="es-ES_tradnl"/>
        </w:rPr>
        <w:t xml:space="preserve">las </w:t>
      </w:r>
      <w:r w:rsidR="009E1743">
        <w:rPr>
          <w:lang w:val="es-ES_tradnl"/>
        </w:rPr>
        <w:t xml:space="preserve">relativas a la </w:t>
      </w:r>
      <w:r w:rsidR="00651787">
        <w:rPr>
          <w:lang w:val="es-ES_tradnl"/>
        </w:rPr>
        <w:t xml:space="preserve">entrega </w:t>
      </w:r>
      <w:r w:rsidR="009E1743">
        <w:rPr>
          <w:lang w:val="es-ES_tradnl"/>
        </w:rPr>
        <w:t xml:space="preserve">y gestión de </w:t>
      </w:r>
      <w:r w:rsidR="00B35E1B">
        <w:rPr>
          <w:lang w:val="es-ES_tradnl"/>
        </w:rPr>
        <w:t xml:space="preserve">recursos </w:t>
      </w:r>
      <w:r w:rsidR="004F3EE6">
        <w:rPr>
          <w:lang w:val="es-ES_tradnl"/>
        </w:rPr>
        <w:t xml:space="preserve">adjudicados por </w:t>
      </w:r>
      <w:r w:rsidR="008150F9">
        <w:rPr>
          <w:lang w:val="es-ES_tradnl"/>
        </w:rPr>
        <w:t xml:space="preserve">el </w:t>
      </w:r>
      <w:r w:rsidR="009374DA" w:rsidRPr="00B924EB">
        <w:rPr>
          <w:lang w:val="es-ES_tradnl"/>
        </w:rPr>
        <w:t>Fondo</w:t>
      </w:r>
      <w:r w:rsidR="00A13BEA" w:rsidRPr="00B924EB">
        <w:rPr>
          <w:lang w:val="es-ES_tradnl"/>
        </w:rPr>
        <w:t xml:space="preserve"> </w:t>
      </w:r>
      <w:r w:rsidR="00755C5D" w:rsidRPr="00B924EB">
        <w:rPr>
          <w:lang w:val="es-ES_tradnl"/>
        </w:rPr>
        <w:t>Multilateral</w:t>
      </w:r>
      <w:r w:rsidR="001760D8" w:rsidRPr="00B924EB">
        <w:rPr>
          <w:lang w:val="es-ES_tradnl"/>
        </w:rPr>
        <w:t>,</w:t>
      </w:r>
      <w:r w:rsidR="00A13BEA" w:rsidRPr="00B924EB">
        <w:rPr>
          <w:lang w:val="es-ES_tradnl"/>
        </w:rPr>
        <w:t xml:space="preserve"> </w:t>
      </w:r>
      <w:r w:rsidR="00A52718">
        <w:rPr>
          <w:lang w:val="es-ES_tradnl"/>
        </w:rPr>
        <w:t>se han resuelto en su totalidad</w:t>
      </w:r>
      <w:r w:rsidR="001760D8" w:rsidRPr="00B924EB">
        <w:rPr>
          <w:lang w:val="es-ES_tradnl"/>
        </w:rPr>
        <w:t>.</w:t>
      </w:r>
      <w:r w:rsidR="00A13BEA" w:rsidRPr="00B924EB">
        <w:rPr>
          <w:lang w:val="es-ES_tradnl"/>
        </w:rPr>
        <w:t xml:space="preserve"> </w:t>
      </w:r>
      <w:r w:rsidR="00D01E6D">
        <w:rPr>
          <w:lang w:val="es-ES_tradnl"/>
        </w:rPr>
        <w:t>Aunque</w:t>
      </w:r>
      <w:r w:rsidR="003978C7">
        <w:rPr>
          <w:lang w:val="es-ES_tradnl"/>
        </w:rPr>
        <w:t xml:space="preserve"> </w:t>
      </w:r>
      <w:r w:rsidR="0003304E">
        <w:rPr>
          <w:lang w:val="es-ES_tradnl"/>
        </w:rPr>
        <w:t>la</w:t>
      </w:r>
      <w:r w:rsidR="005E49FC">
        <w:rPr>
          <w:lang w:val="es-ES_tradnl"/>
        </w:rPr>
        <w:t xml:space="preserve"> </w:t>
      </w:r>
      <w:r w:rsidR="003208A7" w:rsidRPr="00B924EB">
        <w:rPr>
          <w:lang w:val="es-ES_tradnl"/>
        </w:rPr>
        <w:t>contención</w:t>
      </w:r>
      <w:r w:rsidR="00A13BEA" w:rsidRPr="00B924EB">
        <w:rPr>
          <w:lang w:val="es-ES_tradnl"/>
        </w:rPr>
        <w:t xml:space="preserve"> </w:t>
      </w:r>
      <w:r w:rsidR="005E49FC">
        <w:rPr>
          <w:lang w:val="es-ES_tradnl"/>
        </w:rPr>
        <w:t xml:space="preserve">de la pandemia del </w:t>
      </w:r>
      <w:r w:rsidR="005E49FC" w:rsidRPr="005E49FC">
        <w:rPr>
          <w:lang w:val="es-ES_tradnl"/>
        </w:rPr>
        <w:t xml:space="preserve">Covid-19 </w:t>
      </w:r>
      <w:r w:rsidR="0003304E">
        <w:rPr>
          <w:lang w:val="es-ES_tradnl"/>
        </w:rPr>
        <w:t>ha</w:t>
      </w:r>
      <w:r w:rsidR="00D0422F">
        <w:rPr>
          <w:lang w:val="es-ES_tradnl"/>
        </w:rPr>
        <w:t xml:space="preserve"> </w:t>
      </w:r>
      <w:r w:rsidR="006B5E03">
        <w:rPr>
          <w:lang w:val="es-ES_tradnl"/>
        </w:rPr>
        <w:t>generado</w:t>
      </w:r>
      <w:r w:rsidR="00374BF0">
        <w:rPr>
          <w:lang w:val="es-ES_tradnl"/>
        </w:rPr>
        <w:t xml:space="preserve"> </w:t>
      </w:r>
      <w:r w:rsidR="00024FC7">
        <w:rPr>
          <w:lang w:val="es-ES_tradnl"/>
        </w:rPr>
        <w:t xml:space="preserve">problemas </w:t>
      </w:r>
      <w:r w:rsidR="004135A5" w:rsidRPr="00B924EB">
        <w:rPr>
          <w:lang w:val="es-ES_tradnl"/>
        </w:rPr>
        <w:t>operativo</w:t>
      </w:r>
      <w:r w:rsidR="00024FC7">
        <w:rPr>
          <w:lang w:val="es-ES_tradnl"/>
        </w:rPr>
        <w:t>s</w:t>
      </w:r>
      <w:r w:rsidR="00AE32F1" w:rsidRPr="00B924EB">
        <w:rPr>
          <w:lang w:val="es-ES_tradnl"/>
        </w:rPr>
        <w:t>,</w:t>
      </w:r>
      <w:r w:rsidR="00A13BEA" w:rsidRPr="00B924EB">
        <w:rPr>
          <w:lang w:val="es-ES_tradnl"/>
        </w:rPr>
        <w:t xml:space="preserve"> </w:t>
      </w:r>
      <w:r w:rsidR="00755C5D"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D61686">
        <w:rPr>
          <w:lang w:val="es-ES_tradnl"/>
        </w:rPr>
        <w:t>confirm</w:t>
      </w:r>
      <w:r w:rsidR="006424BB">
        <w:rPr>
          <w:lang w:val="es-ES_tradnl"/>
        </w:rPr>
        <w:t>a</w:t>
      </w:r>
      <w:r w:rsidR="00A13BEA" w:rsidRPr="00B924EB">
        <w:rPr>
          <w:lang w:val="es-ES_tradnl"/>
        </w:rPr>
        <w:t xml:space="preserve"> </w:t>
      </w:r>
      <w:r w:rsidR="001D65BD">
        <w:rPr>
          <w:lang w:val="es-ES_tradnl"/>
        </w:rPr>
        <w:t xml:space="preserve">que es factible </w:t>
      </w:r>
      <w:r w:rsidR="001340FF">
        <w:rPr>
          <w:lang w:val="es-ES_tradnl"/>
        </w:rPr>
        <w:t xml:space="preserve">realizar </w:t>
      </w:r>
      <w:r w:rsidR="002C5E85">
        <w:rPr>
          <w:lang w:val="es-ES_tradnl"/>
        </w:rPr>
        <w:t>las tareas de actualización normativa</w:t>
      </w:r>
      <w:r w:rsidR="00AE32F1" w:rsidRPr="00B924EB">
        <w:rPr>
          <w:lang w:val="es-ES_tradnl"/>
        </w:rPr>
        <w:t>,</w:t>
      </w:r>
      <w:r w:rsidR="00A13BEA" w:rsidRPr="00B924EB">
        <w:rPr>
          <w:lang w:val="es-ES_tradnl"/>
        </w:rPr>
        <w:t xml:space="preserve"> </w:t>
      </w:r>
      <w:r w:rsidR="00825A5C" w:rsidRPr="00825A5C">
        <w:rPr>
          <w:lang w:val="es-ES_tradnl"/>
        </w:rPr>
        <w:t xml:space="preserve">fiscalización </w:t>
      </w:r>
      <w:r w:rsidR="00825A5C">
        <w:rPr>
          <w:lang w:val="es-ES_tradnl"/>
        </w:rPr>
        <w:t>regulatoria</w:t>
      </w:r>
      <w:r w:rsidR="00AE32F1" w:rsidRPr="00B924EB">
        <w:rPr>
          <w:lang w:val="es-ES_tradnl"/>
        </w:rPr>
        <w:t>,</w:t>
      </w:r>
      <w:r w:rsidR="00A13BEA" w:rsidRPr="00B924EB">
        <w:rPr>
          <w:lang w:val="es-ES_tradnl"/>
        </w:rPr>
        <w:t xml:space="preserve"> </w:t>
      </w:r>
      <w:r w:rsidR="009374DA" w:rsidRPr="00B924EB">
        <w:rPr>
          <w:lang w:val="es-ES_tradnl"/>
        </w:rPr>
        <w:t>capacitación</w:t>
      </w:r>
      <w:r w:rsidR="00A13BEA" w:rsidRPr="00B924EB">
        <w:rPr>
          <w:lang w:val="es-ES_tradnl"/>
        </w:rPr>
        <w:t xml:space="preserve"> </w:t>
      </w:r>
      <w:r w:rsidR="005B30F2">
        <w:rPr>
          <w:lang w:val="es-ES_tradnl"/>
        </w:rPr>
        <w:t xml:space="preserve">telemática </w:t>
      </w:r>
      <w:r w:rsidR="00755C5D" w:rsidRPr="00B924EB">
        <w:rPr>
          <w:lang w:val="es-ES_tradnl"/>
        </w:rPr>
        <w:t>y</w:t>
      </w:r>
      <w:r w:rsidR="00A13BEA" w:rsidRPr="00B924EB">
        <w:rPr>
          <w:lang w:val="es-ES_tradnl"/>
        </w:rPr>
        <w:t xml:space="preserve"> </w:t>
      </w:r>
      <w:r w:rsidR="00E26F0F" w:rsidRPr="00B924EB">
        <w:rPr>
          <w:lang w:val="es-ES_tradnl"/>
        </w:rPr>
        <w:t>adquisición</w:t>
      </w:r>
      <w:r w:rsidR="00A13BEA" w:rsidRPr="00B924EB">
        <w:rPr>
          <w:lang w:val="es-ES_tradnl"/>
        </w:rPr>
        <w:t xml:space="preserve"> </w:t>
      </w:r>
      <w:r w:rsidR="00755C5D" w:rsidRPr="00B924EB">
        <w:rPr>
          <w:lang w:val="es-ES_tradnl"/>
        </w:rPr>
        <w:t>y</w:t>
      </w:r>
      <w:r w:rsidR="00A13BEA" w:rsidRPr="00B924EB">
        <w:rPr>
          <w:lang w:val="es-ES_tradnl"/>
        </w:rPr>
        <w:t xml:space="preserve"> </w:t>
      </w:r>
      <w:r w:rsidR="009374DA" w:rsidRPr="00B924EB">
        <w:rPr>
          <w:lang w:val="es-ES_tradnl"/>
        </w:rPr>
        <w:t>distribución</w:t>
      </w:r>
      <w:r w:rsidR="00A13BEA" w:rsidRPr="00B924EB">
        <w:rPr>
          <w:lang w:val="es-ES_tradnl"/>
        </w:rPr>
        <w:t xml:space="preserve"> </w:t>
      </w:r>
      <w:r w:rsidR="00014C89">
        <w:rPr>
          <w:lang w:val="es-ES_tradnl"/>
        </w:rPr>
        <w:t xml:space="preserve">de </w:t>
      </w:r>
      <w:r w:rsidR="00014C89" w:rsidRPr="00014C89">
        <w:rPr>
          <w:lang w:val="es-ES_tradnl"/>
        </w:rPr>
        <w:t>equipos</w:t>
      </w:r>
      <w:r w:rsidR="00DB3D7B" w:rsidRPr="00B924EB">
        <w:rPr>
          <w:lang w:val="es-ES_tradnl"/>
        </w:rPr>
        <w:t>.</w:t>
      </w:r>
      <w:r w:rsidR="00A13BEA" w:rsidRPr="00B924EB">
        <w:rPr>
          <w:lang w:val="es-ES_tradnl"/>
        </w:rPr>
        <w:t xml:space="preserve"> </w:t>
      </w:r>
      <w:r w:rsidR="00EB1002">
        <w:rPr>
          <w:lang w:val="es-ES_tradnl"/>
        </w:rPr>
        <w:t>Además, e</w:t>
      </w:r>
      <w:r w:rsidR="00DB3D7B" w:rsidRPr="00B924EB">
        <w:rPr>
          <w:lang w:val="es-ES_tradnl"/>
        </w:rPr>
        <w:t>l</w:t>
      </w:r>
      <w:r w:rsidR="00A13BEA" w:rsidRPr="00B924EB">
        <w:rPr>
          <w:lang w:val="es-ES_tradnl"/>
        </w:rPr>
        <w:t xml:space="preserve"> </w:t>
      </w:r>
      <w:r w:rsidR="00DB3D7B" w:rsidRPr="00B924EB">
        <w:rPr>
          <w:lang w:val="es-ES_tradnl"/>
        </w:rPr>
        <w:t>PNU</w:t>
      </w:r>
      <w:r w:rsidR="00755C5D" w:rsidRPr="00B924EB">
        <w:rPr>
          <w:lang w:val="es-ES_tradnl"/>
        </w:rPr>
        <w:t>MA</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55C5D" w:rsidRPr="00B924EB">
        <w:rPr>
          <w:lang w:val="es-ES_tradnl"/>
        </w:rPr>
        <w:t>la</w:t>
      </w:r>
      <w:r w:rsidR="00A13BEA" w:rsidRPr="00B924EB">
        <w:rPr>
          <w:lang w:val="es-ES_tradnl"/>
        </w:rPr>
        <w:t xml:space="preserve"> </w:t>
      </w:r>
      <w:r w:rsidR="00755C5D" w:rsidRPr="00B924EB">
        <w:rPr>
          <w:lang w:val="es-ES_tradnl"/>
        </w:rPr>
        <w:t>ONUDI</w:t>
      </w:r>
      <w:r w:rsidR="00A13BEA" w:rsidRPr="00B924EB">
        <w:rPr>
          <w:lang w:val="es-ES_tradnl"/>
        </w:rPr>
        <w:t xml:space="preserve"> </w:t>
      </w:r>
      <w:r w:rsidR="003843A9">
        <w:rPr>
          <w:lang w:val="es-ES_tradnl"/>
        </w:rPr>
        <w:t xml:space="preserve">realizan </w:t>
      </w:r>
      <w:r w:rsidR="00A13BEA" w:rsidRPr="00B924EB">
        <w:rPr>
          <w:lang w:val="es-ES_tradnl"/>
        </w:rPr>
        <w:t>conferencia</w:t>
      </w:r>
      <w:r w:rsidR="001019F6">
        <w:rPr>
          <w:lang w:val="es-ES_tradnl"/>
        </w:rPr>
        <w:t>s</w:t>
      </w:r>
      <w:r w:rsidR="00A13BEA" w:rsidRPr="00B924EB">
        <w:rPr>
          <w:lang w:val="es-ES_tradnl"/>
        </w:rPr>
        <w:t xml:space="preserve"> telefónica</w:t>
      </w:r>
      <w:r w:rsidR="00AE32F1" w:rsidRPr="00B924EB">
        <w:rPr>
          <w:lang w:val="es-ES_tradnl"/>
        </w:rPr>
        <w:t>s</w:t>
      </w:r>
      <w:r w:rsidR="00A13BEA" w:rsidRPr="00B924EB">
        <w:rPr>
          <w:lang w:val="es-ES_tradnl"/>
        </w:rPr>
        <w:t xml:space="preserve"> </w:t>
      </w:r>
      <w:r w:rsidR="001019F6" w:rsidRPr="001019F6">
        <w:rPr>
          <w:lang w:val="es-ES_tradnl"/>
        </w:rPr>
        <w:t>regular</w:t>
      </w:r>
      <w:r w:rsidR="001019F6">
        <w:rPr>
          <w:lang w:val="es-ES_tradnl"/>
        </w:rPr>
        <w:t>es</w:t>
      </w:r>
      <w:r w:rsidR="001019F6" w:rsidRPr="001019F6">
        <w:rPr>
          <w:lang w:val="es-ES_tradnl"/>
        </w:rPr>
        <w:t xml:space="preserve"> </w:t>
      </w:r>
      <w:r w:rsidR="009374DA" w:rsidRPr="00B924EB">
        <w:rPr>
          <w:lang w:val="es-ES_tradnl"/>
        </w:rPr>
        <w:t>con</w:t>
      </w:r>
      <w:r w:rsidR="00A13BEA" w:rsidRPr="00B924EB">
        <w:rPr>
          <w:lang w:val="es-ES_tradnl"/>
        </w:rPr>
        <w:t xml:space="preserve"> </w:t>
      </w:r>
      <w:r w:rsidR="000521A3" w:rsidRPr="00B924EB">
        <w:rPr>
          <w:lang w:val="es-ES_tradnl"/>
        </w:rPr>
        <w:t>la</w:t>
      </w:r>
      <w:r w:rsidR="00A13BEA" w:rsidRPr="00B924EB">
        <w:rPr>
          <w:lang w:val="es-ES_tradnl"/>
        </w:rPr>
        <w:t xml:space="preserve"> </w:t>
      </w:r>
      <w:r w:rsidR="000521A3" w:rsidRPr="00B924EB">
        <w:rPr>
          <w:lang w:val="es-ES_tradnl"/>
        </w:rPr>
        <w:t>ONO</w:t>
      </w:r>
      <w:r w:rsidR="00A13BEA" w:rsidRPr="00B924EB">
        <w:rPr>
          <w:lang w:val="es-ES_tradnl"/>
        </w:rPr>
        <w:t xml:space="preserve"> </w:t>
      </w:r>
      <w:r w:rsidR="000F6105">
        <w:rPr>
          <w:lang w:val="es-ES_tradnl"/>
        </w:rPr>
        <w:t xml:space="preserve">a fin de </w:t>
      </w:r>
      <w:r w:rsidR="008C2D5B">
        <w:rPr>
          <w:lang w:val="es-ES_tradnl"/>
        </w:rPr>
        <w:t xml:space="preserve">mantenerse al día </w:t>
      </w:r>
      <w:r w:rsidR="00A31E3E">
        <w:rPr>
          <w:lang w:val="es-ES_tradnl"/>
        </w:rPr>
        <w:t xml:space="preserve">sobre </w:t>
      </w:r>
      <w:r w:rsidR="002F540B">
        <w:rPr>
          <w:lang w:val="es-ES_tradnl"/>
        </w:rPr>
        <w:t>las actividades</w:t>
      </w:r>
      <w:r w:rsidR="004D7BCB">
        <w:rPr>
          <w:lang w:val="es-ES_tradnl"/>
        </w:rPr>
        <w:t xml:space="preserve"> en curso</w:t>
      </w:r>
      <w:r w:rsidR="00A13BEA" w:rsidRPr="00B924EB">
        <w:rPr>
          <w:lang w:val="es-ES_tradnl"/>
        </w:rPr>
        <w:t xml:space="preserve"> </w:t>
      </w:r>
      <w:r w:rsidR="00755C5D" w:rsidRPr="00B924EB">
        <w:rPr>
          <w:lang w:val="es-ES_tradnl"/>
        </w:rPr>
        <w:t>y</w:t>
      </w:r>
      <w:r w:rsidR="00A13BEA" w:rsidRPr="00B924EB">
        <w:rPr>
          <w:lang w:val="es-ES_tradnl"/>
        </w:rPr>
        <w:t xml:space="preserve"> </w:t>
      </w:r>
      <w:r w:rsidR="00AE32F1" w:rsidRPr="00B924EB">
        <w:rPr>
          <w:lang w:val="es-ES_tradnl"/>
        </w:rPr>
        <w:lastRenderedPageBreak/>
        <w:t>resolve</w:t>
      </w:r>
      <w:r w:rsidR="007C01F0">
        <w:rPr>
          <w:lang w:val="es-ES_tradnl"/>
        </w:rPr>
        <w:t>r</w:t>
      </w:r>
      <w:r w:rsidR="00A13BEA" w:rsidRPr="00B924EB">
        <w:rPr>
          <w:lang w:val="es-ES_tradnl"/>
        </w:rPr>
        <w:t xml:space="preserve"> </w:t>
      </w:r>
      <w:r w:rsidR="00D97F2B">
        <w:rPr>
          <w:lang w:val="es-ES_tradnl"/>
        </w:rPr>
        <w:t xml:space="preserve">los </w:t>
      </w:r>
      <w:r w:rsidR="005564A5">
        <w:rPr>
          <w:lang w:val="es-ES_tradnl"/>
        </w:rPr>
        <w:t xml:space="preserve">problemas de ejecución </w:t>
      </w:r>
      <w:r w:rsidR="00D97F2B">
        <w:rPr>
          <w:lang w:val="es-ES_tradnl"/>
        </w:rPr>
        <w:t>que puedan surgir</w:t>
      </w:r>
      <w:r w:rsidR="00C160E2">
        <w:rPr>
          <w:lang w:val="es-ES_tradnl"/>
        </w:rPr>
        <w:t>,</w:t>
      </w:r>
      <w:r w:rsidR="00A13BEA" w:rsidRPr="00B924EB">
        <w:rPr>
          <w:lang w:val="es-ES_tradnl"/>
        </w:rPr>
        <w:t xml:space="preserve"> </w:t>
      </w:r>
      <w:r w:rsidR="00C160E2">
        <w:rPr>
          <w:lang w:val="es-ES_tradnl"/>
        </w:rPr>
        <w:t xml:space="preserve">están recurriendo </w:t>
      </w:r>
      <w:r w:rsidR="00034BC3">
        <w:rPr>
          <w:lang w:val="es-ES_tradnl"/>
        </w:rPr>
        <w:t xml:space="preserve">a </w:t>
      </w:r>
      <w:r w:rsidR="00F33622">
        <w:rPr>
          <w:lang w:val="es-ES_tradnl"/>
        </w:rPr>
        <w:t xml:space="preserve">más </w:t>
      </w:r>
      <w:r w:rsidR="00452F79" w:rsidRPr="00B924EB">
        <w:rPr>
          <w:lang w:val="es-ES_tradnl"/>
        </w:rPr>
        <w:t>consultores</w:t>
      </w:r>
      <w:r w:rsidR="00A13BEA" w:rsidRPr="00B924EB">
        <w:rPr>
          <w:lang w:val="es-ES_tradnl"/>
        </w:rPr>
        <w:t xml:space="preserve"> </w:t>
      </w:r>
      <w:r w:rsidR="00430E70">
        <w:rPr>
          <w:lang w:val="es-ES_tradnl"/>
        </w:rPr>
        <w:t>nacio</w:t>
      </w:r>
      <w:r w:rsidR="00DE095F">
        <w:rPr>
          <w:lang w:val="es-ES_tradnl"/>
        </w:rPr>
        <w:t>nales</w:t>
      </w:r>
      <w:r w:rsidR="00430E70">
        <w:rPr>
          <w:lang w:val="es-ES_tradnl"/>
        </w:rPr>
        <w:t xml:space="preserve"> </w:t>
      </w:r>
      <w:r w:rsidR="00755C5D" w:rsidRPr="00B924EB">
        <w:rPr>
          <w:lang w:val="es-ES_tradnl"/>
        </w:rPr>
        <w:t>y</w:t>
      </w:r>
      <w:r w:rsidR="00DE095F">
        <w:rPr>
          <w:lang w:val="es-ES_tradnl"/>
        </w:rPr>
        <w:t>,</w:t>
      </w:r>
      <w:r w:rsidR="00A13BEA" w:rsidRPr="00B924EB">
        <w:rPr>
          <w:lang w:val="es-ES_tradnl"/>
        </w:rPr>
        <w:t xml:space="preserve"> </w:t>
      </w:r>
      <w:r w:rsidR="004B0CA3" w:rsidRPr="00B924EB">
        <w:rPr>
          <w:lang w:val="es-ES_tradnl"/>
        </w:rPr>
        <w:t>cuando</w:t>
      </w:r>
      <w:r w:rsidR="00A13BEA" w:rsidRPr="00B924EB">
        <w:rPr>
          <w:lang w:val="es-ES_tradnl"/>
        </w:rPr>
        <w:t xml:space="preserve"> </w:t>
      </w:r>
      <w:r w:rsidR="00554AC7">
        <w:rPr>
          <w:lang w:val="es-ES_tradnl"/>
        </w:rPr>
        <w:t>ha sido</w:t>
      </w:r>
      <w:r w:rsidR="00A13BEA" w:rsidRPr="00B924EB">
        <w:rPr>
          <w:lang w:val="es-ES_tradnl"/>
        </w:rPr>
        <w:t xml:space="preserve"> </w:t>
      </w:r>
      <w:r w:rsidR="004B0CA3" w:rsidRPr="00B924EB">
        <w:rPr>
          <w:lang w:val="es-ES_tradnl"/>
        </w:rPr>
        <w:t>necesario</w:t>
      </w:r>
      <w:r w:rsidR="00AE32F1" w:rsidRPr="00B924EB">
        <w:rPr>
          <w:lang w:val="es-ES_tradnl"/>
        </w:rPr>
        <w:t>,</w:t>
      </w:r>
      <w:r w:rsidR="00A13BEA" w:rsidRPr="00B924EB">
        <w:rPr>
          <w:lang w:val="es-ES_tradnl"/>
        </w:rPr>
        <w:t xml:space="preserve"> </w:t>
      </w:r>
      <w:r w:rsidR="00A667B2">
        <w:rPr>
          <w:lang w:val="es-ES_tradnl"/>
        </w:rPr>
        <w:t xml:space="preserve">han </w:t>
      </w:r>
      <w:r w:rsidR="004F6524">
        <w:rPr>
          <w:lang w:val="es-ES_tradnl"/>
        </w:rPr>
        <w:t>simplificado</w:t>
      </w:r>
      <w:r w:rsidR="00A13BEA" w:rsidRPr="00B924EB">
        <w:rPr>
          <w:lang w:val="es-ES_tradnl"/>
        </w:rPr>
        <w:t xml:space="preserve"> </w:t>
      </w:r>
      <w:r w:rsidR="0002248F">
        <w:rPr>
          <w:lang w:val="es-ES_tradnl"/>
        </w:rPr>
        <w:t xml:space="preserve">las </w:t>
      </w:r>
      <w:r w:rsidR="00163E2F">
        <w:rPr>
          <w:lang w:val="es-ES_tradnl"/>
        </w:rPr>
        <w:t>actividades de adquisición</w:t>
      </w:r>
      <w:r w:rsidR="00AE32F1" w:rsidRPr="00B924EB">
        <w:rPr>
          <w:lang w:val="es-ES_tradnl"/>
        </w:rPr>
        <w:t>.</w:t>
      </w:r>
      <w:r w:rsidR="00AE32F1" w:rsidRPr="00B924EB">
        <w:rPr>
          <w:rStyle w:val="FootnoteReference"/>
          <w:lang w:val="es-ES_tradnl"/>
        </w:rPr>
        <w:footnoteReference w:id="13"/>
      </w:r>
    </w:p>
    <w:p w14:paraId="5D3068B9" w14:textId="2F3C18EC" w:rsidR="00B46043" w:rsidRPr="00B924EB" w:rsidRDefault="00DF6939" w:rsidP="008064CE">
      <w:pPr>
        <w:pStyle w:val="Heading1"/>
        <w:widowControl w:val="0"/>
        <w:rPr>
          <w:lang w:val="es-ES_tradnl"/>
        </w:rPr>
      </w:pPr>
      <w:r w:rsidRPr="00B924EB">
        <w:rPr>
          <w:lang w:val="es-ES_tradnl"/>
        </w:rPr>
        <w:t>E</w:t>
      </w:r>
      <w:r w:rsidR="00755C5D" w:rsidRPr="00B924EB">
        <w:rPr>
          <w:lang w:val="es-ES_tradnl"/>
        </w:rPr>
        <w:t>l</w:t>
      </w:r>
      <w:r>
        <w:rPr>
          <w:lang w:val="es-ES_tradnl"/>
        </w:rPr>
        <w:t xml:space="preserve"> </w:t>
      </w:r>
      <w:r w:rsidR="00755C5D" w:rsidRPr="00B924EB">
        <w:rPr>
          <w:lang w:val="es-ES_tradnl"/>
        </w:rPr>
        <w:t>PNUMA</w:t>
      </w:r>
      <w:r w:rsidR="00A13BEA" w:rsidRPr="00B924EB">
        <w:rPr>
          <w:lang w:val="es-ES_tradnl"/>
        </w:rPr>
        <w:t xml:space="preserve"> </w:t>
      </w:r>
      <w:r w:rsidR="00E26F0F" w:rsidRPr="00B924EB">
        <w:rPr>
          <w:lang w:val="es-ES_tradnl"/>
        </w:rPr>
        <w:t>explicó</w:t>
      </w:r>
      <w:r w:rsidR="00A13BEA" w:rsidRPr="00B924EB">
        <w:rPr>
          <w:lang w:val="es-ES_tradnl"/>
        </w:rPr>
        <w:t xml:space="preserve"> </w:t>
      </w:r>
      <w:r w:rsidR="00E26F0F" w:rsidRPr="00B924EB">
        <w:rPr>
          <w:lang w:val="es-ES_tradnl"/>
        </w:rPr>
        <w:t>además</w:t>
      </w:r>
      <w:r w:rsidR="00A13BEA" w:rsidRPr="00B924EB">
        <w:rPr>
          <w:lang w:val="es-ES_tradnl"/>
        </w:rPr>
        <w:t xml:space="preserve"> </w:t>
      </w:r>
      <w:r w:rsidR="00E26F0F" w:rsidRPr="00B924EB">
        <w:rPr>
          <w:lang w:val="es-ES_tradnl"/>
        </w:rPr>
        <w:t>que</w:t>
      </w:r>
      <w:r w:rsidR="00A13BEA" w:rsidRPr="00B924EB">
        <w:rPr>
          <w:lang w:val="es-ES_tradnl"/>
        </w:rPr>
        <w:t xml:space="preserve"> </w:t>
      </w:r>
      <w:r w:rsidR="00DB3D7B" w:rsidRPr="00B924EB">
        <w:rPr>
          <w:lang w:val="es-ES_tradnl"/>
        </w:rPr>
        <w:t>el</w:t>
      </w:r>
      <w:r w:rsidR="00A13BEA" w:rsidRPr="00B924EB">
        <w:rPr>
          <w:lang w:val="es-ES_tradnl"/>
        </w:rPr>
        <w:t xml:space="preserve"> </w:t>
      </w:r>
      <w:r w:rsidR="00675543" w:rsidRPr="00B924EB">
        <w:rPr>
          <w:lang w:val="es-ES_tradnl"/>
        </w:rPr>
        <w:t>Gobierno</w:t>
      </w:r>
      <w:r w:rsidR="00A13BEA" w:rsidRPr="00B924EB">
        <w:rPr>
          <w:lang w:val="es-ES_tradnl"/>
        </w:rPr>
        <w:t xml:space="preserve"> </w:t>
      </w:r>
      <w:r w:rsidR="00C2683A">
        <w:rPr>
          <w:lang w:val="es-ES_tradnl"/>
        </w:rPr>
        <w:t>presentaba</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solicitud</w:t>
      </w:r>
      <w:r w:rsidR="004135A5" w:rsidRPr="00B924EB">
        <w:rPr>
          <w:lang w:val="es-ES_tradnl"/>
        </w:rPr>
        <w:t xml:space="preserve"> </w:t>
      </w:r>
      <w:r w:rsidR="00FB6282">
        <w:rPr>
          <w:lang w:val="es-ES_tradnl"/>
        </w:rPr>
        <w:t xml:space="preserve">de </w:t>
      </w:r>
      <w:r w:rsidR="00E74272" w:rsidRPr="00B924EB">
        <w:rPr>
          <w:lang w:val="es-ES_tradnl"/>
        </w:rPr>
        <w:t>aprobación</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B46043"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A13BEA" w:rsidRPr="00B924EB">
        <w:rPr>
          <w:lang w:val="es-ES_tradnl"/>
        </w:rPr>
        <w:t xml:space="preserve"> </w:t>
      </w:r>
      <w:r w:rsidR="00F20445">
        <w:rPr>
          <w:lang w:val="es-ES_tradnl"/>
        </w:rPr>
        <w:t xml:space="preserve">con el </w:t>
      </w:r>
      <w:r w:rsidR="005E13BC">
        <w:rPr>
          <w:lang w:val="es-ES_tradnl"/>
        </w:rPr>
        <w:t>objeto de garantizar la continuidad</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E26F0F" w:rsidRPr="00B924EB">
        <w:rPr>
          <w:lang w:val="es-ES_tradnl"/>
        </w:rPr>
        <w:t>las</w:t>
      </w:r>
      <w:r w:rsidR="00A13BEA" w:rsidRPr="00B924EB">
        <w:rPr>
          <w:lang w:val="es-ES_tradnl"/>
        </w:rPr>
        <w:t xml:space="preserve"> </w:t>
      </w:r>
      <w:r w:rsidR="00E26F0F" w:rsidRPr="00B924EB">
        <w:rPr>
          <w:lang w:val="es-ES_tradnl"/>
        </w:rPr>
        <w:t>actividades</w:t>
      </w:r>
      <w:r w:rsidR="00A13BEA" w:rsidRPr="00B924EB">
        <w:rPr>
          <w:lang w:val="es-ES_tradnl"/>
        </w:rPr>
        <w:t xml:space="preserve"> </w:t>
      </w:r>
      <w:r w:rsidR="00583167">
        <w:rPr>
          <w:lang w:val="es-ES_tradnl"/>
        </w:rPr>
        <w:t xml:space="preserve">en curso </w:t>
      </w:r>
      <w:r w:rsidR="00755C5D" w:rsidRPr="00B924EB">
        <w:rPr>
          <w:lang w:val="es-ES_tradnl"/>
        </w:rPr>
        <w:t>y</w:t>
      </w:r>
      <w:r w:rsidR="00A13BEA" w:rsidRPr="00B924EB">
        <w:rPr>
          <w:lang w:val="es-ES_tradnl"/>
        </w:rPr>
        <w:t xml:space="preserve"> </w:t>
      </w:r>
      <w:r w:rsidR="000701A7">
        <w:rPr>
          <w:lang w:val="es-ES_tradnl"/>
        </w:rPr>
        <w:t>de dar inicio a</w:t>
      </w:r>
      <w:r w:rsidR="0059363E">
        <w:rPr>
          <w:lang w:val="es-ES_tradnl"/>
        </w:rPr>
        <w:t xml:space="preserve"> las </w:t>
      </w:r>
      <w:r w:rsidR="00452F79" w:rsidRPr="00B924EB">
        <w:rPr>
          <w:lang w:val="es-ES_tradnl"/>
        </w:rPr>
        <w:t>actividades</w:t>
      </w:r>
      <w:r w:rsidR="00A13BEA" w:rsidRPr="00B924EB">
        <w:rPr>
          <w:lang w:val="es-ES_tradnl"/>
        </w:rPr>
        <w:t xml:space="preserve"> </w:t>
      </w:r>
      <w:r w:rsidR="00452F79" w:rsidRPr="00B924EB">
        <w:rPr>
          <w:lang w:val="es-ES_tradnl"/>
        </w:rPr>
        <w:t>adicionales</w:t>
      </w:r>
      <w:r w:rsidR="00A13BEA" w:rsidRPr="00B924EB">
        <w:rPr>
          <w:lang w:val="es-ES_tradnl"/>
        </w:rPr>
        <w:t xml:space="preserve"> </w:t>
      </w:r>
      <w:r w:rsidR="00BA03C8">
        <w:rPr>
          <w:lang w:val="es-ES_tradnl"/>
        </w:rPr>
        <w:t xml:space="preserve">necesarias para cumplir con las siguientes </w:t>
      </w:r>
      <w:r w:rsidR="000521A3" w:rsidRPr="00B924EB">
        <w:rPr>
          <w:lang w:val="es-ES_tradnl"/>
        </w:rPr>
        <w:t>medidas</w:t>
      </w:r>
      <w:r w:rsidR="00A13BEA" w:rsidRPr="00B924EB">
        <w:rPr>
          <w:lang w:val="es-ES_tradnl"/>
        </w:rPr>
        <w:t xml:space="preserve"> </w:t>
      </w:r>
      <w:r w:rsidR="000521A3" w:rsidRPr="00B924EB">
        <w:rPr>
          <w:lang w:val="es-ES_tradnl"/>
        </w:rPr>
        <w:t>de</w:t>
      </w:r>
      <w:r w:rsidR="00A13BEA" w:rsidRPr="00B924EB">
        <w:rPr>
          <w:lang w:val="es-ES_tradnl"/>
        </w:rPr>
        <w:t xml:space="preserve"> </w:t>
      </w:r>
      <w:r w:rsidR="000521A3" w:rsidRPr="00B924EB">
        <w:rPr>
          <w:lang w:val="es-ES_tradnl"/>
        </w:rPr>
        <w:t>control</w:t>
      </w:r>
      <w:r w:rsidR="00B46043" w:rsidRPr="00B924EB">
        <w:rPr>
          <w:lang w:val="es-ES_tradnl"/>
        </w:rPr>
        <w:t>.</w:t>
      </w:r>
    </w:p>
    <w:p w14:paraId="0D3D7FFC" w14:textId="087FA7C4" w:rsidR="00934EFE" w:rsidRPr="00B924EB" w:rsidRDefault="008B3AAE" w:rsidP="00B3692D">
      <w:pPr>
        <w:pStyle w:val="Heading1"/>
        <w:rPr>
          <w:lang w:val="es-ES_tradnl"/>
        </w:rPr>
      </w:pPr>
      <w:r>
        <w:rPr>
          <w:lang w:val="es-ES_tradnl"/>
        </w:rPr>
        <w:t xml:space="preserve">Considerando </w:t>
      </w:r>
      <w:r w:rsidR="00E20BC1">
        <w:rPr>
          <w:lang w:val="es-ES_tradnl"/>
        </w:rPr>
        <w:t xml:space="preserve">la </w:t>
      </w:r>
      <w:r w:rsidR="00D86775">
        <w:rPr>
          <w:lang w:val="es-ES_tradnl"/>
        </w:rPr>
        <w:t xml:space="preserve">mejoría </w:t>
      </w:r>
      <w:r w:rsidR="003569BA">
        <w:rPr>
          <w:lang w:val="es-ES_tradnl"/>
        </w:rPr>
        <w:t xml:space="preserve">en </w:t>
      </w:r>
      <w:r w:rsidR="000769DB">
        <w:rPr>
          <w:lang w:val="es-ES_tradnl"/>
        </w:rPr>
        <w:t>la</w:t>
      </w:r>
      <w:r w:rsidR="002C51F3">
        <w:rPr>
          <w:lang w:val="es-ES_tradnl"/>
        </w:rPr>
        <w:t xml:space="preserve"> </w:t>
      </w:r>
      <w:r w:rsidR="000769DB">
        <w:rPr>
          <w:lang w:val="es-ES_tradnl"/>
        </w:rPr>
        <w:t xml:space="preserve">situación </w:t>
      </w:r>
      <w:r w:rsidR="00934733">
        <w:rPr>
          <w:lang w:val="es-ES_tradnl"/>
        </w:rPr>
        <w:t>del país</w:t>
      </w:r>
      <w:r w:rsidR="00AB3132" w:rsidRPr="00B924EB">
        <w:rPr>
          <w:lang w:val="es-ES_tradnl"/>
        </w:rPr>
        <w:t>,</w:t>
      </w:r>
      <w:r w:rsidR="00A13BEA" w:rsidRPr="00B924EB">
        <w:rPr>
          <w:lang w:val="es-ES_tradnl"/>
        </w:rPr>
        <w:t xml:space="preserve"> </w:t>
      </w:r>
      <w:r w:rsidR="008669A6">
        <w:rPr>
          <w:lang w:val="es-ES_tradnl"/>
        </w:rPr>
        <w:t xml:space="preserve">y a fin de </w:t>
      </w:r>
      <w:r w:rsidR="00B11782">
        <w:rPr>
          <w:lang w:val="es-ES_tradnl"/>
        </w:rPr>
        <w:t xml:space="preserve">asegurar </w:t>
      </w:r>
      <w:r w:rsidR="008B7AC7">
        <w:rPr>
          <w:lang w:val="es-ES_tradnl"/>
        </w:rPr>
        <w:t xml:space="preserve">que se otorgue </w:t>
      </w:r>
      <w:r w:rsidR="00363607" w:rsidRPr="00B924EB">
        <w:rPr>
          <w:lang w:val="es-ES_tradnl"/>
        </w:rPr>
        <w:t>prioridad</w:t>
      </w:r>
      <w:r w:rsidR="00A13BEA" w:rsidRPr="00B924EB">
        <w:rPr>
          <w:lang w:val="es-ES_tradnl"/>
        </w:rPr>
        <w:t xml:space="preserve"> </w:t>
      </w:r>
      <w:r w:rsidR="007D08E3">
        <w:rPr>
          <w:lang w:val="es-ES_tradnl"/>
        </w:rPr>
        <w:t>a la finalización de las</w:t>
      </w:r>
      <w:r w:rsidR="00A13BEA" w:rsidRPr="00B924EB">
        <w:rPr>
          <w:lang w:val="es-ES_tradnl"/>
        </w:rPr>
        <w:t xml:space="preserve"> </w:t>
      </w:r>
      <w:r w:rsidR="00755C5D" w:rsidRPr="00B924EB">
        <w:rPr>
          <w:lang w:val="es-ES_tradnl"/>
        </w:rPr>
        <w:t>actividades</w:t>
      </w:r>
      <w:r w:rsidR="00AB7AC4">
        <w:rPr>
          <w:lang w:val="es-ES_tradnl"/>
        </w:rPr>
        <w:t xml:space="preserve">, </w:t>
      </w:r>
      <w:r w:rsidR="002C086A">
        <w:rPr>
          <w:lang w:val="es-ES_tradnl"/>
        </w:rPr>
        <w:t>a</w:t>
      </w:r>
      <w:r w:rsidR="009374DA" w:rsidRPr="00B924EB">
        <w:rPr>
          <w:lang w:val="es-ES_tradnl"/>
        </w:rPr>
        <w:t>l</w:t>
      </w:r>
      <w:r w:rsidR="00A13BEA" w:rsidRPr="00B924EB">
        <w:rPr>
          <w:lang w:val="es-ES_tradnl"/>
        </w:rPr>
        <w:t xml:space="preserve"> </w:t>
      </w:r>
      <w:r w:rsidR="00406F53">
        <w:rPr>
          <w:lang w:val="es-ES_tradnl"/>
        </w:rPr>
        <w:t>desembolso</w:t>
      </w:r>
      <w:r w:rsidR="00A13BEA" w:rsidRPr="00B924EB">
        <w:rPr>
          <w:lang w:val="es-ES_tradnl"/>
        </w:rPr>
        <w:t xml:space="preserve"> </w:t>
      </w:r>
      <w:r w:rsidR="00E26F0F" w:rsidRPr="00B924EB">
        <w:rPr>
          <w:lang w:val="es-ES_tradnl"/>
        </w:rPr>
        <w:t>del</w:t>
      </w:r>
      <w:r w:rsidR="00A13BEA" w:rsidRPr="00B924EB">
        <w:rPr>
          <w:lang w:val="es-ES_tradnl"/>
        </w:rPr>
        <w:t xml:space="preserve"> </w:t>
      </w:r>
      <w:r w:rsidR="00870DB5" w:rsidRPr="00870DB5">
        <w:rPr>
          <w:lang w:val="es-ES_tradnl"/>
        </w:rPr>
        <w:t>elevado</w:t>
      </w:r>
      <w:r w:rsidR="004F212E">
        <w:rPr>
          <w:lang w:val="es-ES_tradnl"/>
        </w:rPr>
        <w:t xml:space="preserve"> </w:t>
      </w:r>
      <w:r w:rsidR="004135A5" w:rsidRPr="00B924EB">
        <w:rPr>
          <w:lang w:val="es-ES_tradnl"/>
        </w:rPr>
        <w:t>saldo</w:t>
      </w:r>
      <w:r w:rsidR="00A13BEA" w:rsidRPr="00B924EB">
        <w:rPr>
          <w:lang w:val="es-ES_tradnl"/>
        </w:rPr>
        <w:t xml:space="preserve"> </w:t>
      </w:r>
      <w:r w:rsidR="0071672D">
        <w:rPr>
          <w:lang w:val="es-ES_tradnl"/>
        </w:rPr>
        <w:t xml:space="preserve">que resta </w:t>
      </w:r>
      <w:r w:rsidR="007A6FAC">
        <w:rPr>
          <w:lang w:val="es-ES_tradnl"/>
        </w:rPr>
        <w:t>en</w:t>
      </w:r>
      <w:r w:rsidR="0071672D">
        <w:rPr>
          <w:lang w:val="es-ES_tradnl"/>
        </w:rPr>
        <w:t xml:space="preserve"> </w:t>
      </w:r>
      <w:r w:rsidR="001A1006" w:rsidRPr="00B924EB">
        <w:rPr>
          <w:lang w:val="es-ES_tradnl"/>
        </w:rPr>
        <w:t>la</w:t>
      </w:r>
      <w:r w:rsidR="00A13BEA" w:rsidRPr="00B924EB">
        <w:rPr>
          <w:lang w:val="es-ES_tradnl"/>
        </w:rPr>
        <w:t xml:space="preserve"> </w:t>
      </w:r>
      <w:r w:rsidR="001A1006"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AB7AC4">
        <w:rPr>
          <w:lang w:val="es-ES_tradnl"/>
        </w:rPr>
        <w:t>y a</w:t>
      </w:r>
      <w:r w:rsidR="00E004FE">
        <w:rPr>
          <w:lang w:val="es-ES_tradnl"/>
        </w:rPr>
        <w:t xml:space="preserve"> </w:t>
      </w:r>
      <w:r w:rsidR="005E13BC">
        <w:rPr>
          <w:lang w:val="es-ES_tradnl"/>
        </w:rPr>
        <w:t>la continuidad</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A156D5">
        <w:rPr>
          <w:lang w:val="es-ES_tradnl"/>
        </w:rPr>
        <w:t xml:space="preserve">las </w:t>
      </w:r>
      <w:r w:rsidR="00755C5D" w:rsidRPr="00B924EB">
        <w:rPr>
          <w:lang w:val="es-ES_tradnl"/>
        </w:rPr>
        <w:t>actividades</w:t>
      </w:r>
      <w:r w:rsidR="00A13BEA" w:rsidRPr="00B924EB">
        <w:rPr>
          <w:lang w:val="es-ES_tradnl"/>
        </w:rPr>
        <w:t xml:space="preserve"> </w:t>
      </w:r>
      <w:r w:rsidR="009C687F">
        <w:rPr>
          <w:lang w:val="es-ES_tradnl"/>
        </w:rPr>
        <w:t xml:space="preserve">con </w:t>
      </w:r>
      <w:r w:rsidR="009C687F" w:rsidRPr="009C687F">
        <w:rPr>
          <w:lang w:val="es-ES_tradnl"/>
        </w:rPr>
        <w:t xml:space="preserve">financiamiento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523A6A" w:rsidRPr="00B924EB">
        <w:rPr>
          <w:lang w:val="es-ES_tradnl"/>
        </w:rPr>
        <w:t>I</w:t>
      </w:r>
      <w:r w:rsidR="00A13BEA" w:rsidRPr="00B924EB">
        <w:rPr>
          <w:lang w:val="es-ES_tradnl"/>
        </w:rPr>
        <w:t xml:space="preserve"> </w:t>
      </w:r>
      <w:r w:rsidR="004135A5" w:rsidRPr="00B924EB">
        <w:rPr>
          <w:lang w:val="es-ES_tradnl"/>
        </w:rPr>
        <w:t>una vez</w:t>
      </w:r>
      <w:r w:rsidR="00A13BEA" w:rsidRPr="00B924EB">
        <w:rPr>
          <w:lang w:val="es-ES_tradnl"/>
        </w:rPr>
        <w:t xml:space="preserve"> </w:t>
      </w:r>
      <w:r w:rsidR="002C7DDE">
        <w:rPr>
          <w:lang w:val="es-ES_tradnl"/>
        </w:rPr>
        <w:t>terminada</w:t>
      </w:r>
      <w:r w:rsidR="002C7DDE" w:rsidRPr="0083084B">
        <w:rPr>
          <w:lang w:val="es-419"/>
        </w:rPr>
        <w:t xml:space="preserve"> </w:t>
      </w:r>
      <w:r w:rsidR="002C7DDE" w:rsidRPr="002C7DDE">
        <w:rPr>
          <w:lang w:val="es-ES_tradnl"/>
        </w:rPr>
        <w:t>la etapa I</w:t>
      </w:r>
      <w:r w:rsidR="00523A6A" w:rsidRPr="00B924EB">
        <w:rPr>
          <w:lang w:val="es-ES_tradnl"/>
        </w:rPr>
        <w:t>,</w:t>
      </w:r>
      <w:r w:rsidR="00A13BEA" w:rsidRPr="00B924EB">
        <w:rPr>
          <w:lang w:val="es-ES_tradnl"/>
        </w:rPr>
        <w:t xml:space="preserve"> </w:t>
      </w:r>
      <w:r w:rsidR="004135A5" w:rsidRPr="00B924EB">
        <w:rPr>
          <w:lang w:val="es-ES_tradnl"/>
        </w:rPr>
        <w:t xml:space="preserve">se </w:t>
      </w:r>
      <w:r w:rsidR="00BC7A0D">
        <w:rPr>
          <w:lang w:val="es-ES_tradnl"/>
        </w:rPr>
        <w:t xml:space="preserve">resolvió </w:t>
      </w:r>
      <w:r w:rsidR="00023AE6">
        <w:rPr>
          <w:lang w:val="es-ES_tradnl"/>
        </w:rPr>
        <w:t xml:space="preserve">lo </w:t>
      </w:r>
      <w:r w:rsidR="00E67EC6" w:rsidRPr="00E67EC6">
        <w:rPr>
          <w:lang w:val="es-ES_tradnl"/>
        </w:rPr>
        <w:t>siguiente</w:t>
      </w:r>
      <w:r w:rsidR="00B3692D" w:rsidRPr="00B924EB">
        <w:rPr>
          <w:lang w:val="es-ES_tradnl"/>
        </w:rPr>
        <w:t>:</w:t>
      </w:r>
    </w:p>
    <w:p w14:paraId="0B639455" w14:textId="75D95A27" w:rsidR="00263FEA" w:rsidRPr="00B924EB" w:rsidRDefault="00CA35B1" w:rsidP="00B3692D">
      <w:pPr>
        <w:pStyle w:val="Heading2"/>
        <w:rPr>
          <w:lang w:val="es-ES_tradnl"/>
        </w:rPr>
      </w:pPr>
      <w:r>
        <w:rPr>
          <w:lang w:val="es-ES_tradnl"/>
        </w:rPr>
        <w:t>F</w:t>
      </w:r>
      <w:r w:rsidR="00E377A9">
        <w:rPr>
          <w:lang w:val="es-ES_tradnl"/>
        </w:rPr>
        <w:t>inalizar</w:t>
      </w:r>
      <w:r>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Pr>
          <w:lang w:val="es-ES_tradnl"/>
        </w:rPr>
        <w:t xml:space="preserve">dentro del </w:t>
      </w:r>
      <w:r w:rsidR="008B2CB5">
        <w:rPr>
          <w:lang w:val="es-ES_tradnl"/>
        </w:rPr>
        <w:t>nuevo plazo aprobado</w:t>
      </w:r>
      <w:r w:rsidR="00A13BEA" w:rsidRPr="00B924EB">
        <w:rPr>
          <w:lang w:val="es-ES_tradnl"/>
        </w:rPr>
        <w:t xml:space="preserve"> </w:t>
      </w:r>
      <w:r w:rsidR="00363607" w:rsidRPr="00B924EB">
        <w:rPr>
          <w:lang w:val="es-ES_tradnl"/>
        </w:rPr>
        <w:t>por</w:t>
      </w:r>
      <w:r w:rsidR="00A13BEA" w:rsidRPr="00B924EB">
        <w:rPr>
          <w:lang w:val="es-ES_tradnl"/>
        </w:rPr>
        <w:t xml:space="preserve"> </w:t>
      </w:r>
      <w:r w:rsidR="00363607" w:rsidRPr="00B924EB">
        <w:rPr>
          <w:lang w:val="es-ES_tradnl"/>
        </w:rPr>
        <w:t>el</w:t>
      </w:r>
      <w:r w:rsidR="00A13BEA" w:rsidRPr="00B924EB">
        <w:rPr>
          <w:lang w:val="es-ES_tradnl"/>
        </w:rPr>
        <w:t xml:space="preserve"> </w:t>
      </w:r>
      <w:r w:rsidR="009374DA" w:rsidRPr="00B924EB">
        <w:rPr>
          <w:lang w:val="es-ES_tradnl"/>
        </w:rPr>
        <w:t>Comité</w:t>
      </w:r>
      <w:r w:rsidR="00A13BEA" w:rsidRPr="00B924EB">
        <w:rPr>
          <w:lang w:val="es-ES_tradnl"/>
        </w:rPr>
        <w:t xml:space="preserve"> </w:t>
      </w:r>
      <w:r w:rsidR="00755C5D" w:rsidRPr="00B924EB">
        <w:rPr>
          <w:lang w:val="es-ES_tradnl"/>
        </w:rPr>
        <w:t>Ejecutivo</w:t>
      </w:r>
      <w:r w:rsidR="00A13BEA" w:rsidRPr="00B924EB">
        <w:rPr>
          <w:lang w:val="es-ES_tradnl"/>
        </w:rPr>
        <w:t xml:space="preserve"> </w:t>
      </w:r>
      <w:r w:rsidR="00C134C5">
        <w:rPr>
          <w:lang w:val="es-ES_tradnl"/>
        </w:rPr>
        <w:t>en la 8</w:t>
      </w:r>
      <w:r w:rsidR="00E26F0F" w:rsidRPr="00B924EB">
        <w:rPr>
          <w:lang w:val="es-ES_tradnl"/>
        </w:rPr>
        <w:t>6</w:t>
      </w:r>
      <w:r w:rsidR="004135A5" w:rsidRPr="00B924EB">
        <w:rPr>
          <w:lang w:val="es-ES_tradnl"/>
        </w:rPr>
        <w:t>ª reunión</w:t>
      </w:r>
      <w:r w:rsidR="00263FEA" w:rsidRPr="00B924EB">
        <w:rPr>
          <w:lang w:val="es-ES_tradnl"/>
        </w:rPr>
        <w:t>;</w:t>
      </w:r>
    </w:p>
    <w:p w14:paraId="063E4AAE" w14:textId="19D3A178" w:rsidR="00B0181F" w:rsidRPr="00B924EB" w:rsidRDefault="004C36B5" w:rsidP="00296E60">
      <w:pPr>
        <w:pStyle w:val="Heading2"/>
        <w:rPr>
          <w:lang w:val="es-ES_tradnl"/>
        </w:rPr>
      </w:pPr>
      <w:r>
        <w:rPr>
          <w:lang w:val="es-ES_tradnl"/>
        </w:rPr>
        <w:t>Someter a consideración</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523A6A" w:rsidRPr="00B924EB">
        <w:rPr>
          <w:lang w:val="es-ES_tradnl"/>
        </w:rPr>
        <w:t>I,</w:t>
      </w:r>
      <w:r w:rsidR="00A13BEA" w:rsidRPr="00B924EB">
        <w:rPr>
          <w:lang w:val="es-ES_tradnl"/>
        </w:rPr>
        <w:t xml:space="preserve"> </w:t>
      </w:r>
      <w:r w:rsidR="00B67AA8">
        <w:rPr>
          <w:lang w:val="es-ES_tradnl"/>
        </w:rPr>
        <w:t>asignándose</w:t>
      </w:r>
      <w:r w:rsidR="00A13BEA" w:rsidRPr="00B924EB">
        <w:rPr>
          <w:lang w:val="es-ES_tradnl"/>
        </w:rPr>
        <w:t xml:space="preserve"> </w:t>
      </w:r>
      <w:r w:rsidR="009374DA" w:rsidRPr="00B924EB">
        <w:rPr>
          <w:lang w:val="es-ES_tradnl"/>
        </w:rPr>
        <w:t>en</w:t>
      </w:r>
      <w:r w:rsidR="00A13BEA" w:rsidRPr="00B924EB">
        <w:rPr>
          <w:lang w:val="es-ES_tradnl"/>
        </w:rPr>
        <w:t xml:space="preserve"> </w:t>
      </w:r>
      <w:r w:rsidR="005E1320" w:rsidRPr="00B924EB">
        <w:rPr>
          <w:lang w:val="es-ES_tradnl"/>
        </w:rPr>
        <w:t>el</w:t>
      </w:r>
      <w:r w:rsidR="00A13BEA" w:rsidRPr="00B924EB">
        <w:rPr>
          <w:lang w:val="es-ES_tradnl"/>
        </w:rPr>
        <w:t xml:space="preserve"> </w:t>
      </w:r>
      <w:r w:rsidR="005E1320" w:rsidRPr="00B924EB">
        <w:rPr>
          <w:lang w:val="es-ES_tradnl"/>
        </w:rPr>
        <w:t>primer</w:t>
      </w:r>
      <w:r w:rsidR="00A13BEA" w:rsidRPr="00B924EB">
        <w:rPr>
          <w:lang w:val="es-ES_tradnl"/>
        </w:rPr>
        <w:t xml:space="preserve"> </w:t>
      </w:r>
      <w:r w:rsidR="00755C5D" w:rsidRPr="00B924EB">
        <w:rPr>
          <w:lang w:val="es-ES_tradnl"/>
        </w:rPr>
        <w:t>tramo</w:t>
      </w:r>
      <w:r w:rsidR="00A13BEA" w:rsidRPr="00B924EB">
        <w:rPr>
          <w:lang w:val="es-ES_tradnl"/>
        </w:rPr>
        <w:t xml:space="preserve"> </w:t>
      </w:r>
      <w:r w:rsidR="0039021D" w:rsidRPr="0039021D">
        <w:rPr>
          <w:lang w:val="es-ES_tradnl"/>
        </w:rPr>
        <w:t xml:space="preserve">una menor proporción de fondos </w:t>
      </w:r>
      <w:r w:rsidR="007A5FD8">
        <w:rPr>
          <w:lang w:val="es-ES_tradnl"/>
        </w:rPr>
        <w:t xml:space="preserve">que permita </w:t>
      </w:r>
      <w:r w:rsidR="00D97E2B">
        <w:rPr>
          <w:lang w:val="es-ES_tradnl"/>
        </w:rPr>
        <w:t xml:space="preserve">el inicio de </w:t>
      </w:r>
      <w:r w:rsidR="00A15123">
        <w:rPr>
          <w:lang w:val="es-ES_tradnl"/>
        </w:rPr>
        <w:t xml:space="preserve">las </w:t>
      </w:r>
      <w:r w:rsidR="00755C5D" w:rsidRPr="00B924EB">
        <w:rPr>
          <w:lang w:val="es-ES_tradnl"/>
        </w:rPr>
        <w:t>actividades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A5FD8">
        <w:rPr>
          <w:lang w:val="es-ES_tradnl"/>
        </w:rPr>
        <w:t>garantice</w:t>
      </w:r>
      <w:r w:rsidR="00AA287E">
        <w:rPr>
          <w:lang w:val="es-ES_tradnl"/>
        </w:rPr>
        <w:t xml:space="preserve"> la </w:t>
      </w:r>
      <w:r w:rsidR="001E76F6">
        <w:rPr>
          <w:lang w:val="es-ES_tradnl"/>
        </w:rPr>
        <w:t>continuidad</w:t>
      </w:r>
      <w:r w:rsidR="00A13BEA" w:rsidRPr="00B924EB">
        <w:rPr>
          <w:lang w:val="es-ES_tradnl"/>
        </w:rPr>
        <w:t xml:space="preserve"> </w:t>
      </w:r>
      <w:r w:rsidR="00E26F0F" w:rsidRPr="00B924EB">
        <w:rPr>
          <w:lang w:val="es-ES_tradnl"/>
        </w:rPr>
        <w:t>del</w:t>
      </w:r>
      <w:r w:rsidR="00A13BEA" w:rsidRPr="00B924EB">
        <w:rPr>
          <w:lang w:val="es-ES_tradnl"/>
        </w:rPr>
        <w:t xml:space="preserve"> </w:t>
      </w:r>
      <w:proofErr w:type="gramStart"/>
      <w:r w:rsidR="00D01DC2" w:rsidRPr="00B924EB">
        <w:rPr>
          <w:lang w:val="es-ES_tradnl"/>
        </w:rPr>
        <w:t>programa</w:t>
      </w:r>
      <w:proofErr w:type="gramEnd"/>
      <w:r w:rsidR="00907AD3">
        <w:rPr>
          <w:lang w:val="es-ES_tradnl"/>
        </w:rPr>
        <w:t xml:space="preserve"> </w:t>
      </w:r>
      <w:r w:rsidR="00B415FB">
        <w:rPr>
          <w:lang w:val="es-ES_tradnl"/>
        </w:rPr>
        <w:t xml:space="preserve">pero </w:t>
      </w:r>
      <w:r w:rsidR="00577DAA">
        <w:rPr>
          <w:lang w:val="es-ES_tradnl"/>
        </w:rPr>
        <w:t xml:space="preserve">sin interferir </w:t>
      </w:r>
      <w:r w:rsidR="009374DA" w:rsidRPr="00B924EB">
        <w:rPr>
          <w:lang w:val="es-ES_tradnl"/>
        </w:rPr>
        <w:t>con</w:t>
      </w:r>
      <w:r w:rsidR="00A13BEA" w:rsidRPr="00B924EB">
        <w:rPr>
          <w:lang w:val="es-ES_tradnl"/>
        </w:rPr>
        <w:t xml:space="preserve"> </w:t>
      </w:r>
      <w:r w:rsidR="004A5C1C">
        <w:rPr>
          <w:lang w:val="es-ES_tradnl"/>
        </w:rPr>
        <w:t xml:space="preserve">el </w:t>
      </w:r>
      <w:r w:rsidR="003D6D59">
        <w:rPr>
          <w:lang w:val="es-ES_tradnl"/>
        </w:rPr>
        <w:t>cierre</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C72C7A" w:rsidRPr="00B924EB">
        <w:rPr>
          <w:lang w:val="es-ES_tradnl"/>
        </w:rPr>
        <w:t>(</w:t>
      </w:r>
      <w:r w:rsidR="00373665">
        <w:rPr>
          <w:lang w:val="es-ES_tradnl"/>
        </w:rPr>
        <w:t xml:space="preserve">es decir, </w:t>
      </w:r>
      <w:r w:rsidR="00AF0B5F" w:rsidRPr="00B924EB">
        <w:rPr>
          <w:lang w:val="es-ES_tradnl"/>
        </w:rPr>
        <w:t>no</w:t>
      </w:r>
      <w:r w:rsidR="00A13BEA" w:rsidRPr="00B924EB">
        <w:rPr>
          <w:lang w:val="es-ES_tradnl"/>
        </w:rPr>
        <w:t xml:space="preserve"> </w:t>
      </w:r>
      <w:r w:rsidR="00183548">
        <w:rPr>
          <w:lang w:val="es-ES_tradnl"/>
        </w:rPr>
        <w:t>se aprobarán</w:t>
      </w:r>
      <w:r w:rsidR="00A13BEA" w:rsidRPr="00B924EB">
        <w:rPr>
          <w:lang w:val="es-ES_tradnl"/>
        </w:rPr>
        <w:t xml:space="preserve"> </w:t>
      </w:r>
      <w:r w:rsidR="00183548" w:rsidRPr="00183548">
        <w:rPr>
          <w:lang w:val="es-ES_tradnl"/>
        </w:rPr>
        <w:t xml:space="preserve">fondos </w:t>
      </w:r>
      <w:r w:rsidR="00A546BE">
        <w:rPr>
          <w:lang w:val="es-ES_tradnl"/>
        </w:rPr>
        <w:t xml:space="preserve">para </w:t>
      </w:r>
      <w:r w:rsidR="00E26F0F" w:rsidRPr="00B924EB">
        <w:rPr>
          <w:lang w:val="es-ES_tradnl"/>
        </w:rPr>
        <w:t>adquisición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9A4EAE">
        <w:rPr>
          <w:lang w:val="es-ES_tradnl"/>
        </w:rPr>
        <w:t xml:space="preserve">nuevos </w:t>
      </w:r>
      <w:r w:rsidR="000521A3" w:rsidRPr="00B924EB">
        <w:rPr>
          <w:lang w:val="es-ES_tradnl"/>
        </w:rPr>
        <w:t>equipos</w:t>
      </w:r>
      <w:r w:rsidR="00A13BEA" w:rsidRPr="00B924EB">
        <w:rPr>
          <w:lang w:val="es-ES_tradnl"/>
        </w:rPr>
        <w:t xml:space="preserve"> </w:t>
      </w:r>
      <w:r w:rsidR="00113486">
        <w:rPr>
          <w:lang w:val="es-ES_tradnl"/>
        </w:rPr>
        <w:t xml:space="preserve">antes </w:t>
      </w:r>
      <w:r w:rsidR="00E5638C">
        <w:rPr>
          <w:lang w:val="es-ES_tradnl"/>
        </w:rPr>
        <w:t xml:space="preserve">de que termine </w:t>
      </w:r>
      <w:r w:rsidR="00065842">
        <w:rPr>
          <w:lang w:val="es-ES_tradnl"/>
        </w:rPr>
        <w:t>la</w:t>
      </w:r>
      <w:r w:rsidR="0022358C">
        <w:rPr>
          <w:lang w:val="es-ES_tradnl"/>
        </w:rPr>
        <w:t xml:space="preserve"> </w:t>
      </w:r>
      <w:r w:rsidR="003A6FB0">
        <w:rPr>
          <w:lang w:val="es-ES_tradnl"/>
        </w:rPr>
        <w:t xml:space="preserve">compra </w:t>
      </w:r>
      <w:r w:rsidR="00755C5D" w:rsidRPr="00B924EB">
        <w:rPr>
          <w:lang w:val="es-ES_tradnl"/>
        </w:rPr>
        <w:t>de</w:t>
      </w:r>
      <w:r w:rsidR="00A13BEA" w:rsidRPr="00B924EB">
        <w:rPr>
          <w:lang w:val="es-ES_tradnl"/>
        </w:rPr>
        <w:t xml:space="preserve"> </w:t>
      </w:r>
      <w:r w:rsidR="009374DA" w:rsidRPr="00B924EB">
        <w:rPr>
          <w:lang w:val="es-ES_tradnl"/>
        </w:rPr>
        <w:t>equipos</w:t>
      </w:r>
      <w:r w:rsidR="00A13BEA" w:rsidRPr="00B924EB">
        <w:rPr>
          <w:lang w:val="es-ES_tradnl"/>
        </w:rPr>
        <w:t xml:space="preserve"> </w:t>
      </w:r>
      <w:r w:rsidR="00CF7F0B">
        <w:rPr>
          <w:lang w:val="es-ES_tradnl"/>
        </w:rPr>
        <w:t xml:space="preserve">correspondiente a </w:t>
      </w:r>
      <w:r w:rsidR="001A1006" w:rsidRPr="00B924EB">
        <w:rPr>
          <w:lang w:val="es-ES_tradnl"/>
        </w:rPr>
        <w:t>la</w:t>
      </w:r>
      <w:r w:rsidR="00A13BEA" w:rsidRPr="00B924EB">
        <w:rPr>
          <w:lang w:val="es-ES_tradnl"/>
        </w:rPr>
        <w:t xml:space="preserve"> </w:t>
      </w:r>
      <w:r w:rsidR="001A1006" w:rsidRPr="00B924EB">
        <w:rPr>
          <w:lang w:val="es-ES_tradnl"/>
        </w:rPr>
        <w:t>etapa</w:t>
      </w:r>
      <w:r w:rsidR="00A13BEA" w:rsidRPr="00B924EB">
        <w:rPr>
          <w:lang w:val="es-ES_tradnl"/>
        </w:rPr>
        <w:t xml:space="preserve"> </w:t>
      </w:r>
      <w:r w:rsidR="003208A7" w:rsidRPr="00B924EB">
        <w:rPr>
          <w:lang w:val="es-ES_tradnl"/>
        </w:rPr>
        <w:t>I</w:t>
      </w:r>
      <w:r w:rsidR="00AF0B5F" w:rsidRPr="00B924EB">
        <w:rPr>
          <w:lang w:val="es-ES_tradnl"/>
        </w:rPr>
        <w:t>)</w:t>
      </w:r>
      <w:r w:rsidR="00B0181F" w:rsidRPr="00B924EB">
        <w:rPr>
          <w:lang w:val="es-ES_tradnl"/>
        </w:rPr>
        <w:t>;</w:t>
      </w:r>
    </w:p>
    <w:p w14:paraId="1EC39636" w14:textId="04127E9E" w:rsidR="006C3E2D" w:rsidRPr="00B924EB" w:rsidRDefault="00265910" w:rsidP="00B3692D">
      <w:pPr>
        <w:pStyle w:val="Heading2"/>
        <w:rPr>
          <w:lang w:val="es-ES_tradnl"/>
        </w:rPr>
      </w:pPr>
      <w:r>
        <w:rPr>
          <w:lang w:val="es-ES_tradnl"/>
        </w:rPr>
        <w:t xml:space="preserve">Agregar </w:t>
      </w:r>
      <w:r w:rsidR="00735220">
        <w:rPr>
          <w:lang w:val="es-ES_tradnl"/>
        </w:rPr>
        <w:t xml:space="preserve">al </w:t>
      </w:r>
      <w:r w:rsidR="00735220" w:rsidRPr="00735220">
        <w:rPr>
          <w:lang w:val="es-ES_tradnl"/>
        </w:rPr>
        <w:t xml:space="preserve">año 2022 </w:t>
      </w:r>
      <w:r w:rsidR="00687E96">
        <w:rPr>
          <w:lang w:val="es-ES_tradnl"/>
        </w:rPr>
        <w:t xml:space="preserve">un </w:t>
      </w:r>
      <w:r w:rsidR="003208A7" w:rsidRPr="00B924EB">
        <w:rPr>
          <w:lang w:val="es-ES_tradnl"/>
        </w:rPr>
        <w:t>tramo</w:t>
      </w:r>
      <w:r w:rsidR="00A13BEA" w:rsidRPr="00B924EB">
        <w:rPr>
          <w:lang w:val="es-ES_tradnl"/>
        </w:rPr>
        <w:t xml:space="preserve"> </w:t>
      </w:r>
      <w:r w:rsidR="009D4005">
        <w:rPr>
          <w:lang w:val="es-ES_tradnl"/>
        </w:rPr>
        <w:t xml:space="preserve">que permita </w:t>
      </w:r>
      <w:r w:rsidR="00F744B2">
        <w:rPr>
          <w:lang w:val="es-ES_tradnl"/>
        </w:rPr>
        <w:t xml:space="preserve">otorgar </w:t>
      </w:r>
      <w:r w:rsidR="003208A7" w:rsidRPr="00B924EB">
        <w:rPr>
          <w:lang w:val="es-ES_tradnl"/>
        </w:rPr>
        <w:t>financiamiento</w:t>
      </w:r>
      <w:r w:rsidR="00A13BEA" w:rsidRPr="00B924EB">
        <w:rPr>
          <w:lang w:val="es-ES_tradnl"/>
        </w:rPr>
        <w:t xml:space="preserve"> </w:t>
      </w:r>
      <w:r w:rsidR="000521A3" w:rsidRPr="00B924EB">
        <w:rPr>
          <w:lang w:val="es-ES_tradnl"/>
        </w:rPr>
        <w:t>adicional</w:t>
      </w:r>
      <w:r w:rsidR="00A13BEA" w:rsidRPr="00B924EB">
        <w:rPr>
          <w:lang w:val="es-ES_tradnl"/>
        </w:rPr>
        <w:t xml:space="preserve"> </w:t>
      </w:r>
      <w:r w:rsidR="004135A5" w:rsidRPr="00B924EB">
        <w:rPr>
          <w:lang w:val="es-ES_tradnl"/>
        </w:rPr>
        <w:t>una vez</w:t>
      </w:r>
      <w:r w:rsidR="00A13BEA" w:rsidRPr="00B924EB">
        <w:rPr>
          <w:lang w:val="es-ES_tradnl"/>
        </w:rPr>
        <w:t xml:space="preserve"> </w:t>
      </w:r>
      <w:r w:rsidR="00C823DD">
        <w:rPr>
          <w:lang w:val="es-ES_tradnl"/>
        </w:rPr>
        <w:t xml:space="preserve">terminada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E32F1" w:rsidRPr="00B924EB">
        <w:rPr>
          <w:lang w:val="es-ES_tradnl"/>
        </w:rPr>
        <w:t>,</w:t>
      </w:r>
      <w:r w:rsidR="00A13BEA" w:rsidRPr="00B924EB">
        <w:rPr>
          <w:lang w:val="es-ES_tradnl"/>
        </w:rPr>
        <w:t xml:space="preserve"> </w:t>
      </w:r>
      <w:r w:rsidR="00183E54">
        <w:rPr>
          <w:lang w:val="es-ES_tradnl"/>
        </w:rPr>
        <w:t>manteniéndose</w:t>
      </w:r>
      <w:r w:rsidR="0087652C">
        <w:rPr>
          <w:lang w:val="es-ES_tradnl"/>
        </w:rPr>
        <w:t xml:space="preserve"> </w:t>
      </w:r>
      <w:r w:rsidR="003E6010">
        <w:rPr>
          <w:lang w:val="es-ES_tradnl"/>
        </w:rPr>
        <w:t xml:space="preserve">una estrecha </w:t>
      </w:r>
      <w:r w:rsidR="001A1006" w:rsidRPr="00B924EB">
        <w:rPr>
          <w:lang w:val="es-ES_tradnl"/>
        </w:rPr>
        <w:t>supervisión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E26F0F" w:rsidRPr="00B924EB">
        <w:rPr>
          <w:lang w:val="es-ES_tradnl"/>
        </w:rPr>
        <w:t>las</w:t>
      </w:r>
      <w:r w:rsidR="00A13BEA" w:rsidRPr="00B924EB">
        <w:rPr>
          <w:lang w:val="es-ES_tradnl"/>
        </w:rPr>
        <w:t xml:space="preserve"> </w:t>
      </w:r>
      <w:r w:rsidR="00E26F0F" w:rsidRPr="00B924EB">
        <w:rPr>
          <w:lang w:val="es-ES_tradnl"/>
        </w:rPr>
        <w:t>actividades</w:t>
      </w:r>
      <w:r w:rsidR="008616A7" w:rsidRPr="00B924EB">
        <w:rPr>
          <w:lang w:val="es-ES_tradnl"/>
        </w:rPr>
        <w:t>;</w:t>
      </w:r>
      <w:r w:rsidR="00A13BEA" w:rsidRPr="00B924EB">
        <w:rPr>
          <w:lang w:val="es-ES_tradnl"/>
        </w:rPr>
        <w:t xml:space="preserve"> </w:t>
      </w:r>
      <w:r w:rsidR="00755C5D" w:rsidRPr="00B924EB">
        <w:rPr>
          <w:lang w:val="es-ES_tradnl"/>
        </w:rPr>
        <w:t>y</w:t>
      </w:r>
    </w:p>
    <w:p w14:paraId="7FB82BC8" w14:textId="59A045B6" w:rsidR="00847C65" w:rsidRPr="00B924EB" w:rsidRDefault="00C27863" w:rsidP="00562E32">
      <w:pPr>
        <w:pStyle w:val="Heading2"/>
        <w:rPr>
          <w:lang w:val="es-ES_tradnl"/>
        </w:rPr>
      </w:pPr>
      <w:r>
        <w:rPr>
          <w:lang w:val="es-ES_tradnl"/>
        </w:rPr>
        <w:t xml:space="preserve">El </w:t>
      </w:r>
      <w:r w:rsidR="00055F50" w:rsidRPr="00B924EB">
        <w:rPr>
          <w:lang w:val="es-ES_tradnl"/>
        </w:rPr>
        <w:t>segundo</w:t>
      </w:r>
      <w:r w:rsidR="00A13BEA" w:rsidRPr="00B924EB">
        <w:rPr>
          <w:lang w:val="es-ES_tradnl"/>
        </w:rPr>
        <w:t xml:space="preserve"> </w:t>
      </w:r>
      <w:r w:rsidR="00755C5D" w:rsidRPr="00B924EB">
        <w:rPr>
          <w:lang w:val="es-ES_tradnl"/>
        </w:rPr>
        <w:t>tramo</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861229" w:rsidRPr="00B924EB">
        <w:rPr>
          <w:lang w:val="es-ES_tradnl"/>
        </w:rPr>
        <w:t>I</w:t>
      </w:r>
      <w:r w:rsidR="00A13BEA" w:rsidRPr="00B924EB">
        <w:rPr>
          <w:lang w:val="es-ES_tradnl"/>
        </w:rPr>
        <w:t xml:space="preserve"> </w:t>
      </w:r>
      <w:r w:rsidRPr="00C27863">
        <w:rPr>
          <w:lang w:val="es-ES_tradnl"/>
        </w:rPr>
        <w:t xml:space="preserve">podrá </w:t>
      </w:r>
      <w:r w:rsidR="006D497D">
        <w:rPr>
          <w:lang w:val="es-ES_tradnl"/>
        </w:rPr>
        <w:t>se</w:t>
      </w:r>
      <w:r w:rsidR="00213DA1">
        <w:rPr>
          <w:lang w:val="es-ES_tradnl"/>
        </w:rPr>
        <w:t>r</w:t>
      </w:r>
      <w:r w:rsidR="006D497D">
        <w:rPr>
          <w:lang w:val="es-ES_tradnl"/>
        </w:rPr>
        <w:t xml:space="preserve"> evaluado</w:t>
      </w:r>
      <w:r w:rsidRPr="00C27863">
        <w:rPr>
          <w:lang w:val="es-ES_tradnl"/>
        </w:rPr>
        <w:t xml:space="preserve"> </w:t>
      </w:r>
      <w:r w:rsidR="00960176">
        <w:rPr>
          <w:lang w:val="es-ES_tradnl"/>
        </w:rPr>
        <w:t xml:space="preserve">sólo </w:t>
      </w:r>
      <w:r w:rsidR="00E26F0F" w:rsidRPr="00B924EB">
        <w:rPr>
          <w:lang w:val="es-ES_tradnl"/>
        </w:rPr>
        <w:t>después</w:t>
      </w:r>
      <w:r w:rsidR="00A13BEA" w:rsidRPr="00B924EB">
        <w:rPr>
          <w:lang w:val="es-ES_tradnl"/>
        </w:rPr>
        <w:t xml:space="preserve"> </w:t>
      </w:r>
      <w:r w:rsidR="00E61822">
        <w:rPr>
          <w:lang w:val="es-ES_tradnl"/>
        </w:rPr>
        <w:t xml:space="preserve">de que </w:t>
      </w:r>
      <w:r w:rsidR="00755C5D"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55C5D" w:rsidRPr="00B924EB">
        <w:rPr>
          <w:lang w:val="es-ES_tradnl"/>
        </w:rPr>
        <w:t>la</w:t>
      </w:r>
      <w:r w:rsidR="00A13BEA" w:rsidRPr="00B924EB">
        <w:rPr>
          <w:lang w:val="es-ES_tradnl"/>
        </w:rPr>
        <w:t xml:space="preserve"> </w:t>
      </w:r>
      <w:r w:rsidR="00755C5D" w:rsidRPr="00B924EB">
        <w:rPr>
          <w:lang w:val="es-ES_tradnl"/>
        </w:rPr>
        <w:t>ONUDI</w:t>
      </w:r>
      <w:r w:rsidR="00A13BEA" w:rsidRPr="00B924EB">
        <w:rPr>
          <w:lang w:val="es-ES_tradnl"/>
        </w:rPr>
        <w:t xml:space="preserve"> </w:t>
      </w:r>
      <w:r w:rsidR="009E645E">
        <w:rPr>
          <w:lang w:val="es-ES_tradnl"/>
        </w:rPr>
        <w:t xml:space="preserve">adjunten a </w:t>
      </w:r>
      <w:r w:rsidR="009E645E" w:rsidRPr="009E645E">
        <w:rPr>
          <w:lang w:val="es-ES_tradnl"/>
        </w:rPr>
        <w:t xml:space="preserve">los informes de finalización de proyecto </w:t>
      </w:r>
      <w:r w:rsidR="00EE7A6B">
        <w:rPr>
          <w:lang w:val="es-ES_tradnl"/>
        </w:rPr>
        <w:t>la confirmación</w:t>
      </w:r>
      <w:r w:rsidR="00D1766C">
        <w:rPr>
          <w:lang w:val="es-ES_tradnl"/>
        </w:rPr>
        <w:t xml:space="preserve"> </w:t>
      </w:r>
      <w:r w:rsidR="00EE7A6B">
        <w:rPr>
          <w:lang w:val="es-ES_tradnl"/>
        </w:rPr>
        <w:t>d</w:t>
      </w:r>
      <w:r w:rsidR="00D03B2B">
        <w:rPr>
          <w:lang w:val="es-ES_tradnl"/>
        </w:rPr>
        <w:t xml:space="preserve">el término operacional de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A13BEA" w:rsidRPr="00B924EB">
        <w:rPr>
          <w:lang w:val="es-ES_tradnl"/>
        </w:rPr>
        <w:t xml:space="preserve"> </w:t>
      </w:r>
      <w:r w:rsidR="00214E69" w:rsidRPr="00B924EB">
        <w:rPr>
          <w:lang w:val="es-ES_tradnl"/>
        </w:rPr>
        <w:t>(</w:t>
      </w:r>
      <w:r w:rsidR="00C73C39">
        <w:rPr>
          <w:lang w:val="es-ES_tradnl"/>
        </w:rPr>
        <w:t xml:space="preserve">en </w:t>
      </w:r>
      <w:r w:rsidR="00852064">
        <w:rPr>
          <w:lang w:val="es-ES_tradnl"/>
        </w:rPr>
        <w:t xml:space="preserve">todos </w:t>
      </w:r>
      <w:r w:rsidR="00C73C39">
        <w:rPr>
          <w:lang w:val="es-ES_tradnl"/>
        </w:rPr>
        <w:t xml:space="preserve">sus </w:t>
      </w:r>
      <w:r w:rsidR="00755C5D" w:rsidRPr="00B924EB">
        <w:rPr>
          <w:lang w:val="es-ES_tradnl"/>
        </w:rPr>
        <w:t>tramo</w:t>
      </w:r>
      <w:r w:rsidR="00D534E7" w:rsidRPr="00B924EB">
        <w:rPr>
          <w:lang w:val="es-ES_tradnl"/>
        </w:rPr>
        <w:t>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C556A6">
        <w:rPr>
          <w:lang w:val="es-ES_tradnl"/>
        </w:rPr>
        <w:t xml:space="preserve">reintegren los </w:t>
      </w:r>
      <w:r w:rsidR="004135A5" w:rsidRPr="00B924EB">
        <w:rPr>
          <w:lang w:val="es-ES_tradnl"/>
        </w:rPr>
        <w:t>saldo</w:t>
      </w:r>
      <w:r w:rsidR="00E72E82" w:rsidRPr="00B924EB">
        <w:rPr>
          <w:lang w:val="es-ES_tradnl"/>
        </w:rPr>
        <w:t>s</w:t>
      </w:r>
      <w:r w:rsidR="00A13BEA" w:rsidRPr="00B924EB">
        <w:rPr>
          <w:lang w:val="es-ES_tradnl"/>
        </w:rPr>
        <w:t xml:space="preserve"> </w:t>
      </w:r>
      <w:r w:rsidR="006E41FB">
        <w:rPr>
          <w:lang w:val="es-ES_tradnl"/>
        </w:rPr>
        <w:t>respectivos</w:t>
      </w:r>
      <w:r w:rsidR="007D34FF">
        <w:rPr>
          <w:lang w:val="es-ES_tradnl"/>
        </w:rPr>
        <w:t xml:space="preserve"> </w:t>
      </w:r>
      <w:r w:rsidR="00CB72CE" w:rsidRPr="00B924EB">
        <w:rPr>
          <w:lang w:val="es-ES_tradnl"/>
        </w:rPr>
        <w:t>al</w:t>
      </w:r>
      <w:r w:rsidR="00A13BEA" w:rsidRPr="00B924EB">
        <w:rPr>
          <w:lang w:val="es-ES_tradnl"/>
        </w:rPr>
        <w:t xml:space="preserve"> </w:t>
      </w:r>
      <w:r w:rsidR="00CB72CE" w:rsidRPr="00B924EB">
        <w:rPr>
          <w:lang w:val="es-ES_tradnl"/>
        </w:rPr>
        <w:t>Fondo</w:t>
      </w:r>
      <w:r w:rsidR="00A13BEA" w:rsidRPr="00B924EB">
        <w:rPr>
          <w:lang w:val="es-ES_tradnl"/>
        </w:rPr>
        <w:t xml:space="preserve"> </w:t>
      </w:r>
      <w:r w:rsidR="00755C5D" w:rsidRPr="00B924EB">
        <w:rPr>
          <w:lang w:val="es-ES_tradnl"/>
        </w:rPr>
        <w:t>Multilateral</w:t>
      </w:r>
      <w:r w:rsidR="00562E32" w:rsidRPr="00B924EB">
        <w:rPr>
          <w:lang w:val="es-ES_tradnl"/>
        </w:rPr>
        <w:t>;</w:t>
      </w:r>
      <w:r w:rsidR="00A13BEA" w:rsidRPr="00B924EB">
        <w:rPr>
          <w:lang w:val="es-ES_tradnl"/>
        </w:rPr>
        <w:t xml:space="preserve"> </w:t>
      </w:r>
      <w:r w:rsidR="00F37C26">
        <w:rPr>
          <w:lang w:val="es-ES_tradnl"/>
        </w:rPr>
        <w:t>debiendo</w:t>
      </w:r>
      <w:r w:rsidR="00FF1251">
        <w:rPr>
          <w:lang w:val="es-ES_tradnl"/>
        </w:rPr>
        <w:t xml:space="preserve"> </w:t>
      </w:r>
      <w:r w:rsidR="00D364E8">
        <w:rPr>
          <w:lang w:val="es-ES_tradnl"/>
        </w:rPr>
        <w:t xml:space="preserve">además confirmar </w:t>
      </w:r>
      <w:r w:rsidR="00B7684C" w:rsidRPr="00B7684C">
        <w:rPr>
          <w:lang w:val="es-ES_tradnl"/>
        </w:rPr>
        <w:t xml:space="preserve">el cierre operacional, la presentación de informes de finalización y el reintegro al Fondo </w:t>
      </w:r>
      <w:r w:rsidR="004D1947" w:rsidRPr="004D1947">
        <w:rPr>
          <w:lang w:val="es-ES_tradnl"/>
        </w:rPr>
        <w:t xml:space="preserve">de los saldos </w:t>
      </w:r>
      <w:r w:rsidR="00B7684C">
        <w:rPr>
          <w:lang w:val="es-ES_tradnl"/>
        </w:rPr>
        <w:t>correspondiente</w:t>
      </w:r>
      <w:r w:rsidR="009D282B">
        <w:rPr>
          <w:lang w:val="es-ES_tradnl"/>
        </w:rPr>
        <w:t>s</w:t>
      </w:r>
      <w:r w:rsidR="00B7684C">
        <w:rPr>
          <w:lang w:val="es-ES_tradnl"/>
        </w:rPr>
        <w:t xml:space="preserve"> a </w:t>
      </w:r>
      <w:r w:rsidR="00052579">
        <w:rPr>
          <w:lang w:val="es-ES_tradnl"/>
        </w:rPr>
        <w:t xml:space="preserve">las </w:t>
      </w:r>
      <w:r w:rsidR="00724B34">
        <w:rPr>
          <w:lang w:val="es-ES_tradnl"/>
        </w:rPr>
        <w:t>actividades</w:t>
      </w:r>
      <w:r w:rsidR="00A13BEA" w:rsidRPr="00B924EB">
        <w:rPr>
          <w:lang w:val="es-ES_tradnl"/>
        </w:rPr>
        <w:t xml:space="preserve"> </w:t>
      </w:r>
      <w:r w:rsidR="00275F57">
        <w:rPr>
          <w:lang w:val="es-ES_tradnl"/>
        </w:rPr>
        <w:t xml:space="preserve">en curso </w:t>
      </w:r>
      <w:r w:rsidR="00086F1E">
        <w:rPr>
          <w:lang w:val="es-ES_tradnl"/>
        </w:rPr>
        <w:t xml:space="preserve">del </w:t>
      </w:r>
      <w:r w:rsidR="00E74272" w:rsidRPr="00B924EB">
        <w:rPr>
          <w:lang w:val="es-ES_tradnl"/>
        </w:rPr>
        <w:t>plan</w:t>
      </w:r>
      <w:r w:rsidR="00A13BEA" w:rsidRPr="00B924EB">
        <w:rPr>
          <w:lang w:val="es-ES_tradnl"/>
        </w:rPr>
        <w:t xml:space="preserve"> </w:t>
      </w:r>
      <w:r w:rsidR="00086F1E" w:rsidRPr="00086F1E">
        <w:rPr>
          <w:lang w:val="es-ES_tradnl"/>
        </w:rPr>
        <w:t xml:space="preserve">nacional </w:t>
      </w:r>
      <w:r w:rsidR="00E74272" w:rsidRPr="00B924EB">
        <w:rPr>
          <w:lang w:val="es-ES_tradnl"/>
        </w:rPr>
        <w:t>de</w:t>
      </w:r>
      <w:r w:rsidR="00A13BEA" w:rsidRPr="00B924EB">
        <w:rPr>
          <w:lang w:val="es-ES_tradnl"/>
        </w:rPr>
        <w:t xml:space="preserve"> </w:t>
      </w:r>
      <w:r w:rsidR="00E74272" w:rsidRPr="00B924EB">
        <w:rPr>
          <w:lang w:val="es-ES_tradnl"/>
        </w:rPr>
        <w:t>eliminación</w:t>
      </w:r>
      <w:r w:rsidR="00A13BEA" w:rsidRPr="00B924EB">
        <w:rPr>
          <w:lang w:val="es-ES_tradnl"/>
        </w:rPr>
        <w:t xml:space="preserve"> </w:t>
      </w:r>
      <w:r w:rsidR="00847C65" w:rsidRPr="00B924EB">
        <w:rPr>
          <w:lang w:val="es-ES_tradnl"/>
        </w:rPr>
        <w:t>(IRQ/PHA/58/INV/09)</w:t>
      </w:r>
      <w:r w:rsidR="00300371">
        <w:rPr>
          <w:lang w:val="es-ES_tradnl"/>
        </w:rPr>
        <w:t xml:space="preserve">, en especial </w:t>
      </w:r>
      <w:r w:rsidR="00A90266">
        <w:rPr>
          <w:lang w:val="es-ES_tradnl"/>
        </w:rPr>
        <w:t>el reemplazo de</w:t>
      </w:r>
      <w:r w:rsidR="00FE47AB">
        <w:rPr>
          <w:lang w:val="es-ES_tradnl"/>
        </w:rPr>
        <w:t>l</w:t>
      </w:r>
      <w:r w:rsidR="00A90266">
        <w:rPr>
          <w:lang w:val="es-ES_tradnl"/>
        </w:rPr>
        <w:t xml:space="preserve"> </w:t>
      </w:r>
      <w:r w:rsidR="00E26F0F" w:rsidRPr="00B924EB">
        <w:rPr>
          <w:lang w:val="es-ES_tradnl"/>
        </w:rPr>
        <w:t>refrigerante</w:t>
      </w:r>
      <w:r w:rsidR="00A13BEA" w:rsidRPr="00B924EB">
        <w:rPr>
          <w:lang w:val="es-ES_tradnl"/>
        </w:rPr>
        <w:t xml:space="preserve"> </w:t>
      </w:r>
      <w:r w:rsidR="00A90266" w:rsidRPr="00A90266">
        <w:rPr>
          <w:lang w:val="es-ES_tradnl"/>
        </w:rPr>
        <w:t xml:space="preserve">CFC-12 </w:t>
      </w:r>
      <w:r w:rsidR="00A90266">
        <w:rPr>
          <w:lang w:val="es-ES_tradnl"/>
        </w:rPr>
        <w:t xml:space="preserve">por </w:t>
      </w:r>
      <w:proofErr w:type="spellStart"/>
      <w:r w:rsidR="00DB3D7B" w:rsidRPr="00B924EB">
        <w:rPr>
          <w:lang w:val="es-ES_tradnl"/>
        </w:rPr>
        <w:t>isobutano</w:t>
      </w:r>
      <w:proofErr w:type="spellEnd"/>
      <w:r w:rsidR="00A13BEA" w:rsidRPr="00B924EB">
        <w:rPr>
          <w:lang w:val="es-ES_tradnl"/>
        </w:rPr>
        <w:t xml:space="preserve"> </w:t>
      </w:r>
      <w:r w:rsidR="00755C5D" w:rsidRPr="00B924EB">
        <w:rPr>
          <w:lang w:val="es-ES_tradnl"/>
        </w:rPr>
        <w:t>y</w:t>
      </w:r>
      <w:r w:rsidR="00A13BEA" w:rsidRPr="00B924EB">
        <w:rPr>
          <w:lang w:val="es-ES_tradnl"/>
        </w:rPr>
        <w:t xml:space="preserve"> </w:t>
      </w:r>
      <w:r w:rsidR="00511950">
        <w:rPr>
          <w:lang w:val="es-ES_tradnl"/>
        </w:rPr>
        <w:t xml:space="preserve">del </w:t>
      </w:r>
      <w:r w:rsidR="009374DA" w:rsidRPr="00B924EB">
        <w:rPr>
          <w:lang w:val="es-ES_tradnl"/>
        </w:rPr>
        <w:t>agente</w:t>
      </w:r>
      <w:r w:rsidR="00A13BEA" w:rsidRPr="00B924EB">
        <w:rPr>
          <w:lang w:val="es-ES_tradnl"/>
        </w:rPr>
        <w:t xml:space="preserve"> </w:t>
      </w:r>
      <w:r w:rsidR="009374DA" w:rsidRPr="00B924EB">
        <w:rPr>
          <w:lang w:val="es-ES_tradnl"/>
        </w:rPr>
        <w:t>espumante</w:t>
      </w:r>
      <w:r w:rsidR="00A13BEA" w:rsidRPr="00B924EB">
        <w:rPr>
          <w:lang w:val="es-ES_tradnl"/>
        </w:rPr>
        <w:t xml:space="preserve"> </w:t>
      </w:r>
      <w:r w:rsidR="004525DA" w:rsidRPr="004525DA">
        <w:rPr>
          <w:lang w:val="es-ES_tradnl"/>
        </w:rPr>
        <w:t>CFC-11</w:t>
      </w:r>
      <w:r w:rsidR="004525DA">
        <w:rPr>
          <w:lang w:val="es-ES_tradnl"/>
        </w:rPr>
        <w:t xml:space="preserve"> </w:t>
      </w:r>
      <w:r w:rsidR="00FE47AB">
        <w:rPr>
          <w:lang w:val="es-ES_tradnl"/>
        </w:rPr>
        <w:t xml:space="preserve">por </w:t>
      </w:r>
      <w:proofErr w:type="spellStart"/>
      <w:r w:rsidR="00DB3D7B" w:rsidRPr="00B924EB">
        <w:rPr>
          <w:lang w:val="es-ES_tradnl"/>
        </w:rPr>
        <w:t>ciclopentano</w:t>
      </w:r>
      <w:proofErr w:type="spellEnd"/>
      <w:r w:rsidR="00A13BEA" w:rsidRPr="00B924EB">
        <w:rPr>
          <w:lang w:val="es-ES_tradnl"/>
        </w:rPr>
        <w:t xml:space="preserve"> </w:t>
      </w:r>
      <w:r w:rsidR="009374DA" w:rsidRPr="00B924EB">
        <w:rPr>
          <w:lang w:val="es-ES_tradnl"/>
        </w:rPr>
        <w:t>en</w:t>
      </w:r>
      <w:r w:rsidR="00A13BEA" w:rsidRPr="00B924EB">
        <w:rPr>
          <w:lang w:val="es-ES_tradnl"/>
        </w:rPr>
        <w:t xml:space="preserve"> </w:t>
      </w:r>
      <w:r w:rsidR="00DB3D7B" w:rsidRPr="00B924EB">
        <w:rPr>
          <w:lang w:val="es-ES_tradnl"/>
        </w:rPr>
        <w:t>la</w:t>
      </w:r>
      <w:r w:rsidR="00A13BEA" w:rsidRPr="00B924EB">
        <w:rPr>
          <w:lang w:val="es-ES_tradnl"/>
        </w:rPr>
        <w:t xml:space="preserve"> </w:t>
      </w:r>
      <w:r w:rsidR="00DB3D7B" w:rsidRPr="00B924EB">
        <w:rPr>
          <w:lang w:val="es-ES_tradnl"/>
        </w:rPr>
        <w:t>fabricación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363607" w:rsidRPr="00B924EB">
        <w:rPr>
          <w:lang w:val="es-ES_tradnl"/>
        </w:rPr>
        <w:t>refrigeradores</w:t>
      </w:r>
      <w:r w:rsidR="00A13BEA" w:rsidRPr="00B924EB">
        <w:rPr>
          <w:lang w:val="es-ES_tradnl"/>
        </w:rPr>
        <w:t xml:space="preserve"> </w:t>
      </w:r>
      <w:r w:rsidR="00363607" w:rsidRPr="00B924EB">
        <w:rPr>
          <w:lang w:val="es-ES_tradnl"/>
        </w:rPr>
        <w:t>residenciales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9374DA" w:rsidRPr="00B924EB">
        <w:rPr>
          <w:lang w:val="es-ES_tradnl"/>
        </w:rPr>
        <w:t>congeladores</w:t>
      </w:r>
      <w:r w:rsidR="00A13BEA" w:rsidRPr="00B924EB">
        <w:rPr>
          <w:lang w:val="es-ES_tradnl"/>
        </w:rPr>
        <w:t xml:space="preserve"> </w:t>
      </w:r>
      <w:r w:rsidR="00BE599D">
        <w:rPr>
          <w:lang w:val="es-ES_tradnl"/>
        </w:rPr>
        <w:t xml:space="preserve">en </w:t>
      </w:r>
      <w:r w:rsidR="008E5F95">
        <w:rPr>
          <w:lang w:val="es-ES_tradnl"/>
        </w:rPr>
        <w:t xml:space="preserve">la empresa </w:t>
      </w:r>
      <w:r w:rsidR="00847C65" w:rsidRPr="0083084B">
        <w:rPr>
          <w:lang w:val="es-419"/>
        </w:rPr>
        <w:t>Light</w:t>
      </w:r>
      <w:r w:rsidR="00A13BEA" w:rsidRPr="0083084B">
        <w:rPr>
          <w:lang w:val="es-419"/>
        </w:rPr>
        <w:t xml:space="preserve"> </w:t>
      </w:r>
      <w:r w:rsidR="000E0F72" w:rsidRPr="0083084B">
        <w:rPr>
          <w:lang w:val="es-419"/>
        </w:rPr>
        <w:t>Industries</w:t>
      </w:r>
      <w:r w:rsidR="00A13BEA" w:rsidRPr="0083084B">
        <w:rPr>
          <w:lang w:val="es-419"/>
        </w:rPr>
        <w:t xml:space="preserve"> </w:t>
      </w:r>
      <w:r w:rsidR="00847C65" w:rsidRPr="0083084B">
        <w:rPr>
          <w:lang w:val="es-419"/>
        </w:rPr>
        <w:t>Company</w:t>
      </w:r>
      <w:r w:rsidR="00A13BEA" w:rsidRPr="00B924EB">
        <w:rPr>
          <w:lang w:val="es-ES_tradnl"/>
        </w:rPr>
        <w:t xml:space="preserve"> </w:t>
      </w:r>
      <w:r w:rsidR="00847C65" w:rsidRPr="00B924EB">
        <w:rPr>
          <w:lang w:val="es-ES_tradnl"/>
        </w:rPr>
        <w:t>(IRQ/REF/57/INV/07)</w:t>
      </w:r>
      <w:r w:rsidR="00AF0B5F" w:rsidRPr="00B924EB">
        <w:rPr>
          <w:lang w:val="es-ES_tradnl"/>
        </w:rPr>
        <w:t>.</w:t>
      </w:r>
    </w:p>
    <w:p w14:paraId="57749EFA" w14:textId="190536D1" w:rsidR="00086E13" w:rsidRPr="00B924EB" w:rsidRDefault="009E6438" w:rsidP="00086E13">
      <w:pPr>
        <w:pStyle w:val="Heading1"/>
        <w:rPr>
          <w:lang w:val="es-ES_tradnl"/>
        </w:rPr>
      </w:pPr>
      <w:r>
        <w:rPr>
          <w:lang w:val="es-ES_tradnl"/>
        </w:rPr>
        <w:t xml:space="preserve">El </w:t>
      </w:r>
      <w:r w:rsidRPr="009E6438">
        <w:rPr>
          <w:lang w:val="es-ES_tradnl"/>
        </w:rPr>
        <w:t>Cuadro 5</w:t>
      </w:r>
      <w:r>
        <w:rPr>
          <w:lang w:val="es-ES_tradnl"/>
        </w:rPr>
        <w:t xml:space="preserve"> muestra la </w:t>
      </w:r>
      <w:r w:rsidR="00804E3B">
        <w:rPr>
          <w:lang w:val="es-ES_tradnl"/>
        </w:rPr>
        <w:t>re</w:t>
      </w:r>
      <w:r w:rsidR="009374DA" w:rsidRPr="00B924EB">
        <w:rPr>
          <w:lang w:val="es-ES_tradnl"/>
        </w:rPr>
        <w:t>distribución</w:t>
      </w:r>
      <w:r w:rsidR="00A13BEA" w:rsidRPr="00B924EB">
        <w:rPr>
          <w:lang w:val="es-ES_tradnl"/>
        </w:rPr>
        <w:t xml:space="preserve"> </w:t>
      </w:r>
      <w:r w:rsidR="00804E3B">
        <w:rPr>
          <w:lang w:val="es-ES_tradnl"/>
        </w:rPr>
        <w:t xml:space="preserve">de los tramos de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086E13" w:rsidRPr="00B924EB">
        <w:rPr>
          <w:lang w:val="es-ES_tradnl"/>
        </w:rPr>
        <w:t>I.</w:t>
      </w:r>
    </w:p>
    <w:p w14:paraId="3003B875" w14:textId="5FE81634" w:rsidR="00086E13" w:rsidRPr="00B924EB" w:rsidRDefault="00755C5D" w:rsidP="00086E13">
      <w:pPr>
        <w:pStyle w:val="Heading1"/>
        <w:numPr>
          <w:ilvl w:val="0"/>
          <w:numId w:val="0"/>
        </w:numPr>
        <w:spacing w:after="0"/>
        <w:rPr>
          <w:b/>
          <w:lang w:val="es-ES_tradnl"/>
        </w:rPr>
      </w:pPr>
      <w:r w:rsidRPr="00B924EB">
        <w:rPr>
          <w:b/>
          <w:lang w:val="es-ES_tradnl"/>
        </w:rPr>
        <w:t>Cuadro</w:t>
      </w:r>
      <w:r w:rsidR="00A13BEA" w:rsidRPr="00B924EB">
        <w:rPr>
          <w:b/>
          <w:lang w:val="es-ES_tradnl"/>
        </w:rPr>
        <w:t xml:space="preserve"> </w:t>
      </w:r>
      <w:r w:rsidR="000250F8" w:rsidRPr="00B924EB">
        <w:rPr>
          <w:b/>
          <w:lang w:val="es-ES_tradnl"/>
        </w:rPr>
        <w:t>5</w:t>
      </w:r>
      <w:r w:rsidR="00086E13" w:rsidRPr="00B924EB">
        <w:rPr>
          <w:b/>
          <w:lang w:val="es-ES_tradnl"/>
        </w:rPr>
        <w:t>.</w:t>
      </w:r>
      <w:r w:rsidR="00A13BEA" w:rsidRPr="00B924EB">
        <w:rPr>
          <w:b/>
          <w:lang w:val="es-ES_tradnl"/>
        </w:rPr>
        <w:t xml:space="preserve"> </w:t>
      </w:r>
      <w:r w:rsidR="000711D7" w:rsidRPr="002244F2">
        <w:rPr>
          <w:b/>
          <w:lang w:val="es-ES_tradnl"/>
        </w:rPr>
        <w:t>D</w:t>
      </w:r>
      <w:r w:rsidR="002244F2" w:rsidRPr="002244F2">
        <w:rPr>
          <w:b/>
          <w:lang w:val="es-ES_tradnl"/>
        </w:rPr>
        <w:t>istribución</w:t>
      </w:r>
      <w:r w:rsidR="000711D7">
        <w:rPr>
          <w:b/>
          <w:lang w:val="es-ES_tradnl"/>
        </w:rPr>
        <w:t xml:space="preserve"> original</w:t>
      </w:r>
      <w:r w:rsidR="002244F2" w:rsidRPr="002244F2">
        <w:rPr>
          <w:b/>
          <w:lang w:val="es-ES_tradnl"/>
        </w:rPr>
        <w:t xml:space="preserve"> </w:t>
      </w:r>
      <w:r w:rsidR="000711D7">
        <w:rPr>
          <w:b/>
          <w:lang w:val="es-ES_tradnl"/>
        </w:rPr>
        <w:t xml:space="preserve">y </w:t>
      </w:r>
      <w:r w:rsidR="005157B5" w:rsidRPr="005157B5">
        <w:rPr>
          <w:b/>
          <w:lang w:val="es-ES_tradnl"/>
        </w:rPr>
        <w:t>corregida</w:t>
      </w:r>
      <w:r w:rsidR="000711D7">
        <w:rPr>
          <w:b/>
          <w:lang w:val="es-ES_tradnl"/>
        </w:rPr>
        <w:t xml:space="preserve"> </w:t>
      </w:r>
      <w:r w:rsidR="002244F2" w:rsidRPr="002244F2">
        <w:rPr>
          <w:b/>
          <w:lang w:val="es-ES_tradnl"/>
        </w:rPr>
        <w:t>de los tramos de la etapa II</w:t>
      </w:r>
      <w:r w:rsidR="002244F2">
        <w:rPr>
          <w:b/>
          <w:lang w:val="es-ES_tradnl"/>
        </w:rPr>
        <w:t xml:space="preserve"> </w:t>
      </w:r>
      <w:r w:rsidRPr="00B924EB">
        <w:rPr>
          <w:b/>
          <w:lang w:val="es-ES_tradnl"/>
        </w:rPr>
        <w:t>d</w:t>
      </w:r>
      <w:r w:rsidR="00DB3D7B" w:rsidRPr="00B924EB">
        <w:rPr>
          <w:b/>
          <w:lang w:val="es-ES_tradnl"/>
        </w:rPr>
        <w:t>el</w:t>
      </w:r>
      <w:r w:rsidR="00A13BEA" w:rsidRPr="00B924EB">
        <w:rPr>
          <w:b/>
          <w:lang w:val="es-ES_tradnl"/>
        </w:rPr>
        <w:t xml:space="preserve"> </w:t>
      </w:r>
      <w:r w:rsidR="00DB3D7B" w:rsidRPr="00B924EB">
        <w:rPr>
          <w:b/>
          <w:lang w:val="es-ES_tradnl"/>
        </w:rPr>
        <w:t>PGEH</w:t>
      </w:r>
      <w:r w:rsidR="00A13BEA" w:rsidRPr="00B924EB">
        <w:rPr>
          <w:b/>
          <w:lang w:val="es-ES_tradnl"/>
        </w:rPr>
        <w:t xml:space="preserve"> </w:t>
      </w:r>
      <w:r w:rsidR="00DB3D7B" w:rsidRPr="00B924EB">
        <w:rPr>
          <w:b/>
          <w:lang w:val="es-ES_tradnl"/>
        </w:rPr>
        <w:t>para</w:t>
      </w:r>
      <w:r w:rsidR="00A13BEA" w:rsidRPr="00B924EB">
        <w:rPr>
          <w:b/>
          <w:lang w:val="es-ES_tradnl"/>
        </w:rPr>
        <w:t xml:space="preserve"> </w:t>
      </w:r>
      <w:r w:rsidR="00086E13" w:rsidRPr="00B924EB">
        <w:rPr>
          <w:b/>
          <w:lang w:val="es-ES_tradnl"/>
        </w:rPr>
        <w:t>Iraq</w:t>
      </w:r>
    </w:p>
    <w:tbl>
      <w:tblPr>
        <w:tblStyle w:val="TableGrid"/>
        <w:tblW w:w="0" w:type="auto"/>
        <w:tblLook w:val="04A0" w:firstRow="1" w:lastRow="0" w:firstColumn="1" w:lastColumn="0" w:noHBand="0" w:noVBand="1"/>
      </w:tblPr>
      <w:tblGrid>
        <w:gridCol w:w="1951"/>
        <w:gridCol w:w="1165"/>
        <w:gridCol w:w="1559"/>
        <w:gridCol w:w="1558"/>
        <w:gridCol w:w="1558"/>
        <w:gridCol w:w="1559"/>
      </w:tblGrid>
      <w:tr w:rsidR="00086E13" w:rsidRPr="00B924EB" w14:paraId="74888219" w14:textId="77777777" w:rsidTr="00CC4EBD">
        <w:trPr>
          <w:tblHeader/>
        </w:trPr>
        <w:tc>
          <w:tcPr>
            <w:tcW w:w="1951" w:type="dxa"/>
          </w:tcPr>
          <w:p w14:paraId="324AA9F1" w14:textId="3F0E6A0B" w:rsidR="00086E13" w:rsidRPr="00B924EB" w:rsidRDefault="00345C53" w:rsidP="00076A89">
            <w:pPr>
              <w:jc w:val="left"/>
              <w:rPr>
                <w:b/>
                <w:sz w:val="20"/>
                <w:szCs w:val="20"/>
                <w:lang w:val="es-ES_tradnl"/>
              </w:rPr>
            </w:pPr>
            <w:r>
              <w:rPr>
                <w:b/>
                <w:sz w:val="20"/>
                <w:szCs w:val="20"/>
                <w:lang w:val="es-ES_tradnl"/>
              </w:rPr>
              <w:t>Según lo presentado</w:t>
            </w:r>
          </w:p>
        </w:tc>
        <w:tc>
          <w:tcPr>
            <w:tcW w:w="1165" w:type="dxa"/>
          </w:tcPr>
          <w:p w14:paraId="756659C4" w14:textId="77777777" w:rsidR="00086E13" w:rsidRPr="00B924EB" w:rsidRDefault="00086E13" w:rsidP="00086E13">
            <w:pPr>
              <w:jc w:val="center"/>
              <w:rPr>
                <w:b/>
                <w:sz w:val="20"/>
                <w:szCs w:val="20"/>
                <w:lang w:val="es-ES_tradnl"/>
              </w:rPr>
            </w:pPr>
            <w:r w:rsidRPr="00B924EB">
              <w:rPr>
                <w:b/>
                <w:sz w:val="20"/>
                <w:szCs w:val="20"/>
                <w:lang w:val="es-ES_tradnl"/>
              </w:rPr>
              <w:t>2021</w:t>
            </w:r>
          </w:p>
        </w:tc>
        <w:tc>
          <w:tcPr>
            <w:tcW w:w="1559" w:type="dxa"/>
          </w:tcPr>
          <w:p w14:paraId="728E9E86" w14:textId="77777777" w:rsidR="00086E13" w:rsidRPr="00B924EB" w:rsidRDefault="00086E13" w:rsidP="00086E13">
            <w:pPr>
              <w:jc w:val="center"/>
              <w:rPr>
                <w:b/>
                <w:sz w:val="20"/>
                <w:szCs w:val="20"/>
                <w:lang w:val="es-ES_tradnl"/>
              </w:rPr>
            </w:pPr>
            <w:r w:rsidRPr="00B924EB">
              <w:rPr>
                <w:b/>
                <w:sz w:val="20"/>
                <w:szCs w:val="20"/>
                <w:lang w:val="es-ES_tradnl"/>
              </w:rPr>
              <w:t>2022</w:t>
            </w:r>
          </w:p>
        </w:tc>
        <w:tc>
          <w:tcPr>
            <w:tcW w:w="1558" w:type="dxa"/>
          </w:tcPr>
          <w:p w14:paraId="6464714A" w14:textId="77777777" w:rsidR="00086E13" w:rsidRPr="00B924EB" w:rsidRDefault="00086E13" w:rsidP="00086E13">
            <w:pPr>
              <w:jc w:val="center"/>
              <w:rPr>
                <w:b/>
                <w:sz w:val="20"/>
                <w:szCs w:val="20"/>
                <w:lang w:val="es-ES_tradnl"/>
              </w:rPr>
            </w:pPr>
            <w:r w:rsidRPr="00B924EB">
              <w:rPr>
                <w:b/>
                <w:sz w:val="20"/>
                <w:szCs w:val="20"/>
                <w:lang w:val="es-ES_tradnl"/>
              </w:rPr>
              <w:t>2023</w:t>
            </w:r>
          </w:p>
        </w:tc>
        <w:tc>
          <w:tcPr>
            <w:tcW w:w="1558" w:type="dxa"/>
          </w:tcPr>
          <w:p w14:paraId="7C5B1266" w14:textId="77777777" w:rsidR="00086E13" w:rsidRPr="00B924EB" w:rsidRDefault="00086E13" w:rsidP="00086E13">
            <w:pPr>
              <w:jc w:val="center"/>
              <w:rPr>
                <w:b/>
                <w:sz w:val="20"/>
                <w:szCs w:val="20"/>
                <w:lang w:val="es-ES_tradnl"/>
              </w:rPr>
            </w:pPr>
            <w:r w:rsidRPr="00B924EB">
              <w:rPr>
                <w:b/>
                <w:sz w:val="20"/>
                <w:szCs w:val="20"/>
                <w:lang w:val="es-ES_tradnl"/>
              </w:rPr>
              <w:t>2024</w:t>
            </w:r>
          </w:p>
        </w:tc>
        <w:tc>
          <w:tcPr>
            <w:tcW w:w="1559" w:type="dxa"/>
          </w:tcPr>
          <w:p w14:paraId="4CDDD02F" w14:textId="77777777" w:rsidR="00086E13" w:rsidRPr="00B924EB" w:rsidRDefault="00086E13" w:rsidP="00086E13">
            <w:pPr>
              <w:jc w:val="center"/>
              <w:rPr>
                <w:b/>
                <w:sz w:val="20"/>
                <w:szCs w:val="20"/>
                <w:lang w:val="es-ES_tradnl"/>
              </w:rPr>
            </w:pPr>
            <w:r w:rsidRPr="00B924EB">
              <w:rPr>
                <w:b/>
                <w:sz w:val="20"/>
                <w:szCs w:val="20"/>
                <w:lang w:val="es-ES_tradnl"/>
              </w:rPr>
              <w:t>2025</w:t>
            </w:r>
          </w:p>
        </w:tc>
      </w:tr>
      <w:tr w:rsidR="00086E13" w:rsidRPr="00B924EB" w14:paraId="1FC962E2" w14:textId="77777777" w:rsidTr="00CC4EBD">
        <w:tc>
          <w:tcPr>
            <w:tcW w:w="1951" w:type="dxa"/>
          </w:tcPr>
          <w:p w14:paraId="33F3EFEB" w14:textId="70706039" w:rsidR="00086E13" w:rsidRPr="00B924EB" w:rsidRDefault="001A4F35" w:rsidP="00086E13">
            <w:pPr>
              <w:rPr>
                <w:sz w:val="20"/>
                <w:szCs w:val="20"/>
                <w:lang w:val="es-ES_tradnl"/>
              </w:rPr>
            </w:pPr>
            <w:r>
              <w:rPr>
                <w:sz w:val="20"/>
                <w:szCs w:val="20"/>
                <w:lang w:val="es-ES_tradnl"/>
              </w:rPr>
              <w:t>PNUMA</w:t>
            </w:r>
          </w:p>
        </w:tc>
        <w:tc>
          <w:tcPr>
            <w:tcW w:w="1165" w:type="dxa"/>
            <w:tcMar>
              <w:left w:w="115" w:type="dxa"/>
              <w:right w:w="202" w:type="dxa"/>
            </w:tcMar>
          </w:tcPr>
          <w:p w14:paraId="3047E782" w14:textId="0166AB4E" w:rsidR="00086E13" w:rsidRPr="00B924EB" w:rsidRDefault="0035657B" w:rsidP="0035657B">
            <w:pPr>
              <w:jc w:val="right"/>
              <w:rPr>
                <w:sz w:val="20"/>
                <w:szCs w:val="20"/>
                <w:lang w:val="es-ES_tradnl"/>
              </w:rPr>
            </w:pPr>
            <w:r w:rsidRPr="00B924EB">
              <w:rPr>
                <w:sz w:val="20"/>
                <w:szCs w:val="20"/>
                <w:lang w:val="es-ES_tradnl"/>
              </w:rPr>
              <w:t>68</w:t>
            </w:r>
            <w:r w:rsidR="00755C5D" w:rsidRPr="00B924EB">
              <w:rPr>
                <w:sz w:val="20"/>
                <w:szCs w:val="20"/>
                <w:lang w:val="es-ES_tradnl"/>
              </w:rPr>
              <w:t>0.</w:t>
            </w:r>
            <w:r w:rsidRPr="00B924EB">
              <w:rPr>
                <w:sz w:val="20"/>
                <w:szCs w:val="20"/>
                <w:lang w:val="es-ES_tradnl"/>
              </w:rPr>
              <w:t>000</w:t>
            </w:r>
          </w:p>
        </w:tc>
        <w:tc>
          <w:tcPr>
            <w:tcW w:w="1559" w:type="dxa"/>
            <w:tcMar>
              <w:left w:w="115" w:type="dxa"/>
              <w:right w:w="202" w:type="dxa"/>
            </w:tcMar>
          </w:tcPr>
          <w:p w14:paraId="51893799" w14:textId="68225FA2" w:rsidR="00086E13" w:rsidRPr="00B924EB" w:rsidRDefault="0035657B" w:rsidP="0035657B">
            <w:pPr>
              <w:jc w:val="right"/>
              <w:rPr>
                <w:sz w:val="20"/>
                <w:szCs w:val="20"/>
                <w:lang w:val="es-ES_tradnl"/>
              </w:rPr>
            </w:pPr>
            <w:r w:rsidRPr="00B924EB">
              <w:rPr>
                <w:sz w:val="20"/>
                <w:szCs w:val="20"/>
                <w:lang w:val="es-ES_tradnl"/>
              </w:rPr>
              <w:t>0</w:t>
            </w:r>
          </w:p>
        </w:tc>
        <w:tc>
          <w:tcPr>
            <w:tcW w:w="1558" w:type="dxa"/>
            <w:tcMar>
              <w:left w:w="115" w:type="dxa"/>
              <w:right w:w="202" w:type="dxa"/>
            </w:tcMar>
          </w:tcPr>
          <w:p w14:paraId="1826CC77" w14:textId="333424C3" w:rsidR="00086E13" w:rsidRPr="00B924EB" w:rsidRDefault="0035657B" w:rsidP="0035657B">
            <w:pPr>
              <w:jc w:val="right"/>
              <w:rPr>
                <w:sz w:val="20"/>
                <w:szCs w:val="20"/>
                <w:lang w:val="es-ES_tradnl"/>
              </w:rPr>
            </w:pPr>
            <w:r w:rsidRPr="00B924EB">
              <w:rPr>
                <w:sz w:val="20"/>
                <w:szCs w:val="20"/>
                <w:lang w:val="es-ES_tradnl"/>
              </w:rPr>
              <w:t>75</w:t>
            </w:r>
            <w:r w:rsidR="009374DA" w:rsidRPr="00B924EB">
              <w:rPr>
                <w:sz w:val="20"/>
                <w:szCs w:val="20"/>
                <w:lang w:val="es-ES_tradnl"/>
              </w:rPr>
              <w:t>5.</w:t>
            </w:r>
            <w:r w:rsidRPr="00B924EB">
              <w:rPr>
                <w:sz w:val="20"/>
                <w:szCs w:val="20"/>
                <w:lang w:val="es-ES_tradnl"/>
              </w:rPr>
              <w:t>000</w:t>
            </w:r>
          </w:p>
        </w:tc>
        <w:tc>
          <w:tcPr>
            <w:tcW w:w="1558" w:type="dxa"/>
            <w:tcMar>
              <w:left w:w="115" w:type="dxa"/>
              <w:right w:w="202" w:type="dxa"/>
            </w:tcMar>
          </w:tcPr>
          <w:p w14:paraId="237EA994" w14:textId="0BB08C52" w:rsidR="00086E13" w:rsidRPr="00B924EB" w:rsidRDefault="00214E69" w:rsidP="0035657B">
            <w:pPr>
              <w:jc w:val="right"/>
              <w:rPr>
                <w:sz w:val="20"/>
                <w:szCs w:val="20"/>
                <w:lang w:val="es-ES_tradnl"/>
              </w:rPr>
            </w:pPr>
            <w:r w:rsidRPr="00B924EB">
              <w:rPr>
                <w:sz w:val="20"/>
                <w:szCs w:val="20"/>
                <w:lang w:val="es-ES_tradnl"/>
              </w:rPr>
              <w:t>0</w:t>
            </w:r>
          </w:p>
        </w:tc>
        <w:tc>
          <w:tcPr>
            <w:tcW w:w="1559" w:type="dxa"/>
            <w:tcMar>
              <w:left w:w="115" w:type="dxa"/>
              <w:right w:w="202" w:type="dxa"/>
            </w:tcMar>
          </w:tcPr>
          <w:p w14:paraId="4D3C5D05" w14:textId="0E38E45B" w:rsidR="00086E13" w:rsidRPr="00B924EB" w:rsidRDefault="0041040B" w:rsidP="0035657B">
            <w:pPr>
              <w:jc w:val="right"/>
              <w:rPr>
                <w:sz w:val="20"/>
                <w:szCs w:val="20"/>
                <w:lang w:val="es-ES_tradnl"/>
              </w:rPr>
            </w:pPr>
            <w:r w:rsidRPr="00B924EB">
              <w:rPr>
                <w:sz w:val="20"/>
                <w:szCs w:val="20"/>
                <w:lang w:val="es-ES_tradnl"/>
              </w:rPr>
              <w:t>59</w:t>
            </w:r>
            <w:r w:rsidR="00755C5D" w:rsidRPr="00B924EB">
              <w:rPr>
                <w:sz w:val="20"/>
                <w:szCs w:val="20"/>
                <w:lang w:val="es-ES_tradnl"/>
              </w:rPr>
              <w:t>0.</w:t>
            </w:r>
            <w:r w:rsidRPr="00B924EB">
              <w:rPr>
                <w:sz w:val="20"/>
                <w:szCs w:val="20"/>
                <w:lang w:val="es-ES_tradnl"/>
              </w:rPr>
              <w:t>000</w:t>
            </w:r>
          </w:p>
        </w:tc>
      </w:tr>
      <w:tr w:rsidR="00086E13" w:rsidRPr="00B924EB" w14:paraId="381623F5" w14:textId="77777777" w:rsidTr="00CC4EBD">
        <w:tc>
          <w:tcPr>
            <w:tcW w:w="1951" w:type="dxa"/>
          </w:tcPr>
          <w:p w14:paraId="0BE33852" w14:textId="03BD4165" w:rsidR="00086E13" w:rsidRPr="00B924EB" w:rsidRDefault="001A4F35" w:rsidP="00086E13">
            <w:pPr>
              <w:rPr>
                <w:sz w:val="20"/>
                <w:szCs w:val="20"/>
                <w:lang w:val="es-ES_tradnl"/>
              </w:rPr>
            </w:pPr>
            <w:r>
              <w:rPr>
                <w:sz w:val="20"/>
                <w:szCs w:val="20"/>
                <w:lang w:val="es-ES_tradnl"/>
              </w:rPr>
              <w:t>ONUDI</w:t>
            </w:r>
          </w:p>
        </w:tc>
        <w:tc>
          <w:tcPr>
            <w:tcW w:w="1165" w:type="dxa"/>
            <w:tcMar>
              <w:left w:w="115" w:type="dxa"/>
              <w:right w:w="202" w:type="dxa"/>
            </w:tcMar>
          </w:tcPr>
          <w:p w14:paraId="26F44874" w14:textId="44B14920" w:rsidR="00086E13" w:rsidRPr="00B924EB" w:rsidRDefault="0035657B" w:rsidP="0035657B">
            <w:pPr>
              <w:jc w:val="right"/>
              <w:rPr>
                <w:sz w:val="20"/>
                <w:szCs w:val="20"/>
                <w:lang w:val="es-ES_tradnl"/>
              </w:rPr>
            </w:pPr>
            <w:r w:rsidRPr="00B924EB">
              <w:rPr>
                <w:sz w:val="20"/>
                <w:szCs w:val="20"/>
                <w:lang w:val="es-ES_tradnl"/>
              </w:rPr>
              <w:t>34</w:t>
            </w:r>
            <w:r w:rsidR="009374DA" w:rsidRPr="00B924EB">
              <w:rPr>
                <w:sz w:val="20"/>
                <w:szCs w:val="20"/>
                <w:lang w:val="es-ES_tradnl"/>
              </w:rPr>
              <w:t>5.</w:t>
            </w:r>
            <w:r w:rsidRPr="00B924EB">
              <w:rPr>
                <w:sz w:val="20"/>
                <w:szCs w:val="20"/>
                <w:lang w:val="es-ES_tradnl"/>
              </w:rPr>
              <w:t>000</w:t>
            </w:r>
          </w:p>
        </w:tc>
        <w:tc>
          <w:tcPr>
            <w:tcW w:w="1559" w:type="dxa"/>
            <w:tcMar>
              <w:left w:w="115" w:type="dxa"/>
              <w:right w:w="202" w:type="dxa"/>
            </w:tcMar>
          </w:tcPr>
          <w:p w14:paraId="048C597E" w14:textId="165ABBEF" w:rsidR="00086E13" w:rsidRPr="00B924EB" w:rsidRDefault="0035657B" w:rsidP="0035657B">
            <w:pPr>
              <w:jc w:val="right"/>
              <w:rPr>
                <w:sz w:val="20"/>
                <w:szCs w:val="20"/>
                <w:lang w:val="es-ES_tradnl"/>
              </w:rPr>
            </w:pPr>
            <w:r w:rsidRPr="00B924EB">
              <w:rPr>
                <w:sz w:val="20"/>
                <w:szCs w:val="20"/>
                <w:lang w:val="es-ES_tradnl"/>
              </w:rPr>
              <w:t>0</w:t>
            </w:r>
          </w:p>
        </w:tc>
        <w:tc>
          <w:tcPr>
            <w:tcW w:w="1558" w:type="dxa"/>
            <w:tcMar>
              <w:left w:w="115" w:type="dxa"/>
              <w:right w:w="202" w:type="dxa"/>
            </w:tcMar>
          </w:tcPr>
          <w:p w14:paraId="1751F7F7" w14:textId="5ACEC9DD" w:rsidR="00086E13" w:rsidRPr="00B924EB" w:rsidRDefault="0035657B" w:rsidP="0035657B">
            <w:pPr>
              <w:jc w:val="right"/>
              <w:rPr>
                <w:sz w:val="20"/>
                <w:szCs w:val="20"/>
                <w:lang w:val="es-ES_tradnl"/>
              </w:rPr>
            </w:pPr>
            <w:r w:rsidRPr="00B924EB">
              <w:rPr>
                <w:sz w:val="20"/>
                <w:szCs w:val="20"/>
                <w:lang w:val="es-ES_tradnl"/>
              </w:rPr>
              <w:t>37</w:t>
            </w:r>
            <w:r w:rsidR="009374DA" w:rsidRPr="00B924EB">
              <w:rPr>
                <w:sz w:val="20"/>
                <w:szCs w:val="20"/>
                <w:lang w:val="es-ES_tradnl"/>
              </w:rPr>
              <w:t>5.</w:t>
            </w:r>
            <w:r w:rsidRPr="00B924EB">
              <w:rPr>
                <w:sz w:val="20"/>
                <w:szCs w:val="20"/>
                <w:lang w:val="es-ES_tradnl"/>
              </w:rPr>
              <w:t>000</w:t>
            </w:r>
          </w:p>
        </w:tc>
        <w:tc>
          <w:tcPr>
            <w:tcW w:w="1558" w:type="dxa"/>
            <w:tcMar>
              <w:left w:w="115" w:type="dxa"/>
              <w:right w:w="202" w:type="dxa"/>
            </w:tcMar>
          </w:tcPr>
          <w:p w14:paraId="3EA27341" w14:textId="5BE61C03" w:rsidR="00086E13" w:rsidRPr="00B924EB" w:rsidRDefault="00214E69" w:rsidP="0035657B">
            <w:pPr>
              <w:jc w:val="right"/>
              <w:rPr>
                <w:sz w:val="20"/>
                <w:szCs w:val="20"/>
                <w:lang w:val="es-ES_tradnl"/>
              </w:rPr>
            </w:pPr>
            <w:r w:rsidRPr="00B924EB">
              <w:rPr>
                <w:sz w:val="20"/>
                <w:szCs w:val="20"/>
                <w:lang w:val="es-ES_tradnl"/>
              </w:rPr>
              <w:t>0</w:t>
            </w:r>
          </w:p>
        </w:tc>
        <w:tc>
          <w:tcPr>
            <w:tcW w:w="1559" w:type="dxa"/>
            <w:tcMar>
              <w:left w:w="115" w:type="dxa"/>
              <w:right w:w="202" w:type="dxa"/>
            </w:tcMar>
          </w:tcPr>
          <w:p w14:paraId="792C6B1D" w14:textId="26EDD37B" w:rsidR="00086E13" w:rsidRPr="00B924EB" w:rsidRDefault="0041040B" w:rsidP="0035657B">
            <w:pPr>
              <w:jc w:val="right"/>
              <w:rPr>
                <w:sz w:val="20"/>
                <w:szCs w:val="20"/>
                <w:lang w:val="es-ES_tradnl"/>
              </w:rPr>
            </w:pPr>
            <w:r w:rsidRPr="00B924EB">
              <w:rPr>
                <w:sz w:val="20"/>
                <w:szCs w:val="20"/>
                <w:lang w:val="es-ES_tradnl"/>
              </w:rPr>
              <w:t>13</w:t>
            </w:r>
            <w:r w:rsidR="00755C5D" w:rsidRPr="00B924EB">
              <w:rPr>
                <w:sz w:val="20"/>
                <w:szCs w:val="20"/>
                <w:lang w:val="es-ES_tradnl"/>
              </w:rPr>
              <w:t>0.</w:t>
            </w:r>
            <w:r w:rsidRPr="00B924EB">
              <w:rPr>
                <w:sz w:val="20"/>
                <w:szCs w:val="20"/>
                <w:lang w:val="es-ES_tradnl"/>
              </w:rPr>
              <w:t>000</w:t>
            </w:r>
          </w:p>
        </w:tc>
      </w:tr>
      <w:tr w:rsidR="00086E13" w:rsidRPr="00B924EB" w14:paraId="05607F5E" w14:textId="77777777" w:rsidTr="00CC4EBD">
        <w:tc>
          <w:tcPr>
            <w:tcW w:w="1951" w:type="dxa"/>
          </w:tcPr>
          <w:p w14:paraId="446E418D" w14:textId="77777777" w:rsidR="00086E13" w:rsidRPr="00B924EB" w:rsidRDefault="00086E13" w:rsidP="00086E13">
            <w:pPr>
              <w:rPr>
                <w:b/>
                <w:sz w:val="20"/>
                <w:szCs w:val="20"/>
                <w:lang w:val="es-ES_tradnl"/>
              </w:rPr>
            </w:pPr>
            <w:r w:rsidRPr="00B924EB">
              <w:rPr>
                <w:b/>
                <w:sz w:val="20"/>
                <w:szCs w:val="20"/>
                <w:lang w:val="es-ES_tradnl"/>
              </w:rPr>
              <w:t>Total</w:t>
            </w:r>
          </w:p>
        </w:tc>
        <w:tc>
          <w:tcPr>
            <w:tcW w:w="1165" w:type="dxa"/>
            <w:tcMar>
              <w:left w:w="115" w:type="dxa"/>
              <w:right w:w="202" w:type="dxa"/>
            </w:tcMar>
          </w:tcPr>
          <w:p w14:paraId="54D58601" w14:textId="3C863897" w:rsidR="00086E13" w:rsidRPr="00B924EB" w:rsidRDefault="00755C5D" w:rsidP="0035657B">
            <w:pPr>
              <w:jc w:val="right"/>
              <w:rPr>
                <w:b/>
                <w:sz w:val="20"/>
                <w:szCs w:val="20"/>
                <w:lang w:val="es-ES_tradnl"/>
              </w:rPr>
            </w:pPr>
            <w:r w:rsidRPr="00B924EB">
              <w:rPr>
                <w:b/>
                <w:sz w:val="20"/>
                <w:szCs w:val="20"/>
                <w:lang w:val="es-ES_tradnl"/>
              </w:rPr>
              <w:t>1.</w:t>
            </w:r>
            <w:r w:rsidR="0035657B" w:rsidRPr="00B924EB">
              <w:rPr>
                <w:b/>
                <w:sz w:val="20"/>
                <w:szCs w:val="20"/>
                <w:lang w:val="es-ES_tradnl"/>
              </w:rPr>
              <w:t>02</w:t>
            </w:r>
            <w:r w:rsidR="009374DA" w:rsidRPr="00B924EB">
              <w:rPr>
                <w:b/>
                <w:sz w:val="20"/>
                <w:szCs w:val="20"/>
                <w:lang w:val="es-ES_tradnl"/>
              </w:rPr>
              <w:t>5.</w:t>
            </w:r>
            <w:r w:rsidR="0035657B" w:rsidRPr="00B924EB">
              <w:rPr>
                <w:b/>
                <w:sz w:val="20"/>
                <w:szCs w:val="20"/>
                <w:lang w:val="es-ES_tradnl"/>
              </w:rPr>
              <w:t>000</w:t>
            </w:r>
          </w:p>
        </w:tc>
        <w:tc>
          <w:tcPr>
            <w:tcW w:w="1559" w:type="dxa"/>
            <w:tcMar>
              <w:left w:w="115" w:type="dxa"/>
              <w:right w:w="202" w:type="dxa"/>
            </w:tcMar>
          </w:tcPr>
          <w:p w14:paraId="1E82AEA7" w14:textId="4938FC38" w:rsidR="00086E13" w:rsidRPr="00B924EB" w:rsidRDefault="0035657B" w:rsidP="0035657B">
            <w:pPr>
              <w:jc w:val="right"/>
              <w:rPr>
                <w:b/>
                <w:sz w:val="20"/>
                <w:szCs w:val="20"/>
                <w:lang w:val="es-ES_tradnl"/>
              </w:rPr>
            </w:pPr>
            <w:r w:rsidRPr="00B924EB">
              <w:rPr>
                <w:b/>
                <w:sz w:val="20"/>
                <w:szCs w:val="20"/>
                <w:lang w:val="es-ES_tradnl"/>
              </w:rPr>
              <w:t>0</w:t>
            </w:r>
          </w:p>
        </w:tc>
        <w:tc>
          <w:tcPr>
            <w:tcW w:w="1558" w:type="dxa"/>
            <w:tcMar>
              <w:left w:w="115" w:type="dxa"/>
              <w:right w:w="202" w:type="dxa"/>
            </w:tcMar>
          </w:tcPr>
          <w:p w14:paraId="167311CA" w14:textId="43A397D7" w:rsidR="00086E13" w:rsidRPr="00B924EB" w:rsidRDefault="00755C5D" w:rsidP="0035657B">
            <w:pPr>
              <w:jc w:val="right"/>
              <w:rPr>
                <w:b/>
                <w:sz w:val="20"/>
                <w:szCs w:val="20"/>
                <w:lang w:val="es-ES_tradnl"/>
              </w:rPr>
            </w:pPr>
            <w:r w:rsidRPr="00B924EB">
              <w:rPr>
                <w:b/>
                <w:sz w:val="20"/>
                <w:szCs w:val="20"/>
                <w:lang w:val="es-ES_tradnl"/>
              </w:rPr>
              <w:t>1.</w:t>
            </w:r>
            <w:r w:rsidR="0035657B" w:rsidRPr="00B924EB">
              <w:rPr>
                <w:b/>
                <w:sz w:val="20"/>
                <w:szCs w:val="20"/>
                <w:lang w:val="es-ES_tradnl"/>
              </w:rPr>
              <w:t>13</w:t>
            </w:r>
            <w:r w:rsidRPr="00B924EB">
              <w:rPr>
                <w:b/>
                <w:sz w:val="20"/>
                <w:szCs w:val="20"/>
                <w:lang w:val="es-ES_tradnl"/>
              </w:rPr>
              <w:t>0.</w:t>
            </w:r>
            <w:r w:rsidR="0035657B" w:rsidRPr="00B924EB">
              <w:rPr>
                <w:b/>
                <w:sz w:val="20"/>
                <w:szCs w:val="20"/>
                <w:lang w:val="es-ES_tradnl"/>
              </w:rPr>
              <w:t>000</w:t>
            </w:r>
          </w:p>
        </w:tc>
        <w:tc>
          <w:tcPr>
            <w:tcW w:w="1558" w:type="dxa"/>
            <w:tcMar>
              <w:left w:w="115" w:type="dxa"/>
              <w:right w:w="202" w:type="dxa"/>
            </w:tcMar>
          </w:tcPr>
          <w:p w14:paraId="577E330B" w14:textId="4E55FE1B" w:rsidR="00086E13" w:rsidRPr="00B924EB" w:rsidRDefault="00214E69" w:rsidP="0035657B">
            <w:pPr>
              <w:jc w:val="right"/>
              <w:rPr>
                <w:b/>
                <w:sz w:val="20"/>
                <w:szCs w:val="20"/>
                <w:lang w:val="es-ES_tradnl"/>
              </w:rPr>
            </w:pPr>
            <w:r w:rsidRPr="00B924EB">
              <w:rPr>
                <w:b/>
                <w:sz w:val="20"/>
                <w:szCs w:val="20"/>
                <w:lang w:val="es-ES_tradnl"/>
              </w:rPr>
              <w:t>0</w:t>
            </w:r>
          </w:p>
        </w:tc>
        <w:tc>
          <w:tcPr>
            <w:tcW w:w="1559" w:type="dxa"/>
            <w:tcMar>
              <w:left w:w="115" w:type="dxa"/>
              <w:right w:w="202" w:type="dxa"/>
            </w:tcMar>
          </w:tcPr>
          <w:p w14:paraId="1F7923D6" w14:textId="5AA5B3ED" w:rsidR="00086E13" w:rsidRPr="00B924EB" w:rsidRDefault="0041040B" w:rsidP="0035657B">
            <w:pPr>
              <w:jc w:val="right"/>
              <w:rPr>
                <w:b/>
                <w:sz w:val="20"/>
                <w:szCs w:val="20"/>
                <w:lang w:val="es-ES_tradnl"/>
              </w:rPr>
            </w:pPr>
            <w:r w:rsidRPr="00B924EB">
              <w:rPr>
                <w:b/>
                <w:sz w:val="20"/>
                <w:szCs w:val="20"/>
                <w:lang w:val="es-ES_tradnl"/>
              </w:rPr>
              <w:t>72</w:t>
            </w:r>
            <w:r w:rsidR="00755C5D" w:rsidRPr="00B924EB">
              <w:rPr>
                <w:b/>
                <w:sz w:val="20"/>
                <w:szCs w:val="20"/>
                <w:lang w:val="es-ES_tradnl"/>
              </w:rPr>
              <w:t>0.</w:t>
            </w:r>
            <w:r w:rsidRPr="00B924EB">
              <w:rPr>
                <w:b/>
                <w:sz w:val="20"/>
                <w:szCs w:val="20"/>
                <w:lang w:val="es-ES_tradnl"/>
              </w:rPr>
              <w:t>000</w:t>
            </w:r>
          </w:p>
        </w:tc>
      </w:tr>
      <w:tr w:rsidR="00086E13" w:rsidRPr="00B924EB" w14:paraId="75C204C4" w14:textId="77777777" w:rsidTr="00CC4EBD">
        <w:tc>
          <w:tcPr>
            <w:tcW w:w="1951" w:type="dxa"/>
          </w:tcPr>
          <w:p w14:paraId="6202FC95" w14:textId="7EE5BC1E" w:rsidR="00086E13" w:rsidRPr="00B924EB" w:rsidRDefault="00CC4EBD" w:rsidP="00086E13">
            <w:pPr>
              <w:rPr>
                <w:b/>
                <w:sz w:val="20"/>
                <w:szCs w:val="20"/>
                <w:lang w:val="es-ES_tradnl"/>
              </w:rPr>
            </w:pPr>
            <w:r>
              <w:rPr>
                <w:b/>
                <w:sz w:val="20"/>
                <w:szCs w:val="20"/>
                <w:lang w:val="es-ES_tradnl"/>
              </w:rPr>
              <w:t>Según lo acordado</w:t>
            </w:r>
            <w:r w:rsidR="00032570" w:rsidRPr="00B924EB">
              <w:rPr>
                <w:b/>
                <w:sz w:val="20"/>
                <w:szCs w:val="20"/>
                <w:lang w:val="es-ES_tradnl"/>
              </w:rPr>
              <w:t>*</w:t>
            </w:r>
          </w:p>
        </w:tc>
        <w:tc>
          <w:tcPr>
            <w:tcW w:w="1165" w:type="dxa"/>
            <w:tcMar>
              <w:left w:w="115" w:type="dxa"/>
              <w:right w:w="202" w:type="dxa"/>
            </w:tcMar>
          </w:tcPr>
          <w:p w14:paraId="27A0CC41" w14:textId="77777777" w:rsidR="00086E13" w:rsidRPr="00B924EB" w:rsidRDefault="00086E13" w:rsidP="0035657B">
            <w:pPr>
              <w:jc w:val="right"/>
              <w:rPr>
                <w:b/>
                <w:sz w:val="20"/>
                <w:szCs w:val="20"/>
                <w:lang w:val="es-ES_tradnl"/>
              </w:rPr>
            </w:pPr>
          </w:p>
        </w:tc>
        <w:tc>
          <w:tcPr>
            <w:tcW w:w="1559" w:type="dxa"/>
            <w:tcMar>
              <w:left w:w="115" w:type="dxa"/>
              <w:right w:w="202" w:type="dxa"/>
            </w:tcMar>
          </w:tcPr>
          <w:p w14:paraId="5EC89135" w14:textId="77777777" w:rsidR="00086E13" w:rsidRPr="00B924EB" w:rsidRDefault="00086E13" w:rsidP="0035657B">
            <w:pPr>
              <w:jc w:val="right"/>
              <w:rPr>
                <w:b/>
                <w:sz w:val="20"/>
                <w:szCs w:val="20"/>
                <w:lang w:val="es-ES_tradnl"/>
              </w:rPr>
            </w:pPr>
          </w:p>
        </w:tc>
        <w:tc>
          <w:tcPr>
            <w:tcW w:w="1558" w:type="dxa"/>
            <w:tcMar>
              <w:left w:w="115" w:type="dxa"/>
              <w:right w:w="202" w:type="dxa"/>
            </w:tcMar>
          </w:tcPr>
          <w:p w14:paraId="4F7795EA" w14:textId="77777777" w:rsidR="00086E13" w:rsidRPr="00B924EB" w:rsidRDefault="00086E13" w:rsidP="0035657B">
            <w:pPr>
              <w:jc w:val="right"/>
              <w:rPr>
                <w:b/>
                <w:sz w:val="20"/>
                <w:szCs w:val="20"/>
                <w:lang w:val="es-ES_tradnl"/>
              </w:rPr>
            </w:pPr>
          </w:p>
        </w:tc>
        <w:tc>
          <w:tcPr>
            <w:tcW w:w="1558" w:type="dxa"/>
            <w:tcMar>
              <w:left w:w="115" w:type="dxa"/>
              <w:right w:w="202" w:type="dxa"/>
            </w:tcMar>
          </w:tcPr>
          <w:p w14:paraId="39BF0EEB" w14:textId="77777777" w:rsidR="00086E13" w:rsidRPr="00B924EB" w:rsidRDefault="00086E13" w:rsidP="0035657B">
            <w:pPr>
              <w:jc w:val="right"/>
              <w:rPr>
                <w:b/>
                <w:sz w:val="20"/>
                <w:szCs w:val="20"/>
                <w:lang w:val="es-ES_tradnl"/>
              </w:rPr>
            </w:pPr>
          </w:p>
        </w:tc>
        <w:tc>
          <w:tcPr>
            <w:tcW w:w="1559" w:type="dxa"/>
            <w:tcMar>
              <w:left w:w="115" w:type="dxa"/>
              <w:right w:w="202" w:type="dxa"/>
            </w:tcMar>
          </w:tcPr>
          <w:p w14:paraId="71AC3033" w14:textId="77777777" w:rsidR="00086E13" w:rsidRPr="00B924EB" w:rsidRDefault="00086E13" w:rsidP="0035657B">
            <w:pPr>
              <w:jc w:val="right"/>
              <w:rPr>
                <w:b/>
                <w:sz w:val="20"/>
                <w:szCs w:val="20"/>
                <w:lang w:val="es-ES_tradnl"/>
              </w:rPr>
            </w:pPr>
          </w:p>
        </w:tc>
      </w:tr>
      <w:tr w:rsidR="00086E13" w:rsidRPr="00B924EB" w14:paraId="08DF18C0" w14:textId="77777777" w:rsidTr="00CC4EBD">
        <w:tc>
          <w:tcPr>
            <w:tcW w:w="1951" w:type="dxa"/>
          </w:tcPr>
          <w:p w14:paraId="2F3DD74E" w14:textId="7F83ED76" w:rsidR="00086E13" w:rsidRPr="00B924EB" w:rsidRDefault="001A4F35" w:rsidP="00086E13">
            <w:pPr>
              <w:rPr>
                <w:sz w:val="20"/>
                <w:szCs w:val="20"/>
                <w:lang w:val="es-ES_tradnl"/>
              </w:rPr>
            </w:pPr>
            <w:r>
              <w:rPr>
                <w:sz w:val="20"/>
                <w:szCs w:val="20"/>
                <w:lang w:val="es-ES_tradnl"/>
              </w:rPr>
              <w:t>PNUMA</w:t>
            </w:r>
          </w:p>
        </w:tc>
        <w:tc>
          <w:tcPr>
            <w:tcW w:w="1165" w:type="dxa"/>
            <w:tcMar>
              <w:left w:w="115" w:type="dxa"/>
              <w:right w:w="202" w:type="dxa"/>
            </w:tcMar>
          </w:tcPr>
          <w:p w14:paraId="727987CD" w14:textId="1D9662B9" w:rsidR="00086E13" w:rsidRPr="00B924EB" w:rsidRDefault="0035657B" w:rsidP="0035657B">
            <w:pPr>
              <w:jc w:val="right"/>
              <w:rPr>
                <w:sz w:val="20"/>
                <w:szCs w:val="20"/>
                <w:lang w:val="es-ES_tradnl"/>
              </w:rPr>
            </w:pPr>
            <w:r w:rsidRPr="00B924EB">
              <w:rPr>
                <w:sz w:val="20"/>
                <w:szCs w:val="20"/>
                <w:lang w:val="es-ES_tradnl"/>
              </w:rPr>
              <w:t>33</w:t>
            </w:r>
            <w:r w:rsidR="009374DA" w:rsidRPr="00B924EB">
              <w:rPr>
                <w:sz w:val="20"/>
                <w:szCs w:val="20"/>
                <w:lang w:val="es-ES_tradnl"/>
              </w:rPr>
              <w:t>5.</w:t>
            </w:r>
            <w:r w:rsidRPr="00B924EB">
              <w:rPr>
                <w:sz w:val="20"/>
                <w:szCs w:val="20"/>
                <w:lang w:val="es-ES_tradnl"/>
              </w:rPr>
              <w:t>000</w:t>
            </w:r>
          </w:p>
        </w:tc>
        <w:tc>
          <w:tcPr>
            <w:tcW w:w="1559" w:type="dxa"/>
            <w:tcMar>
              <w:left w:w="115" w:type="dxa"/>
              <w:right w:w="202" w:type="dxa"/>
            </w:tcMar>
          </w:tcPr>
          <w:p w14:paraId="3B5BB3B7" w14:textId="57BB7FB6" w:rsidR="00086E13" w:rsidRPr="00B924EB" w:rsidRDefault="0035657B" w:rsidP="0035657B">
            <w:pPr>
              <w:jc w:val="right"/>
              <w:rPr>
                <w:sz w:val="20"/>
                <w:szCs w:val="20"/>
                <w:lang w:val="es-ES_tradnl"/>
              </w:rPr>
            </w:pPr>
            <w:r w:rsidRPr="00B924EB">
              <w:rPr>
                <w:sz w:val="20"/>
                <w:szCs w:val="20"/>
                <w:lang w:val="es-ES_tradnl"/>
              </w:rPr>
              <w:t>58</w:t>
            </w:r>
            <w:r w:rsidR="009374DA" w:rsidRPr="00B924EB">
              <w:rPr>
                <w:sz w:val="20"/>
                <w:szCs w:val="20"/>
                <w:lang w:val="es-ES_tradnl"/>
              </w:rPr>
              <w:t>5.</w:t>
            </w:r>
            <w:r w:rsidRPr="00B924EB">
              <w:rPr>
                <w:sz w:val="20"/>
                <w:szCs w:val="20"/>
                <w:lang w:val="es-ES_tradnl"/>
              </w:rPr>
              <w:t>000</w:t>
            </w:r>
          </w:p>
        </w:tc>
        <w:tc>
          <w:tcPr>
            <w:tcW w:w="1558" w:type="dxa"/>
            <w:tcMar>
              <w:left w:w="115" w:type="dxa"/>
              <w:right w:w="202" w:type="dxa"/>
            </w:tcMar>
          </w:tcPr>
          <w:p w14:paraId="480A5137" w14:textId="7F696AE0" w:rsidR="00086E13" w:rsidRPr="00B924EB" w:rsidRDefault="0035657B" w:rsidP="0035657B">
            <w:pPr>
              <w:jc w:val="right"/>
              <w:rPr>
                <w:sz w:val="20"/>
                <w:szCs w:val="20"/>
                <w:lang w:val="es-ES_tradnl"/>
              </w:rPr>
            </w:pPr>
            <w:r w:rsidRPr="00B924EB">
              <w:rPr>
                <w:sz w:val="20"/>
                <w:szCs w:val="20"/>
                <w:lang w:val="es-ES_tradnl"/>
              </w:rPr>
              <w:t>65</w:t>
            </w:r>
            <w:r w:rsidR="009374DA" w:rsidRPr="00B924EB">
              <w:rPr>
                <w:sz w:val="20"/>
                <w:szCs w:val="20"/>
                <w:lang w:val="es-ES_tradnl"/>
              </w:rPr>
              <w:t>5.</w:t>
            </w:r>
            <w:r w:rsidRPr="00B924EB">
              <w:rPr>
                <w:sz w:val="20"/>
                <w:szCs w:val="20"/>
                <w:lang w:val="es-ES_tradnl"/>
              </w:rPr>
              <w:t>000</w:t>
            </w:r>
          </w:p>
        </w:tc>
        <w:tc>
          <w:tcPr>
            <w:tcW w:w="1558" w:type="dxa"/>
            <w:tcMar>
              <w:left w:w="115" w:type="dxa"/>
              <w:right w:w="202" w:type="dxa"/>
            </w:tcMar>
          </w:tcPr>
          <w:p w14:paraId="4EDA8DBC" w14:textId="57852E38" w:rsidR="00086E13" w:rsidRPr="00B924EB" w:rsidRDefault="00214E69" w:rsidP="0035657B">
            <w:pPr>
              <w:jc w:val="right"/>
              <w:rPr>
                <w:sz w:val="20"/>
                <w:szCs w:val="20"/>
                <w:lang w:val="es-ES_tradnl"/>
              </w:rPr>
            </w:pPr>
            <w:r w:rsidRPr="00B924EB">
              <w:rPr>
                <w:sz w:val="20"/>
                <w:szCs w:val="20"/>
                <w:lang w:val="es-ES_tradnl"/>
              </w:rPr>
              <w:t>0</w:t>
            </w:r>
          </w:p>
        </w:tc>
        <w:tc>
          <w:tcPr>
            <w:tcW w:w="1559" w:type="dxa"/>
            <w:tcMar>
              <w:left w:w="115" w:type="dxa"/>
              <w:right w:w="202" w:type="dxa"/>
            </w:tcMar>
          </w:tcPr>
          <w:p w14:paraId="317C4E93" w14:textId="58E197C5" w:rsidR="00086E13" w:rsidRPr="00B924EB" w:rsidRDefault="0041040B" w:rsidP="0035657B">
            <w:pPr>
              <w:jc w:val="right"/>
              <w:rPr>
                <w:sz w:val="20"/>
                <w:szCs w:val="20"/>
                <w:lang w:val="es-ES_tradnl"/>
              </w:rPr>
            </w:pPr>
            <w:r w:rsidRPr="00B924EB">
              <w:rPr>
                <w:sz w:val="20"/>
                <w:szCs w:val="20"/>
                <w:lang w:val="es-ES_tradnl"/>
              </w:rPr>
              <w:t>26</w:t>
            </w:r>
            <w:r w:rsidR="009374DA" w:rsidRPr="00B924EB">
              <w:rPr>
                <w:sz w:val="20"/>
                <w:szCs w:val="20"/>
                <w:lang w:val="es-ES_tradnl"/>
              </w:rPr>
              <w:t>5.</w:t>
            </w:r>
            <w:r w:rsidRPr="00B924EB">
              <w:rPr>
                <w:sz w:val="20"/>
                <w:szCs w:val="20"/>
                <w:lang w:val="es-ES_tradnl"/>
              </w:rPr>
              <w:t>000</w:t>
            </w:r>
          </w:p>
        </w:tc>
      </w:tr>
      <w:tr w:rsidR="00086E13" w:rsidRPr="00B924EB" w14:paraId="3AA47A66" w14:textId="77777777" w:rsidTr="00CC4EBD">
        <w:tc>
          <w:tcPr>
            <w:tcW w:w="1951" w:type="dxa"/>
          </w:tcPr>
          <w:p w14:paraId="71C52BD4" w14:textId="3E49A1A1" w:rsidR="00086E13" w:rsidRPr="00B924EB" w:rsidRDefault="001A4F35" w:rsidP="00086E13">
            <w:pPr>
              <w:rPr>
                <w:sz w:val="20"/>
                <w:szCs w:val="20"/>
                <w:lang w:val="es-ES_tradnl"/>
              </w:rPr>
            </w:pPr>
            <w:r>
              <w:rPr>
                <w:sz w:val="20"/>
                <w:szCs w:val="20"/>
                <w:lang w:val="es-ES_tradnl"/>
              </w:rPr>
              <w:t>ONUDI</w:t>
            </w:r>
          </w:p>
        </w:tc>
        <w:tc>
          <w:tcPr>
            <w:tcW w:w="1165" w:type="dxa"/>
            <w:tcMar>
              <w:left w:w="115" w:type="dxa"/>
              <w:right w:w="202" w:type="dxa"/>
            </w:tcMar>
          </w:tcPr>
          <w:p w14:paraId="342F590E" w14:textId="41C55E7F" w:rsidR="00086E13" w:rsidRPr="00B924EB" w:rsidRDefault="0035657B" w:rsidP="0035657B">
            <w:pPr>
              <w:jc w:val="right"/>
              <w:rPr>
                <w:sz w:val="20"/>
                <w:szCs w:val="20"/>
                <w:lang w:val="es-ES_tradnl"/>
              </w:rPr>
            </w:pPr>
            <w:r w:rsidRPr="00B924EB">
              <w:rPr>
                <w:sz w:val="20"/>
                <w:szCs w:val="20"/>
                <w:lang w:val="es-ES_tradnl"/>
              </w:rPr>
              <w:t>2</w:t>
            </w:r>
            <w:r w:rsidR="009374DA" w:rsidRPr="00B924EB">
              <w:rPr>
                <w:sz w:val="20"/>
                <w:szCs w:val="20"/>
                <w:lang w:val="es-ES_tradnl"/>
              </w:rPr>
              <w:t>5.</w:t>
            </w:r>
            <w:r w:rsidRPr="00B924EB">
              <w:rPr>
                <w:sz w:val="20"/>
                <w:szCs w:val="20"/>
                <w:lang w:val="es-ES_tradnl"/>
              </w:rPr>
              <w:t>000</w:t>
            </w:r>
          </w:p>
        </w:tc>
        <w:tc>
          <w:tcPr>
            <w:tcW w:w="1559" w:type="dxa"/>
            <w:tcMar>
              <w:left w:w="115" w:type="dxa"/>
              <w:right w:w="202" w:type="dxa"/>
            </w:tcMar>
          </w:tcPr>
          <w:p w14:paraId="17783D70" w14:textId="3960AAE2" w:rsidR="00086E13" w:rsidRPr="00B924EB" w:rsidRDefault="0035657B" w:rsidP="0035657B">
            <w:pPr>
              <w:jc w:val="right"/>
              <w:rPr>
                <w:sz w:val="20"/>
                <w:szCs w:val="20"/>
                <w:lang w:val="es-ES_tradnl"/>
              </w:rPr>
            </w:pPr>
            <w:r w:rsidRPr="00B924EB">
              <w:rPr>
                <w:sz w:val="20"/>
                <w:szCs w:val="20"/>
                <w:lang w:val="es-ES_tradnl"/>
              </w:rPr>
              <w:t>32</w:t>
            </w:r>
            <w:r w:rsidR="00755C5D" w:rsidRPr="00B924EB">
              <w:rPr>
                <w:sz w:val="20"/>
                <w:szCs w:val="20"/>
                <w:lang w:val="es-ES_tradnl"/>
              </w:rPr>
              <w:t>0.</w:t>
            </w:r>
            <w:r w:rsidRPr="00B924EB">
              <w:rPr>
                <w:sz w:val="20"/>
                <w:szCs w:val="20"/>
                <w:lang w:val="es-ES_tradnl"/>
              </w:rPr>
              <w:t>000</w:t>
            </w:r>
          </w:p>
        </w:tc>
        <w:tc>
          <w:tcPr>
            <w:tcW w:w="1558" w:type="dxa"/>
            <w:tcMar>
              <w:left w:w="115" w:type="dxa"/>
              <w:right w:w="202" w:type="dxa"/>
            </w:tcMar>
          </w:tcPr>
          <w:p w14:paraId="7AD9B2DF" w14:textId="2E8F67BA" w:rsidR="00086E13" w:rsidRPr="00B924EB" w:rsidRDefault="0041040B" w:rsidP="0035657B">
            <w:pPr>
              <w:jc w:val="right"/>
              <w:rPr>
                <w:sz w:val="20"/>
                <w:szCs w:val="20"/>
                <w:lang w:val="es-ES_tradnl"/>
              </w:rPr>
            </w:pPr>
            <w:r w:rsidRPr="00B924EB">
              <w:rPr>
                <w:sz w:val="20"/>
                <w:szCs w:val="20"/>
                <w:lang w:val="es-ES_tradnl"/>
              </w:rPr>
              <w:t>35</w:t>
            </w:r>
            <w:r w:rsidR="009374DA" w:rsidRPr="00B924EB">
              <w:rPr>
                <w:sz w:val="20"/>
                <w:szCs w:val="20"/>
                <w:lang w:val="es-ES_tradnl"/>
              </w:rPr>
              <w:t>5.</w:t>
            </w:r>
            <w:r w:rsidRPr="00B924EB">
              <w:rPr>
                <w:sz w:val="20"/>
                <w:szCs w:val="20"/>
                <w:lang w:val="es-ES_tradnl"/>
              </w:rPr>
              <w:t>000</w:t>
            </w:r>
          </w:p>
        </w:tc>
        <w:tc>
          <w:tcPr>
            <w:tcW w:w="1558" w:type="dxa"/>
            <w:tcMar>
              <w:left w:w="115" w:type="dxa"/>
              <w:right w:w="202" w:type="dxa"/>
            </w:tcMar>
          </w:tcPr>
          <w:p w14:paraId="0CB01644" w14:textId="1E13E256" w:rsidR="00086E13" w:rsidRPr="00B924EB" w:rsidRDefault="00214E69" w:rsidP="0035657B">
            <w:pPr>
              <w:jc w:val="right"/>
              <w:rPr>
                <w:sz w:val="20"/>
                <w:szCs w:val="20"/>
                <w:lang w:val="es-ES_tradnl"/>
              </w:rPr>
            </w:pPr>
            <w:r w:rsidRPr="00B924EB">
              <w:rPr>
                <w:sz w:val="20"/>
                <w:szCs w:val="20"/>
                <w:lang w:val="es-ES_tradnl"/>
              </w:rPr>
              <w:t>0</w:t>
            </w:r>
          </w:p>
        </w:tc>
        <w:tc>
          <w:tcPr>
            <w:tcW w:w="1559" w:type="dxa"/>
            <w:tcMar>
              <w:left w:w="115" w:type="dxa"/>
              <w:right w:w="202" w:type="dxa"/>
            </w:tcMar>
          </w:tcPr>
          <w:p w14:paraId="5A52EEEA" w14:textId="2B0E4079" w:rsidR="00086E13" w:rsidRPr="00B924EB" w:rsidRDefault="0041040B" w:rsidP="0035657B">
            <w:pPr>
              <w:jc w:val="right"/>
              <w:rPr>
                <w:sz w:val="20"/>
                <w:szCs w:val="20"/>
                <w:lang w:val="es-ES_tradnl"/>
              </w:rPr>
            </w:pPr>
            <w:r w:rsidRPr="00B924EB">
              <w:rPr>
                <w:sz w:val="20"/>
                <w:szCs w:val="20"/>
                <w:lang w:val="es-ES_tradnl"/>
              </w:rPr>
              <w:t>21</w:t>
            </w:r>
            <w:r w:rsidR="00755C5D" w:rsidRPr="00B924EB">
              <w:rPr>
                <w:sz w:val="20"/>
                <w:szCs w:val="20"/>
                <w:lang w:val="es-ES_tradnl"/>
              </w:rPr>
              <w:t>0.</w:t>
            </w:r>
            <w:r w:rsidRPr="00B924EB">
              <w:rPr>
                <w:sz w:val="20"/>
                <w:szCs w:val="20"/>
                <w:lang w:val="es-ES_tradnl"/>
              </w:rPr>
              <w:t>000</w:t>
            </w:r>
          </w:p>
        </w:tc>
      </w:tr>
      <w:tr w:rsidR="00086E13" w:rsidRPr="00B924EB" w14:paraId="0CB06CFD" w14:textId="77777777" w:rsidTr="00CC4EBD">
        <w:tc>
          <w:tcPr>
            <w:tcW w:w="1951" w:type="dxa"/>
          </w:tcPr>
          <w:p w14:paraId="52F86A67" w14:textId="77777777" w:rsidR="00086E13" w:rsidRPr="00B924EB" w:rsidRDefault="00086E13" w:rsidP="00086E13">
            <w:pPr>
              <w:rPr>
                <w:b/>
                <w:sz w:val="20"/>
                <w:szCs w:val="20"/>
                <w:lang w:val="es-ES_tradnl"/>
              </w:rPr>
            </w:pPr>
            <w:r w:rsidRPr="00B924EB">
              <w:rPr>
                <w:b/>
                <w:sz w:val="20"/>
                <w:szCs w:val="20"/>
                <w:lang w:val="es-ES_tradnl"/>
              </w:rPr>
              <w:t>Total</w:t>
            </w:r>
          </w:p>
        </w:tc>
        <w:tc>
          <w:tcPr>
            <w:tcW w:w="1165" w:type="dxa"/>
            <w:tcMar>
              <w:left w:w="115" w:type="dxa"/>
              <w:right w:w="202" w:type="dxa"/>
            </w:tcMar>
          </w:tcPr>
          <w:p w14:paraId="1F16D8F9" w14:textId="2163FB31" w:rsidR="00086E13" w:rsidRPr="00B924EB" w:rsidRDefault="0035657B" w:rsidP="0035657B">
            <w:pPr>
              <w:jc w:val="right"/>
              <w:rPr>
                <w:b/>
                <w:sz w:val="20"/>
                <w:szCs w:val="20"/>
                <w:lang w:val="es-ES_tradnl"/>
              </w:rPr>
            </w:pPr>
            <w:r w:rsidRPr="00B924EB">
              <w:rPr>
                <w:b/>
                <w:sz w:val="20"/>
                <w:szCs w:val="20"/>
                <w:lang w:val="es-ES_tradnl"/>
              </w:rPr>
              <w:t>36</w:t>
            </w:r>
            <w:r w:rsidR="00755C5D" w:rsidRPr="00B924EB">
              <w:rPr>
                <w:b/>
                <w:sz w:val="20"/>
                <w:szCs w:val="20"/>
                <w:lang w:val="es-ES_tradnl"/>
              </w:rPr>
              <w:t>0.</w:t>
            </w:r>
            <w:r w:rsidRPr="00B924EB">
              <w:rPr>
                <w:b/>
                <w:sz w:val="20"/>
                <w:szCs w:val="20"/>
                <w:lang w:val="es-ES_tradnl"/>
              </w:rPr>
              <w:t>000</w:t>
            </w:r>
          </w:p>
        </w:tc>
        <w:tc>
          <w:tcPr>
            <w:tcW w:w="1559" w:type="dxa"/>
            <w:tcMar>
              <w:left w:w="115" w:type="dxa"/>
              <w:right w:w="202" w:type="dxa"/>
            </w:tcMar>
          </w:tcPr>
          <w:p w14:paraId="4A8E7CFB" w14:textId="467A35EF" w:rsidR="00086E13" w:rsidRPr="00B924EB" w:rsidRDefault="0035657B" w:rsidP="0035657B">
            <w:pPr>
              <w:jc w:val="right"/>
              <w:rPr>
                <w:b/>
                <w:sz w:val="20"/>
                <w:szCs w:val="20"/>
                <w:lang w:val="es-ES_tradnl"/>
              </w:rPr>
            </w:pPr>
            <w:r w:rsidRPr="00B924EB">
              <w:rPr>
                <w:b/>
                <w:sz w:val="20"/>
                <w:szCs w:val="20"/>
                <w:lang w:val="es-ES_tradnl"/>
              </w:rPr>
              <w:t>90</w:t>
            </w:r>
            <w:r w:rsidR="009374DA" w:rsidRPr="00B924EB">
              <w:rPr>
                <w:b/>
                <w:sz w:val="20"/>
                <w:szCs w:val="20"/>
                <w:lang w:val="es-ES_tradnl"/>
              </w:rPr>
              <w:t>5.</w:t>
            </w:r>
            <w:r w:rsidRPr="00B924EB">
              <w:rPr>
                <w:b/>
                <w:sz w:val="20"/>
                <w:szCs w:val="20"/>
                <w:lang w:val="es-ES_tradnl"/>
              </w:rPr>
              <w:t>000</w:t>
            </w:r>
          </w:p>
        </w:tc>
        <w:tc>
          <w:tcPr>
            <w:tcW w:w="1558" w:type="dxa"/>
            <w:tcMar>
              <w:left w:w="115" w:type="dxa"/>
              <w:right w:w="202" w:type="dxa"/>
            </w:tcMar>
          </w:tcPr>
          <w:p w14:paraId="575D8FAF" w14:textId="377FB06A" w:rsidR="00086E13" w:rsidRPr="00B924EB" w:rsidRDefault="00755C5D" w:rsidP="0035657B">
            <w:pPr>
              <w:jc w:val="right"/>
              <w:rPr>
                <w:b/>
                <w:sz w:val="20"/>
                <w:szCs w:val="20"/>
                <w:lang w:val="es-ES_tradnl"/>
              </w:rPr>
            </w:pPr>
            <w:r w:rsidRPr="00B924EB">
              <w:rPr>
                <w:b/>
                <w:sz w:val="20"/>
                <w:szCs w:val="20"/>
                <w:lang w:val="es-ES_tradnl"/>
              </w:rPr>
              <w:t>1.</w:t>
            </w:r>
            <w:r w:rsidR="0041040B" w:rsidRPr="00B924EB">
              <w:rPr>
                <w:b/>
                <w:sz w:val="20"/>
                <w:szCs w:val="20"/>
                <w:lang w:val="es-ES_tradnl"/>
              </w:rPr>
              <w:t>01</w:t>
            </w:r>
            <w:r w:rsidRPr="00B924EB">
              <w:rPr>
                <w:b/>
                <w:sz w:val="20"/>
                <w:szCs w:val="20"/>
                <w:lang w:val="es-ES_tradnl"/>
              </w:rPr>
              <w:t>0.</w:t>
            </w:r>
            <w:r w:rsidR="0041040B" w:rsidRPr="00B924EB">
              <w:rPr>
                <w:b/>
                <w:sz w:val="20"/>
                <w:szCs w:val="20"/>
                <w:lang w:val="es-ES_tradnl"/>
              </w:rPr>
              <w:t>000</w:t>
            </w:r>
          </w:p>
        </w:tc>
        <w:tc>
          <w:tcPr>
            <w:tcW w:w="1558" w:type="dxa"/>
            <w:tcMar>
              <w:left w:w="115" w:type="dxa"/>
              <w:right w:w="202" w:type="dxa"/>
            </w:tcMar>
          </w:tcPr>
          <w:p w14:paraId="3B5E18FF" w14:textId="355402D9" w:rsidR="00086E13" w:rsidRPr="00B924EB" w:rsidRDefault="00214E69" w:rsidP="0035657B">
            <w:pPr>
              <w:jc w:val="right"/>
              <w:rPr>
                <w:b/>
                <w:sz w:val="20"/>
                <w:szCs w:val="20"/>
                <w:lang w:val="es-ES_tradnl"/>
              </w:rPr>
            </w:pPr>
            <w:r w:rsidRPr="00B924EB">
              <w:rPr>
                <w:b/>
                <w:sz w:val="20"/>
                <w:szCs w:val="20"/>
                <w:lang w:val="es-ES_tradnl"/>
              </w:rPr>
              <w:t>0</w:t>
            </w:r>
          </w:p>
        </w:tc>
        <w:tc>
          <w:tcPr>
            <w:tcW w:w="1559" w:type="dxa"/>
            <w:tcMar>
              <w:left w:w="115" w:type="dxa"/>
              <w:right w:w="202" w:type="dxa"/>
            </w:tcMar>
          </w:tcPr>
          <w:p w14:paraId="23F1C21C" w14:textId="50BFB7EF" w:rsidR="00086E13" w:rsidRPr="00B924EB" w:rsidRDefault="0041040B" w:rsidP="0035657B">
            <w:pPr>
              <w:jc w:val="right"/>
              <w:rPr>
                <w:b/>
                <w:sz w:val="20"/>
                <w:szCs w:val="20"/>
                <w:lang w:val="es-ES_tradnl"/>
              </w:rPr>
            </w:pPr>
            <w:r w:rsidRPr="00B924EB">
              <w:rPr>
                <w:b/>
                <w:sz w:val="20"/>
                <w:szCs w:val="20"/>
                <w:lang w:val="es-ES_tradnl"/>
              </w:rPr>
              <w:t>47</w:t>
            </w:r>
            <w:r w:rsidR="009374DA" w:rsidRPr="00B924EB">
              <w:rPr>
                <w:b/>
                <w:sz w:val="20"/>
                <w:szCs w:val="20"/>
                <w:lang w:val="es-ES_tradnl"/>
              </w:rPr>
              <w:t>5.</w:t>
            </w:r>
            <w:r w:rsidRPr="00B924EB">
              <w:rPr>
                <w:b/>
                <w:sz w:val="20"/>
                <w:szCs w:val="20"/>
                <w:lang w:val="es-ES_tradnl"/>
              </w:rPr>
              <w:t>000</w:t>
            </w:r>
          </w:p>
        </w:tc>
      </w:tr>
    </w:tbl>
    <w:p w14:paraId="6751DDF4" w14:textId="7D55FFCF" w:rsidR="00086E13" w:rsidRPr="00B924EB" w:rsidRDefault="00032570" w:rsidP="00086E13">
      <w:pPr>
        <w:rPr>
          <w:color w:val="000000"/>
          <w:sz w:val="20"/>
          <w:szCs w:val="20"/>
          <w:lang w:val="es-ES_tradnl" w:eastAsia="zh-CN"/>
        </w:rPr>
      </w:pPr>
      <w:r w:rsidRPr="00B924EB">
        <w:rPr>
          <w:sz w:val="20"/>
          <w:szCs w:val="20"/>
          <w:lang w:val="es-ES_tradnl"/>
        </w:rPr>
        <w:t>*</w:t>
      </w:r>
      <w:r w:rsidR="00A13BEA" w:rsidRPr="00B924EB">
        <w:rPr>
          <w:sz w:val="20"/>
          <w:szCs w:val="20"/>
          <w:lang w:val="es-ES_tradnl"/>
        </w:rPr>
        <w:t xml:space="preserve"> </w:t>
      </w:r>
      <w:r w:rsidR="00184447">
        <w:rPr>
          <w:sz w:val="20"/>
          <w:szCs w:val="20"/>
          <w:lang w:val="es-ES_tradnl"/>
        </w:rPr>
        <w:t xml:space="preserve">La </w:t>
      </w:r>
      <w:r w:rsidR="00C54719">
        <w:rPr>
          <w:sz w:val="20"/>
          <w:szCs w:val="20"/>
          <w:lang w:val="es-ES_tradnl"/>
        </w:rPr>
        <w:t xml:space="preserve">suma de </w:t>
      </w:r>
      <w:r w:rsidR="00755C5D" w:rsidRPr="00B924EB">
        <w:rPr>
          <w:color w:val="000000"/>
          <w:sz w:val="20"/>
          <w:szCs w:val="20"/>
          <w:lang w:val="es-ES_tradnl" w:eastAsia="zh-CN"/>
        </w:rPr>
        <w:t>2.</w:t>
      </w:r>
      <w:r w:rsidR="00991C29" w:rsidRPr="00B924EB">
        <w:rPr>
          <w:color w:val="000000"/>
          <w:sz w:val="20"/>
          <w:szCs w:val="20"/>
          <w:lang w:val="es-ES_tradnl" w:eastAsia="zh-CN"/>
        </w:rPr>
        <w:t>75</w:t>
      </w:r>
      <w:r w:rsidR="00755C5D" w:rsidRPr="00B924EB">
        <w:rPr>
          <w:color w:val="000000"/>
          <w:sz w:val="20"/>
          <w:szCs w:val="20"/>
          <w:lang w:val="es-ES_tradnl" w:eastAsia="zh-CN"/>
        </w:rPr>
        <w:t>0.</w:t>
      </w:r>
      <w:r w:rsidR="00991C29" w:rsidRPr="00B924EB">
        <w:rPr>
          <w:color w:val="000000"/>
          <w:sz w:val="20"/>
          <w:szCs w:val="20"/>
          <w:lang w:val="es-ES_tradnl" w:eastAsia="zh-CN"/>
        </w:rPr>
        <w:t>000</w:t>
      </w:r>
      <w:r w:rsidR="00081F41" w:rsidRPr="00081F41">
        <w:rPr>
          <w:color w:val="000000"/>
          <w:sz w:val="20"/>
          <w:szCs w:val="20"/>
          <w:lang w:val="es-ES_tradnl" w:eastAsia="zh-CN"/>
        </w:rPr>
        <w:t xml:space="preserve"> $EUA</w:t>
      </w:r>
      <w:r w:rsidR="00A13BEA" w:rsidRPr="00B924EB">
        <w:rPr>
          <w:color w:val="000000"/>
          <w:sz w:val="20"/>
          <w:szCs w:val="20"/>
          <w:lang w:val="es-ES_tradnl" w:eastAsia="zh-CN"/>
        </w:rPr>
        <w:t xml:space="preserve"> </w:t>
      </w:r>
      <w:r w:rsidR="00991C29" w:rsidRPr="00B924EB">
        <w:rPr>
          <w:color w:val="000000"/>
          <w:sz w:val="20"/>
          <w:szCs w:val="20"/>
          <w:lang w:val="es-ES_tradnl" w:eastAsia="zh-CN"/>
        </w:rPr>
        <w:t>(</w:t>
      </w:r>
      <w:r w:rsidR="00915E75">
        <w:rPr>
          <w:color w:val="000000"/>
          <w:sz w:val="20"/>
          <w:szCs w:val="20"/>
          <w:lang w:val="es-ES_tradnl" w:eastAsia="zh-CN"/>
        </w:rPr>
        <w:t xml:space="preserve">ver </w:t>
      </w:r>
      <w:r w:rsidR="00755C5D" w:rsidRPr="00B924EB">
        <w:rPr>
          <w:color w:val="000000"/>
          <w:sz w:val="20"/>
          <w:szCs w:val="20"/>
          <w:lang w:val="es-ES_tradnl" w:eastAsia="zh-CN"/>
        </w:rPr>
        <w:t>Cuadro</w:t>
      </w:r>
      <w:r w:rsidR="00A13BEA" w:rsidRPr="00B924EB">
        <w:rPr>
          <w:color w:val="000000"/>
          <w:sz w:val="20"/>
          <w:szCs w:val="20"/>
          <w:lang w:val="es-ES_tradnl" w:eastAsia="zh-CN"/>
        </w:rPr>
        <w:t xml:space="preserve"> </w:t>
      </w:r>
      <w:r w:rsidR="00991C29" w:rsidRPr="00B924EB">
        <w:rPr>
          <w:color w:val="000000"/>
          <w:sz w:val="20"/>
          <w:szCs w:val="20"/>
          <w:lang w:val="es-ES_tradnl" w:eastAsia="zh-CN"/>
        </w:rPr>
        <w:t>6)</w:t>
      </w:r>
      <w:r w:rsidR="00076A89" w:rsidRPr="00B924EB">
        <w:rPr>
          <w:color w:val="000000"/>
          <w:sz w:val="20"/>
          <w:szCs w:val="20"/>
          <w:lang w:val="es-ES_tradnl" w:eastAsia="zh-CN"/>
        </w:rPr>
        <w:t>.</w:t>
      </w:r>
    </w:p>
    <w:p w14:paraId="327BC335" w14:textId="77777777" w:rsidR="00991C29" w:rsidRPr="00B924EB" w:rsidRDefault="00991C29" w:rsidP="00086E13">
      <w:pPr>
        <w:rPr>
          <w:sz w:val="20"/>
          <w:szCs w:val="20"/>
          <w:lang w:val="es-ES_tradnl"/>
        </w:rPr>
      </w:pPr>
    </w:p>
    <w:p w14:paraId="1A7387C7" w14:textId="60B49B10" w:rsidR="000521A3" w:rsidRPr="00B924EB" w:rsidRDefault="000421A1" w:rsidP="00086E13">
      <w:pPr>
        <w:pStyle w:val="Heading1"/>
        <w:rPr>
          <w:lang w:val="es-ES_tradnl"/>
        </w:rPr>
      </w:pPr>
      <w:r>
        <w:rPr>
          <w:lang w:val="es-ES_tradnl"/>
        </w:rPr>
        <w:t xml:space="preserve">Tras la </w:t>
      </w:r>
      <w:r w:rsidR="00EA3756">
        <w:rPr>
          <w:lang w:val="es-ES_tradnl"/>
        </w:rPr>
        <w:t xml:space="preserve">anterior </w:t>
      </w:r>
      <w:r w:rsidRPr="000421A1">
        <w:rPr>
          <w:lang w:val="es-ES_tradnl"/>
        </w:rPr>
        <w:t>redistribución</w:t>
      </w:r>
      <w:r w:rsidR="00086E13" w:rsidRPr="00B924EB">
        <w:rPr>
          <w:lang w:val="es-ES_tradnl"/>
        </w:rPr>
        <w:t>,</w:t>
      </w:r>
      <w:r w:rsidR="00A13BEA" w:rsidRPr="00B924EB">
        <w:rPr>
          <w:lang w:val="es-ES_tradnl"/>
        </w:rPr>
        <w:t xml:space="preserve"> </w:t>
      </w:r>
      <w:r w:rsidR="003F707D">
        <w:rPr>
          <w:lang w:val="es-ES_tradnl"/>
        </w:rPr>
        <w:t xml:space="preserve">los montos </w:t>
      </w:r>
      <w:r w:rsidR="00546343">
        <w:rPr>
          <w:lang w:val="es-ES_tradnl"/>
        </w:rPr>
        <w:t xml:space="preserve">asignados al </w:t>
      </w:r>
      <w:r w:rsidR="005E1320" w:rsidRPr="00B924EB">
        <w:rPr>
          <w:lang w:val="es-ES_tradnl"/>
        </w:rPr>
        <w:t>primer</w:t>
      </w:r>
      <w:r w:rsidR="00A13BEA" w:rsidRPr="00B924EB">
        <w:rPr>
          <w:lang w:val="es-ES_tradnl"/>
        </w:rPr>
        <w:t xml:space="preserve"> </w:t>
      </w:r>
      <w:r w:rsidR="00755C5D" w:rsidRPr="00B924EB">
        <w:rPr>
          <w:lang w:val="es-ES_tradnl"/>
        </w:rPr>
        <w:t>tramo</w:t>
      </w:r>
      <w:r w:rsidR="00A13BEA" w:rsidRPr="00B924EB">
        <w:rPr>
          <w:lang w:val="es-ES_tradnl"/>
        </w:rPr>
        <w:t xml:space="preserve"> </w:t>
      </w:r>
      <w:r w:rsidR="003F707D">
        <w:rPr>
          <w:lang w:val="es-ES_tradnl"/>
        </w:rPr>
        <w:t>se ajustaron</w:t>
      </w:r>
      <w:r w:rsidR="00EA3756">
        <w:rPr>
          <w:lang w:val="es-ES_tradnl"/>
        </w:rPr>
        <w:t xml:space="preserve"> </w:t>
      </w:r>
      <w:r w:rsidR="005B0918">
        <w:rPr>
          <w:lang w:val="es-ES_tradnl"/>
        </w:rPr>
        <w:t>como sigue</w:t>
      </w:r>
      <w:r w:rsidR="0016127C" w:rsidRPr="00B924EB">
        <w:rPr>
          <w:lang w:val="es-ES_tradnl"/>
        </w:rPr>
        <w:t>:</w:t>
      </w:r>
      <w:r w:rsidR="00A13BEA" w:rsidRPr="00B924EB">
        <w:rPr>
          <w:lang w:val="es-ES_tradnl"/>
        </w:rPr>
        <w:t xml:space="preserve"> </w:t>
      </w:r>
      <w:r w:rsidR="00F61BD7">
        <w:rPr>
          <w:lang w:val="es-ES_tradnl"/>
        </w:rPr>
        <w:t xml:space="preserve">fiscalización de </w:t>
      </w:r>
      <w:r w:rsidR="00E27D0D">
        <w:rPr>
          <w:lang w:val="es-ES_tradnl"/>
        </w:rPr>
        <w:t>medidas y políticas regulatorias</w:t>
      </w:r>
      <w:r w:rsidR="001259DA">
        <w:rPr>
          <w:lang w:val="es-ES_tradnl"/>
        </w:rPr>
        <w:t xml:space="preserve">: </w:t>
      </w:r>
      <w:r w:rsidR="0016127C" w:rsidRPr="00B924EB">
        <w:rPr>
          <w:lang w:val="es-ES_tradnl"/>
        </w:rPr>
        <w:t>12</w:t>
      </w:r>
      <w:r w:rsidR="00755C5D" w:rsidRPr="00B924EB">
        <w:rPr>
          <w:lang w:val="es-ES_tradnl"/>
        </w:rPr>
        <w:t>0.</w:t>
      </w:r>
      <w:r w:rsidR="0016127C" w:rsidRPr="00B924EB">
        <w:rPr>
          <w:lang w:val="es-ES_tradnl"/>
        </w:rPr>
        <w:t>000</w:t>
      </w:r>
      <w:r w:rsidR="00C56FDE" w:rsidRPr="00C56FDE">
        <w:rPr>
          <w:lang w:val="es-ES_tradnl"/>
        </w:rPr>
        <w:t xml:space="preserve"> $EUA</w:t>
      </w:r>
      <w:r w:rsidR="00086E13" w:rsidRPr="00B924EB">
        <w:rPr>
          <w:lang w:val="es-ES_tradnl"/>
        </w:rPr>
        <w:t>;</w:t>
      </w:r>
      <w:r w:rsidR="00A13BEA" w:rsidRPr="00B924EB">
        <w:rPr>
          <w:lang w:val="es-ES_tradnl"/>
        </w:rPr>
        <w:t xml:space="preserve"> </w:t>
      </w:r>
      <w:r w:rsidR="009374DA" w:rsidRPr="00B924EB">
        <w:rPr>
          <w:lang w:val="es-ES_tradnl"/>
        </w:rPr>
        <w:t>capacitación</w:t>
      </w:r>
      <w:r w:rsidR="00086E13" w:rsidRPr="00B924EB">
        <w:rPr>
          <w:lang w:val="es-ES_tradnl"/>
        </w:rPr>
        <w:t>,</w:t>
      </w:r>
      <w:r w:rsidR="00A13BEA" w:rsidRPr="00B924EB">
        <w:rPr>
          <w:lang w:val="es-ES_tradnl"/>
        </w:rPr>
        <w:t xml:space="preserve"> </w:t>
      </w:r>
      <w:r w:rsidR="00E26F0F" w:rsidRPr="00B924EB">
        <w:rPr>
          <w:lang w:val="es-ES_tradnl"/>
        </w:rPr>
        <w:t>acreditación</w:t>
      </w:r>
      <w:r w:rsidR="00A13BEA" w:rsidRPr="00B924EB">
        <w:rPr>
          <w:lang w:val="es-ES_tradnl"/>
        </w:rPr>
        <w:t xml:space="preserve"> </w:t>
      </w:r>
      <w:r w:rsidR="00755C5D" w:rsidRPr="00B924EB">
        <w:rPr>
          <w:lang w:val="es-ES_tradnl"/>
        </w:rPr>
        <w:t>y</w:t>
      </w:r>
      <w:r w:rsidR="00A13BEA" w:rsidRPr="00B924EB">
        <w:rPr>
          <w:lang w:val="es-ES_tradnl"/>
        </w:rPr>
        <w:t xml:space="preserve"> </w:t>
      </w:r>
      <w:r w:rsidR="001A1006" w:rsidRPr="00B924EB">
        <w:rPr>
          <w:lang w:val="es-ES_tradnl"/>
        </w:rPr>
        <w:t>normalización</w:t>
      </w:r>
      <w:r w:rsidR="001259DA">
        <w:rPr>
          <w:lang w:val="es-ES_tradnl"/>
        </w:rPr>
        <w:t xml:space="preserve">: </w:t>
      </w:r>
      <w:r w:rsidR="0016127C" w:rsidRPr="00B924EB">
        <w:rPr>
          <w:lang w:val="es-ES_tradnl"/>
        </w:rPr>
        <w:t>17</w:t>
      </w:r>
      <w:r w:rsidR="009374DA" w:rsidRPr="00B924EB">
        <w:rPr>
          <w:lang w:val="es-ES_tradnl"/>
        </w:rPr>
        <w:t>5.</w:t>
      </w:r>
      <w:r w:rsidR="0016127C" w:rsidRPr="00B924EB">
        <w:rPr>
          <w:lang w:val="es-ES_tradnl"/>
        </w:rPr>
        <w:t>000</w:t>
      </w:r>
      <w:r w:rsidR="008D3EB1" w:rsidRPr="008D3EB1">
        <w:rPr>
          <w:lang w:val="es-ES_tradnl"/>
        </w:rPr>
        <w:t xml:space="preserve"> $EUA</w:t>
      </w:r>
      <w:r w:rsidR="00214E69" w:rsidRPr="00B924EB">
        <w:rPr>
          <w:lang w:val="es-ES_tradnl"/>
        </w:rPr>
        <w:t>;</w:t>
      </w:r>
      <w:r w:rsidR="00A13BEA" w:rsidRPr="00B924EB">
        <w:rPr>
          <w:lang w:val="es-ES_tradnl"/>
        </w:rPr>
        <w:t xml:space="preserve"> </w:t>
      </w:r>
      <w:r w:rsidR="00C3546E">
        <w:rPr>
          <w:lang w:val="es-ES_tradnl"/>
        </w:rPr>
        <w:t>asistencia al sector servicio técnico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equipos</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refrigeración</w:t>
      </w:r>
      <w:r w:rsidR="00F7065C">
        <w:rPr>
          <w:lang w:val="es-ES_tradnl"/>
        </w:rPr>
        <w:t xml:space="preserve">: </w:t>
      </w:r>
      <w:r w:rsidR="0016127C" w:rsidRPr="00B924EB">
        <w:rPr>
          <w:lang w:val="es-ES_tradnl"/>
        </w:rPr>
        <w:t>2</w:t>
      </w:r>
      <w:r w:rsidR="009374DA" w:rsidRPr="00B924EB">
        <w:rPr>
          <w:lang w:val="es-ES_tradnl"/>
        </w:rPr>
        <w:t>5.</w:t>
      </w:r>
      <w:r w:rsidR="0016127C" w:rsidRPr="00B924EB">
        <w:rPr>
          <w:lang w:val="es-ES_tradnl"/>
        </w:rPr>
        <w:t>00</w:t>
      </w:r>
      <w:r w:rsidR="00086E13" w:rsidRPr="00B924EB">
        <w:rPr>
          <w:lang w:val="es-ES_tradnl"/>
        </w:rPr>
        <w:t>0</w:t>
      </w:r>
      <w:r w:rsidR="008D3EB1" w:rsidRPr="008D3EB1">
        <w:rPr>
          <w:lang w:val="es-ES_tradnl"/>
        </w:rPr>
        <w:t xml:space="preserve"> $EUA</w:t>
      </w:r>
      <w:r w:rsidR="008D0610">
        <w:rPr>
          <w:lang w:val="es-ES_tradnl"/>
        </w:rPr>
        <w:t xml:space="preserve">; </w:t>
      </w:r>
      <w:r w:rsidR="001A1006" w:rsidRPr="00B924EB">
        <w:rPr>
          <w:lang w:val="es-ES_tradnl"/>
        </w:rPr>
        <w:t>supervisión</w:t>
      </w:r>
      <w:r w:rsidR="00A13BEA" w:rsidRPr="00B924EB">
        <w:rPr>
          <w:lang w:val="es-ES_tradnl"/>
        </w:rPr>
        <w:t xml:space="preserve"> </w:t>
      </w:r>
      <w:r w:rsidR="00755C5D" w:rsidRPr="00B924EB">
        <w:rPr>
          <w:lang w:val="es-ES_tradnl"/>
        </w:rPr>
        <w:t>y</w:t>
      </w:r>
      <w:r w:rsidR="00A13BEA" w:rsidRPr="00B924EB">
        <w:rPr>
          <w:lang w:val="es-ES_tradnl"/>
        </w:rPr>
        <w:t xml:space="preserve"> </w:t>
      </w:r>
      <w:r w:rsidR="00F41AD4">
        <w:rPr>
          <w:lang w:val="es-ES_tradnl"/>
        </w:rPr>
        <w:t>ejecución</w:t>
      </w:r>
      <w:r w:rsidR="00916CBC">
        <w:rPr>
          <w:lang w:val="es-ES_tradnl"/>
        </w:rPr>
        <w:t xml:space="preserve">: </w:t>
      </w:r>
      <w:r w:rsidR="0016127C" w:rsidRPr="00B924EB">
        <w:rPr>
          <w:lang w:val="es-ES_tradnl"/>
        </w:rPr>
        <w:t>4</w:t>
      </w:r>
      <w:r w:rsidR="00755C5D" w:rsidRPr="00B924EB">
        <w:rPr>
          <w:lang w:val="es-ES_tradnl"/>
        </w:rPr>
        <w:t>0.</w:t>
      </w:r>
      <w:r w:rsidR="0016127C" w:rsidRPr="00B924EB">
        <w:rPr>
          <w:lang w:val="es-ES_tradnl"/>
        </w:rPr>
        <w:t>0</w:t>
      </w:r>
      <w:r w:rsidR="00086E13" w:rsidRPr="00B924EB">
        <w:rPr>
          <w:lang w:val="es-ES_tradnl"/>
        </w:rPr>
        <w:t>00</w:t>
      </w:r>
      <w:r w:rsidR="00A831A5" w:rsidRPr="00A831A5">
        <w:rPr>
          <w:lang w:val="es-ES_tradnl"/>
        </w:rPr>
        <w:t xml:space="preserve"> $EUA</w:t>
      </w:r>
      <w:r w:rsidR="00086E13" w:rsidRPr="00B924EB">
        <w:rPr>
          <w:lang w:val="es-ES_tradnl"/>
        </w:rPr>
        <w:t>.</w:t>
      </w:r>
      <w:r w:rsidR="00A13BEA" w:rsidRPr="00B924EB">
        <w:rPr>
          <w:lang w:val="es-ES_tradnl"/>
        </w:rPr>
        <w:t xml:space="preserve"> </w:t>
      </w:r>
      <w:r w:rsidR="009374DA" w:rsidRPr="00B924EB">
        <w:rPr>
          <w:lang w:val="es-ES_tradnl"/>
        </w:rPr>
        <w:t>En</w:t>
      </w:r>
      <w:r w:rsidR="00A13BEA" w:rsidRPr="00B924EB">
        <w:rPr>
          <w:lang w:val="es-ES_tradnl"/>
        </w:rPr>
        <w:t xml:space="preserve"> </w:t>
      </w:r>
      <w:r w:rsidR="009374DA" w:rsidRPr="00B924EB">
        <w:rPr>
          <w:lang w:val="es-ES_tradnl"/>
        </w:rPr>
        <w:t>consecuencia,</w:t>
      </w:r>
      <w:r w:rsidR="00A13BEA" w:rsidRPr="00B924EB">
        <w:rPr>
          <w:lang w:val="es-ES_tradnl"/>
        </w:rPr>
        <w:t xml:space="preserve"> </w:t>
      </w:r>
      <w:r w:rsidR="00755C5D" w:rsidRPr="00B924EB">
        <w:rPr>
          <w:lang w:val="es-ES_tradnl"/>
        </w:rPr>
        <w:t>y</w:t>
      </w:r>
      <w:r w:rsidR="00A13BEA" w:rsidRPr="00B924EB">
        <w:rPr>
          <w:lang w:val="es-ES_tradnl"/>
        </w:rPr>
        <w:t xml:space="preserve"> </w:t>
      </w:r>
      <w:r w:rsidR="00516DFE">
        <w:rPr>
          <w:lang w:val="es-ES_tradnl"/>
        </w:rPr>
        <w:t xml:space="preserve">con el objeto de </w:t>
      </w:r>
      <w:r w:rsidR="0030571B">
        <w:rPr>
          <w:lang w:val="es-ES_tradnl"/>
        </w:rPr>
        <w:t xml:space="preserve">priorizar </w:t>
      </w:r>
      <w:r w:rsidR="00E26F0F" w:rsidRPr="00B924EB">
        <w:rPr>
          <w:lang w:val="es-ES_tradnl"/>
        </w:rPr>
        <w:t>el</w:t>
      </w:r>
      <w:r w:rsidR="00A13BEA" w:rsidRPr="00B924EB">
        <w:rPr>
          <w:lang w:val="es-ES_tradnl"/>
        </w:rPr>
        <w:t xml:space="preserve"> </w:t>
      </w:r>
      <w:r w:rsidR="00281CB2">
        <w:rPr>
          <w:lang w:val="es-ES_tradnl"/>
        </w:rPr>
        <w:t xml:space="preserve">cierre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lastRenderedPageBreak/>
        <w:t>etapa</w:t>
      </w:r>
      <w:r w:rsidR="00A13BEA" w:rsidRPr="00B924EB">
        <w:rPr>
          <w:lang w:val="es-ES_tradnl"/>
        </w:rPr>
        <w:t xml:space="preserve"> </w:t>
      </w:r>
      <w:r w:rsidR="003208A7" w:rsidRPr="00B924EB">
        <w:rPr>
          <w:lang w:val="es-ES_tradnl"/>
        </w:rPr>
        <w:t>I</w:t>
      </w:r>
      <w:r w:rsidR="002A30F6" w:rsidRPr="00B924EB">
        <w:rPr>
          <w:lang w:val="es-ES_tradnl"/>
        </w:rPr>
        <w:t>,</w:t>
      </w:r>
      <w:r w:rsidR="00A13BEA" w:rsidRPr="00B924EB">
        <w:rPr>
          <w:lang w:val="es-ES_tradnl"/>
        </w:rPr>
        <w:t xml:space="preserve"> </w:t>
      </w:r>
      <w:r w:rsidR="008D56B3" w:rsidRPr="008D56B3">
        <w:rPr>
          <w:lang w:val="es-ES_tradnl"/>
        </w:rPr>
        <w:t xml:space="preserve">el número de técnicos a capacitar </w:t>
      </w:r>
      <w:r w:rsidR="009F6FB2">
        <w:rPr>
          <w:lang w:val="es-ES_tradnl"/>
        </w:rPr>
        <w:t xml:space="preserve">en </w:t>
      </w:r>
      <w:r w:rsidR="005E1320" w:rsidRPr="00B924EB">
        <w:rPr>
          <w:lang w:val="es-ES_tradnl"/>
        </w:rPr>
        <w:t>el</w:t>
      </w:r>
      <w:r w:rsidR="00A13BEA" w:rsidRPr="00B924EB">
        <w:rPr>
          <w:lang w:val="es-ES_tradnl"/>
        </w:rPr>
        <w:t xml:space="preserve"> </w:t>
      </w:r>
      <w:r w:rsidR="005E1320" w:rsidRPr="00B924EB">
        <w:rPr>
          <w:lang w:val="es-ES_tradnl"/>
        </w:rPr>
        <w:t>primer</w:t>
      </w:r>
      <w:r w:rsidR="00A13BEA" w:rsidRPr="00B924EB">
        <w:rPr>
          <w:lang w:val="es-ES_tradnl"/>
        </w:rPr>
        <w:t xml:space="preserve"> </w:t>
      </w:r>
      <w:r w:rsidR="00755C5D" w:rsidRPr="00B924EB">
        <w:rPr>
          <w:lang w:val="es-ES_tradnl"/>
        </w:rPr>
        <w:t>tramo</w:t>
      </w:r>
      <w:r w:rsidR="00A13BEA" w:rsidRPr="00B924EB">
        <w:rPr>
          <w:lang w:val="es-ES_tradnl"/>
        </w:rPr>
        <w:t xml:space="preserve"> </w:t>
      </w:r>
      <w:r w:rsidR="009374DA" w:rsidRPr="00B924EB">
        <w:rPr>
          <w:lang w:val="es-ES_tradnl"/>
        </w:rPr>
        <w:t>de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1007C4">
        <w:rPr>
          <w:lang w:val="es-ES_tradnl"/>
        </w:rPr>
        <w:t>I</w:t>
      </w:r>
      <w:r w:rsidR="00A13BEA" w:rsidRPr="00B924EB">
        <w:rPr>
          <w:lang w:val="es-ES_tradnl"/>
        </w:rPr>
        <w:t xml:space="preserve"> </w:t>
      </w:r>
      <w:r w:rsidR="001E30A0" w:rsidRPr="001E30A0">
        <w:rPr>
          <w:lang w:val="es-ES_tradnl"/>
        </w:rPr>
        <w:t xml:space="preserve">se redujo </w:t>
      </w:r>
      <w:r w:rsidR="0018745A">
        <w:rPr>
          <w:lang w:val="es-ES_tradnl"/>
        </w:rPr>
        <w:t>de</w:t>
      </w:r>
      <w:r w:rsidR="00A13BEA" w:rsidRPr="00B924EB">
        <w:rPr>
          <w:lang w:val="es-ES_tradnl"/>
        </w:rPr>
        <w:t xml:space="preserve"> </w:t>
      </w:r>
      <w:r w:rsidR="00755C5D" w:rsidRPr="00B924EB">
        <w:rPr>
          <w:lang w:val="es-ES_tradnl"/>
        </w:rPr>
        <w:t>1.</w:t>
      </w:r>
      <w:r w:rsidR="002A30F6" w:rsidRPr="00B924EB">
        <w:rPr>
          <w:lang w:val="es-ES_tradnl"/>
        </w:rPr>
        <w:t>100</w:t>
      </w:r>
      <w:r w:rsidR="00A13BEA" w:rsidRPr="00B924EB">
        <w:rPr>
          <w:lang w:val="es-ES_tradnl"/>
        </w:rPr>
        <w:t xml:space="preserve"> </w:t>
      </w:r>
      <w:r w:rsidR="008C004B">
        <w:rPr>
          <w:lang w:val="es-ES_tradnl"/>
        </w:rPr>
        <w:t xml:space="preserve">a </w:t>
      </w:r>
      <w:r w:rsidR="002A30F6" w:rsidRPr="00B924EB">
        <w:rPr>
          <w:lang w:val="es-ES_tradnl"/>
        </w:rPr>
        <w:t>450</w:t>
      </w:r>
      <w:r w:rsidR="00A13BEA" w:rsidRPr="00B924EB">
        <w:rPr>
          <w:lang w:val="es-ES_tradnl"/>
        </w:rPr>
        <w:t xml:space="preserve"> </w:t>
      </w:r>
      <w:r w:rsidR="00755C5D" w:rsidRPr="00B924EB">
        <w:rPr>
          <w:lang w:val="es-ES_tradnl"/>
        </w:rPr>
        <w:t>y</w:t>
      </w:r>
      <w:r w:rsidR="00A13BEA" w:rsidRPr="00B924EB">
        <w:rPr>
          <w:lang w:val="es-ES_tradnl"/>
        </w:rPr>
        <w:t xml:space="preserve"> </w:t>
      </w:r>
      <w:r w:rsidR="005E1320" w:rsidRPr="00B924EB">
        <w:rPr>
          <w:lang w:val="es-ES_tradnl"/>
        </w:rPr>
        <w:t>el</w:t>
      </w:r>
      <w:r w:rsidR="00A13BEA" w:rsidRPr="00B924EB">
        <w:rPr>
          <w:lang w:val="es-ES_tradnl"/>
        </w:rPr>
        <w:t xml:space="preserve"> </w:t>
      </w:r>
      <w:r w:rsidR="005E1320" w:rsidRPr="00B924EB">
        <w:rPr>
          <w:lang w:val="es-ES_tradnl"/>
        </w:rPr>
        <w:t>número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E26F0F" w:rsidRPr="00B924EB">
        <w:rPr>
          <w:lang w:val="es-ES_tradnl"/>
        </w:rPr>
        <w:t>técnico</w:t>
      </w:r>
      <w:r w:rsidR="002A30F6" w:rsidRPr="00B924EB">
        <w:rPr>
          <w:lang w:val="es-ES_tradnl"/>
        </w:rPr>
        <w:t>s</w:t>
      </w:r>
      <w:r w:rsidR="00A13BEA" w:rsidRPr="00B924EB">
        <w:rPr>
          <w:lang w:val="es-ES_tradnl"/>
        </w:rPr>
        <w:t xml:space="preserve"> </w:t>
      </w:r>
      <w:r w:rsidR="008C004B">
        <w:rPr>
          <w:lang w:val="es-ES_tradnl"/>
        </w:rPr>
        <w:t xml:space="preserve">a certificar de </w:t>
      </w:r>
      <w:r w:rsidR="00755C5D" w:rsidRPr="00B924EB">
        <w:rPr>
          <w:lang w:val="es-ES_tradnl"/>
        </w:rPr>
        <w:t>1.</w:t>
      </w:r>
      <w:r w:rsidR="002A30F6" w:rsidRPr="00B924EB">
        <w:rPr>
          <w:lang w:val="es-ES_tradnl"/>
        </w:rPr>
        <w:t>100</w:t>
      </w:r>
      <w:r w:rsidR="00A13BEA" w:rsidRPr="00B924EB">
        <w:rPr>
          <w:lang w:val="es-ES_tradnl"/>
        </w:rPr>
        <w:t xml:space="preserve"> </w:t>
      </w:r>
      <w:r w:rsidR="008C004B">
        <w:rPr>
          <w:lang w:val="es-ES_tradnl"/>
        </w:rPr>
        <w:t>a</w:t>
      </w:r>
      <w:r w:rsidR="00A13BEA" w:rsidRPr="00B924EB">
        <w:rPr>
          <w:lang w:val="es-ES_tradnl"/>
        </w:rPr>
        <w:t xml:space="preserve"> </w:t>
      </w:r>
      <w:r w:rsidR="002A30F6" w:rsidRPr="00B924EB">
        <w:rPr>
          <w:lang w:val="es-ES_tradnl"/>
        </w:rPr>
        <w:t>30</w:t>
      </w:r>
      <w:r w:rsidR="005D5D90">
        <w:rPr>
          <w:lang w:val="es-ES_tradnl"/>
        </w:rPr>
        <w:t>0,</w:t>
      </w:r>
      <w:r w:rsidR="00A13BEA" w:rsidRPr="00B924EB">
        <w:rPr>
          <w:lang w:val="es-ES_tradnl"/>
        </w:rPr>
        <w:t xml:space="preserve"> </w:t>
      </w:r>
      <w:r w:rsidR="005D5D90">
        <w:rPr>
          <w:lang w:val="es-ES_tradnl"/>
        </w:rPr>
        <w:t xml:space="preserve">manteniéndose </w:t>
      </w:r>
      <w:r w:rsidR="00441648">
        <w:rPr>
          <w:lang w:val="es-ES_tradnl"/>
        </w:rPr>
        <w:t xml:space="preserve">los totales acordados </w:t>
      </w:r>
      <w:r w:rsidR="009374DA" w:rsidRPr="00B924EB">
        <w:rPr>
          <w:lang w:val="es-ES_tradnl"/>
        </w:rPr>
        <w:t>para</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2A30F6" w:rsidRPr="00B924EB">
        <w:rPr>
          <w:lang w:val="es-ES_tradnl"/>
        </w:rPr>
        <w:t>I.</w:t>
      </w:r>
      <w:r w:rsidR="00A13BEA" w:rsidRPr="00B924EB">
        <w:rPr>
          <w:lang w:val="es-ES_tradnl"/>
        </w:rPr>
        <w:t xml:space="preserve"> </w:t>
      </w:r>
      <w:r w:rsidR="00E45C8A">
        <w:rPr>
          <w:lang w:val="es-ES_tradnl"/>
        </w:rPr>
        <w:t xml:space="preserve">Según </w:t>
      </w:r>
      <w:r w:rsidR="00E45C8A" w:rsidRPr="00E45C8A">
        <w:rPr>
          <w:lang w:val="es-ES_tradnl"/>
        </w:rPr>
        <w:t>lo planificado</w:t>
      </w:r>
      <w:r w:rsidR="00E45C8A">
        <w:rPr>
          <w:lang w:val="es-ES_tradnl"/>
        </w:rPr>
        <w:t>, e</w:t>
      </w:r>
      <w:r w:rsidR="006B63C9">
        <w:rPr>
          <w:lang w:val="es-ES_tradnl"/>
        </w:rPr>
        <w:t xml:space="preserve">l plan de acción </w:t>
      </w:r>
      <w:r w:rsidR="007E510E">
        <w:rPr>
          <w:lang w:val="es-ES_tradnl"/>
        </w:rPr>
        <w:t xml:space="preserve">corregido </w:t>
      </w:r>
      <w:r w:rsidR="00331F72">
        <w:rPr>
          <w:lang w:val="es-ES_tradnl"/>
        </w:rPr>
        <w:t xml:space="preserve">para </w:t>
      </w:r>
      <w:r w:rsidR="005E1320" w:rsidRPr="00B924EB">
        <w:rPr>
          <w:lang w:val="es-ES_tradnl"/>
        </w:rPr>
        <w:t>el</w:t>
      </w:r>
      <w:r w:rsidR="00A13BEA" w:rsidRPr="00B924EB">
        <w:rPr>
          <w:lang w:val="es-ES_tradnl"/>
        </w:rPr>
        <w:t xml:space="preserve"> </w:t>
      </w:r>
      <w:r w:rsidR="005E1320" w:rsidRPr="00B924EB">
        <w:rPr>
          <w:lang w:val="es-ES_tradnl"/>
        </w:rPr>
        <w:t>primer</w:t>
      </w:r>
      <w:r w:rsidR="00A13BEA" w:rsidRPr="00B924EB">
        <w:rPr>
          <w:lang w:val="es-ES_tradnl"/>
        </w:rPr>
        <w:t xml:space="preserve"> </w:t>
      </w:r>
      <w:r w:rsidR="00755C5D" w:rsidRPr="00B924EB">
        <w:rPr>
          <w:lang w:val="es-ES_tradnl"/>
        </w:rPr>
        <w:t>tramo</w:t>
      </w:r>
      <w:r w:rsidR="00A13BEA" w:rsidRPr="00B924EB">
        <w:rPr>
          <w:lang w:val="es-ES_tradnl"/>
        </w:rPr>
        <w:t xml:space="preserve"> </w:t>
      </w:r>
      <w:r w:rsidR="00E74272" w:rsidRPr="00B924EB">
        <w:rPr>
          <w:lang w:val="es-ES_tradnl"/>
        </w:rPr>
        <w:t>incluye</w:t>
      </w:r>
      <w:r w:rsidR="00D70C93">
        <w:rPr>
          <w:lang w:val="es-ES_tradnl"/>
        </w:rPr>
        <w:t xml:space="preserve"> </w:t>
      </w:r>
      <w:r w:rsidR="00862B6B">
        <w:rPr>
          <w:lang w:val="es-ES_tradnl"/>
        </w:rPr>
        <w:t xml:space="preserve">promulgación </w:t>
      </w:r>
      <w:r w:rsidR="00755C5D" w:rsidRPr="00B924EB">
        <w:rPr>
          <w:lang w:val="es-ES_tradnl"/>
        </w:rPr>
        <w:t>de</w:t>
      </w:r>
      <w:r w:rsidR="00A13BEA" w:rsidRPr="00B924EB">
        <w:rPr>
          <w:lang w:val="es-ES_tradnl"/>
        </w:rPr>
        <w:t xml:space="preserve"> </w:t>
      </w:r>
      <w:r w:rsidR="00E74272" w:rsidRPr="00B924EB">
        <w:rPr>
          <w:lang w:val="es-ES_tradnl"/>
        </w:rPr>
        <w:t>políticas</w:t>
      </w:r>
      <w:r w:rsidR="002A30F6" w:rsidRPr="00B924EB">
        <w:rPr>
          <w:lang w:val="es-ES_tradnl"/>
        </w:rPr>
        <w:t>,</w:t>
      </w:r>
      <w:r w:rsidR="00A13BEA" w:rsidRPr="00B924EB">
        <w:rPr>
          <w:lang w:val="es-ES_tradnl"/>
        </w:rPr>
        <w:t xml:space="preserve"> </w:t>
      </w:r>
      <w:r w:rsidR="009374DA" w:rsidRPr="00B924EB">
        <w:rPr>
          <w:lang w:val="es-ES_tradnl"/>
        </w:rPr>
        <w:t>capacitación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2A30F6" w:rsidRPr="00B924EB">
        <w:rPr>
          <w:lang w:val="es-ES_tradnl"/>
        </w:rPr>
        <w:t>150</w:t>
      </w:r>
      <w:r w:rsidR="00A13BEA" w:rsidRPr="00B924EB">
        <w:rPr>
          <w:lang w:val="es-ES_tradnl"/>
        </w:rPr>
        <w:t xml:space="preserve"> </w:t>
      </w:r>
      <w:r w:rsidR="000521A3" w:rsidRPr="00B924EB">
        <w:rPr>
          <w:lang w:val="es-ES_tradnl"/>
        </w:rPr>
        <w:t>funcionarios</w:t>
      </w:r>
      <w:r w:rsidR="00A13BEA" w:rsidRPr="00B924EB">
        <w:rPr>
          <w:lang w:val="es-ES_tradnl"/>
        </w:rPr>
        <w:t xml:space="preserve"> </w:t>
      </w:r>
      <w:r w:rsidR="000521A3" w:rsidRPr="00B924EB">
        <w:rPr>
          <w:lang w:val="es-ES_tradnl"/>
        </w:rPr>
        <w:t>aduaneros</w:t>
      </w:r>
      <w:r w:rsidR="003E25BD">
        <w:rPr>
          <w:lang w:val="es-ES_tradnl"/>
        </w:rPr>
        <w:t xml:space="preserve"> y </w:t>
      </w:r>
      <w:r w:rsidR="00755C5D" w:rsidRPr="00B924EB">
        <w:rPr>
          <w:lang w:val="es-ES_tradnl"/>
        </w:rPr>
        <w:t>cinco</w:t>
      </w:r>
      <w:r w:rsidR="00A13BEA" w:rsidRPr="00B924EB">
        <w:rPr>
          <w:lang w:val="es-ES_tradnl"/>
        </w:rPr>
        <w:t xml:space="preserve"> </w:t>
      </w:r>
      <w:r w:rsidR="0078583D">
        <w:rPr>
          <w:lang w:val="es-ES_tradnl"/>
        </w:rPr>
        <w:t>a</w:t>
      </w:r>
      <w:r w:rsidR="00A13BEA" w:rsidRPr="00B924EB">
        <w:rPr>
          <w:lang w:val="es-ES_tradnl"/>
        </w:rPr>
        <w:t xml:space="preserve"> </w:t>
      </w:r>
      <w:r w:rsidR="00755C5D" w:rsidRPr="00B924EB">
        <w:rPr>
          <w:lang w:val="es-ES_tradnl"/>
        </w:rPr>
        <w:t>seis</w:t>
      </w:r>
      <w:r w:rsidR="00A13BEA" w:rsidRPr="00B924EB">
        <w:rPr>
          <w:lang w:val="es-ES_tradnl"/>
        </w:rPr>
        <w:t xml:space="preserve"> </w:t>
      </w:r>
      <w:r w:rsidR="009374DA" w:rsidRPr="00B924EB">
        <w:rPr>
          <w:lang w:val="es-ES_tradnl"/>
        </w:rPr>
        <w:t>talleres</w:t>
      </w:r>
      <w:r w:rsidR="00A13BEA" w:rsidRPr="00B924EB">
        <w:rPr>
          <w:lang w:val="es-ES_tradnl"/>
        </w:rPr>
        <w:t xml:space="preserve"> </w:t>
      </w:r>
      <w:r w:rsidR="00F366E6">
        <w:rPr>
          <w:lang w:val="es-ES_tradnl"/>
        </w:rPr>
        <w:t xml:space="preserve">para </w:t>
      </w:r>
      <w:r w:rsidR="002A30F6" w:rsidRPr="00B924EB">
        <w:rPr>
          <w:lang w:val="es-ES_tradnl"/>
        </w:rPr>
        <w:t>120</w:t>
      </w:r>
      <w:r w:rsidR="00A13BEA" w:rsidRPr="00B924EB">
        <w:rPr>
          <w:lang w:val="es-ES_tradnl"/>
        </w:rPr>
        <w:t xml:space="preserve"> </w:t>
      </w:r>
      <w:r w:rsidR="00F366E6">
        <w:rPr>
          <w:lang w:val="es-ES_tradnl"/>
        </w:rPr>
        <w:t>a</w:t>
      </w:r>
      <w:r w:rsidR="00A13BEA" w:rsidRPr="00B924EB">
        <w:rPr>
          <w:lang w:val="es-ES_tradnl"/>
        </w:rPr>
        <w:t xml:space="preserve"> </w:t>
      </w:r>
      <w:r w:rsidR="002A30F6" w:rsidRPr="00B924EB">
        <w:rPr>
          <w:lang w:val="es-ES_tradnl"/>
        </w:rPr>
        <w:t>150</w:t>
      </w:r>
      <w:r w:rsidR="00A13BEA" w:rsidRPr="00B924EB">
        <w:rPr>
          <w:lang w:val="es-ES_tradnl"/>
        </w:rPr>
        <w:t xml:space="preserve"> </w:t>
      </w:r>
      <w:r w:rsidR="00E013B4">
        <w:rPr>
          <w:lang w:val="es-ES_tradnl"/>
        </w:rPr>
        <w:t>grandes usuarios</w:t>
      </w:r>
      <w:r w:rsidR="00055F50" w:rsidRPr="00B924EB">
        <w:rPr>
          <w:lang w:val="es-ES_tradnl"/>
        </w:rPr>
        <w:t xml:space="preserve"> finales</w:t>
      </w:r>
      <w:r w:rsidR="0015118A">
        <w:rPr>
          <w:lang w:val="es-ES_tradnl"/>
        </w:rPr>
        <w:t>.</w:t>
      </w:r>
      <w:r w:rsidR="00A13BEA" w:rsidRPr="00B924EB">
        <w:rPr>
          <w:lang w:val="es-ES_tradnl"/>
        </w:rPr>
        <w:t xml:space="preserve"> </w:t>
      </w:r>
      <w:r w:rsidR="0015118A">
        <w:rPr>
          <w:lang w:val="es-ES_tradnl"/>
        </w:rPr>
        <w:t xml:space="preserve">No incluye </w:t>
      </w:r>
      <w:r w:rsidR="0098712B">
        <w:rPr>
          <w:lang w:val="es-ES_tradnl"/>
        </w:rPr>
        <w:t xml:space="preserve">la </w:t>
      </w:r>
      <w:r w:rsidR="00E26F0F" w:rsidRPr="00B924EB">
        <w:rPr>
          <w:lang w:val="es-ES_tradnl"/>
        </w:rPr>
        <w:t>adquisición</w:t>
      </w:r>
      <w:r w:rsidR="00A13BEA" w:rsidRPr="00B924EB">
        <w:rPr>
          <w:lang w:val="es-ES_tradnl"/>
        </w:rPr>
        <w:t xml:space="preserve"> </w:t>
      </w:r>
      <w:r w:rsidR="0098712B">
        <w:rPr>
          <w:lang w:val="es-ES_tradnl"/>
        </w:rPr>
        <w:t xml:space="preserve">de </w:t>
      </w:r>
      <w:r w:rsidR="0098712B" w:rsidRPr="0098712B">
        <w:rPr>
          <w:lang w:val="es-ES_tradnl"/>
        </w:rPr>
        <w:t xml:space="preserve">equipos </w:t>
      </w:r>
      <w:r w:rsidR="005F0F17">
        <w:rPr>
          <w:lang w:val="es-ES_tradnl"/>
        </w:rPr>
        <w:t xml:space="preserve">a fin de </w:t>
      </w:r>
      <w:r w:rsidR="00587886">
        <w:rPr>
          <w:lang w:val="es-ES_tradnl"/>
        </w:rPr>
        <w:t xml:space="preserve">priorizar </w:t>
      </w:r>
      <w:r w:rsidR="004A5C1C">
        <w:rPr>
          <w:lang w:val="es-ES_tradnl"/>
        </w:rPr>
        <w:t xml:space="preserve">el </w:t>
      </w:r>
      <w:r w:rsidR="00E2281A">
        <w:rPr>
          <w:lang w:val="es-ES_tradnl"/>
        </w:rPr>
        <w:t xml:space="preserve">cierre </w:t>
      </w:r>
      <w:r w:rsidR="00755C5D" w:rsidRPr="00B924EB">
        <w:rPr>
          <w:lang w:val="es-ES_tradnl"/>
        </w:rPr>
        <w:t>de</w:t>
      </w:r>
      <w:r w:rsidR="00A13BEA" w:rsidRPr="00B924EB">
        <w:rPr>
          <w:lang w:val="es-ES_tradnl"/>
        </w:rPr>
        <w:t xml:space="preserve"> </w:t>
      </w:r>
      <w:r w:rsidR="00100DDB">
        <w:rPr>
          <w:lang w:val="es-ES_tradnl"/>
        </w:rPr>
        <w:t xml:space="preserve">las actividades de </w:t>
      </w:r>
      <w:r w:rsidR="00E26F0F" w:rsidRPr="00B924EB">
        <w:rPr>
          <w:lang w:val="es-ES_tradnl"/>
        </w:rPr>
        <w:t>adquisición</w:t>
      </w:r>
      <w:r w:rsidR="00A13BEA" w:rsidRPr="00B924EB">
        <w:rPr>
          <w:lang w:val="es-ES_tradnl"/>
        </w:rPr>
        <w:t xml:space="preserve"> </w:t>
      </w:r>
      <w:r w:rsidR="00755C5D" w:rsidRPr="00B924EB">
        <w:rPr>
          <w:lang w:val="es-ES_tradnl"/>
        </w:rPr>
        <w:t>y</w:t>
      </w:r>
      <w:r w:rsidR="00A13BEA" w:rsidRPr="00B924EB">
        <w:rPr>
          <w:lang w:val="es-ES_tradnl"/>
        </w:rPr>
        <w:t xml:space="preserve"> </w:t>
      </w:r>
      <w:r w:rsidR="009374DA" w:rsidRPr="00B924EB">
        <w:rPr>
          <w:lang w:val="es-ES_tradnl"/>
        </w:rPr>
        <w:t>distribución</w:t>
      </w:r>
      <w:r w:rsidR="00A13BEA" w:rsidRPr="00B924EB">
        <w:rPr>
          <w:lang w:val="es-ES_tradnl"/>
        </w:rPr>
        <w:t xml:space="preserve"> </w:t>
      </w:r>
      <w:r w:rsidR="00100DDB">
        <w:rPr>
          <w:lang w:val="es-ES_tradnl"/>
        </w:rPr>
        <w:t xml:space="preserve">de </w:t>
      </w:r>
      <w:r w:rsidR="00100DDB" w:rsidRPr="00100DDB">
        <w:rPr>
          <w:lang w:val="es-ES_tradnl"/>
        </w:rPr>
        <w:t xml:space="preserve">equipos </w:t>
      </w:r>
      <w:r w:rsidR="00100DDB">
        <w:rPr>
          <w:lang w:val="es-ES_tradnl"/>
        </w:rPr>
        <w:t xml:space="preserve">de </w:t>
      </w:r>
      <w:r w:rsidR="001A1006" w:rsidRPr="00B924EB">
        <w:rPr>
          <w:lang w:val="es-ES_tradnl"/>
        </w:rPr>
        <w:t>la</w:t>
      </w:r>
      <w:r w:rsidR="00A13BEA" w:rsidRPr="00B924EB">
        <w:rPr>
          <w:lang w:val="es-ES_tradnl"/>
        </w:rPr>
        <w:t xml:space="preserve"> </w:t>
      </w:r>
      <w:r w:rsidR="001A1006" w:rsidRPr="00B924EB">
        <w:rPr>
          <w:lang w:val="es-ES_tradnl"/>
        </w:rPr>
        <w:t>etapa</w:t>
      </w:r>
      <w:r w:rsidR="00A13BEA" w:rsidRPr="00B924EB">
        <w:rPr>
          <w:lang w:val="es-ES_tradnl"/>
        </w:rPr>
        <w:t xml:space="preserve"> </w:t>
      </w:r>
      <w:r w:rsidR="003208A7" w:rsidRPr="00B924EB">
        <w:rPr>
          <w:lang w:val="es-ES_tradnl"/>
        </w:rPr>
        <w:t>I</w:t>
      </w:r>
      <w:r w:rsidR="002A30F6" w:rsidRPr="00B924EB">
        <w:rPr>
          <w:lang w:val="es-ES_tradnl"/>
        </w:rPr>
        <w:t>.</w:t>
      </w:r>
    </w:p>
    <w:p w14:paraId="493A8DEF" w14:textId="03D134EF" w:rsidR="00C679D6" w:rsidRPr="00B924EB" w:rsidRDefault="00AD6C87" w:rsidP="00C679D6">
      <w:pPr>
        <w:keepNext/>
        <w:spacing w:after="240"/>
        <w:rPr>
          <w:u w:val="single"/>
          <w:lang w:val="es-ES_tradnl"/>
        </w:rPr>
      </w:pPr>
      <w:r w:rsidRPr="00AD6C87">
        <w:rPr>
          <w:u w:val="single"/>
          <w:lang w:val="es-ES_tradnl"/>
        </w:rPr>
        <w:t>Aspectos técnicos y de costos</w:t>
      </w:r>
    </w:p>
    <w:p w14:paraId="6663EEE7" w14:textId="6F05FF1A" w:rsidR="00732B6B" w:rsidRPr="00B924EB" w:rsidRDefault="00533F60" w:rsidP="00156F53">
      <w:pPr>
        <w:pStyle w:val="Heading1"/>
        <w:rPr>
          <w:lang w:val="es-ES_tradnl"/>
        </w:rPr>
      </w:pPr>
      <w:r>
        <w:rPr>
          <w:lang w:val="es-ES_tradnl"/>
        </w:rPr>
        <w:t xml:space="preserve">Respecto del </w:t>
      </w:r>
      <w:r w:rsidR="00363607" w:rsidRPr="00B924EB">
        <w:rPr>
          <w:lang w:val="es-ES_tradnl"/>
        </w:rPr>
        <w:t>sector</w:t>
      </w:r>
      <w:r w:rsidR="00A13BEA" w:rsidRPr="00B924EB">
        <w:rPr>
          <w:lang w:val="es-ES_tradnl"/>
        </w:rPr>
        <w:t xml:space="preserve"> </w:t>
      </w:r>
      <w:r w:rsidR="00DB3D7B" w:rsidRPr="00B924EB">
        <w:rPr>
          <w:lang w:val="es-ES_tradnl"/>
        </w:rPr>
        <w:t>manufacturero</w:t>
      </w:r>
      <w:r w:rsidR="00B45DAF" w:rsidRPr="00B924EB">
        <w:rPr>
          <w:lang w:val="es-ES_tradnl"/>
        </w:rPr>
        <w:t>,</w:t>
      </w:r>
      <w:r w:rsidR="00A13BEA" w:rsidRPr="00B924EB">
        <w:rPr>
          <w:lang w:val="es-ES_tradnl"/>
        </w:rPr>
        <w:t xml:space="preserve"> </w:t>
      </w:r>
      <w:r w:rsidR="009374DA" w:rsidRPr="00B924EB">
        <w:rPr>
          <w:lang w:val="es-ES_tradnl"/>
        </w:rPr>
        <w:t>la</w:t>
      </w:r>
      <w:r w:rsidR="00A13BEA" w:rsidRPr="00B924EB">
        <w:rPr>
          <w:lang w:val="es-ES_tradnl"/>
        </w:rPr>
        <w:t xml:space="preserve"> </w:t>
      </w:r>
      <w:r w:rsidR="001A1006" w:rsidRPr="00B924EB">
        <w:rPr>
          <w:lang w:val="es-ES_tradnl"/>
        </w:rPr>
        <w:t>Secretaría</w:t>
      </w:r>
      <w:r w:rsidR="00A13BEA" w:rsidRPr="00B924EB">
        <w:rPr>
          <w:lang w:val="es-ES_tradnl"/>
        </w:rPr>
        <w:t xml:space="preserve"> </w:t>
      </w:r>
      <w:r w:rsidR="001A1006" w:rsidRPr="00B924EB">
        <w:rPr>
          <w:lang w:val="es-ES_tradnl"/>
        </w:rPr>
        <w:t>tomó</w:t>
      </w:r>
      <w:r w:rsidR="00A13BEA" w:rsidRPr="00B924EB">
        <w:rPr>
          <w:lang w:val="es-ES_tradnl"/>
        </w:rPr>
        <w:t xml:space="preserve"> </w:t>
      </w:r>
      <w:r w:rsidR="001A1006" w:rsidRPr="00B924EB">
        <w:rPr>
          <w:lang w:val="es-ES_tradnl"/>
        </w:rPr>
        <w:t>nota</w:t>
      </w:r>
      <w:r w:rsidR="00365156">
        <w:rPr>
          <w:lang w:val="es-ES_tradnl"/>
        </w:rPr>
        <w:t xml:space="preserve"> </w:t>
      </w:r>
      <w:r w:rsidR="00050BBD">
        <w:rPr>
          <w:lang w:val="es-ES_tradnl"/>
        </w:rPr>
        <w:t>de la decisión</w:t>
      </w:r>
      <w:r w:rsidR="00365156">
        <w:rPr>
          <w:lang w:val="es-ES_tradnl"/>
        </w:rPr>
        <w:t xml:space="preserve"> </w:t>
      </w:r>
      <w:r w:rsidR="00050BBD">
        <w:rPr>
          <w:lang w:val="es-ES_tradnl"/>
        </w:rPr>
        <w:t xml:space="preserve">de no convertir </w:t>
      </w:r>
      <w:r w:rsidR="00F81A73" w:rsidRPr="00F81A73">
        <w:rPr>
          <w:lang w:val="es-ES_tradnl"/>
        </w:rPr>
        <w:t xml:space="preserve">al fabricante de climatizadores </w:t>
      </w:r>
      <w:r w:rsidR="00DE79C9">
        <w:rPr>
          <w:lang w:val="es-ES_tradnl"/>
        </w:rPr>
        <w:t xml:space="preserve">en esta etapa </w:t>
      </w:r>
      <w:r w:rsidR="00313049">
        <w:rPr>
          <w:lang w:val="es-ES_tradnl"/>
        </w:rPr>
        <w:t xml:space="preserve">debido al </w:t>
      </w:r>
      <w:r w:rsidR="00E312FB">
        <w:rPr>
          <w:lang w:val="es-ES_tradnl"/>
        </w:rPr>
        <w:t xml:space="preserve">actual </w:t>
      </w:r>
      <w:r w:rsidR="00365156">
        <w:rPr>
          <w:lang w:val="es-ES_tradnl"/>
        </w:rPr>
        <w:t>escenario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044C42">
        <w:rPr>
          <w:lang w:val="es-ES_tradnl"/>
        </w:rPr>
        <w:t xml:space="preserve">opciones </w:t>
      </w:r>
      <w:r w:rsidR="00AB33BD">
        <w:rPr>
          <w:lang w:val="es-ES_tradnl"/>
        </w:rPr>
        <w:t>para</w:t>
      </w:r>
      <w:r w:rsidR="00A13BEA" w:rsidRPr="00B924EB">
        <w:rPr>
          <w:lang w:val="es-ES_tradnl"/>
        </w:rPr>
        <w:t xml:space="preserve"> </w:t>
      </w:r>
      <w:r w:rsidR="00363607" w:rsidRPr="00B924EB">
        <w:rPr>
          <w:lang w:val="es-ES_tradnl"/>
        </w:rPr>
        <w:t>altas</w:t>
      </w:r>
      <w:r w:rsidR="00A13BEA" w:rsidRPr="00B924EB">
        <w:rPr>
          <w:lang w:val="es-ES_tradnl"/>
        </w:rPr>
        <w:t xml:space="preserve"> </w:t>
      </w:r>
      <w:r w:rsidR="00363607" w:rsidRPr="00B924EB">
        <w:rPr>
          <w:lang w:val="es-ES_tradnl"/>
        </w:rPr>
        <w:t>temperaturas</w:t>
      </w:r>
      <w:r w:rsidR="00A13BEA" w:rsidRPr="00B924EB">
        <w:rPr>
          <w:lang w:val="es-ES_tradnl"/>
        </w:rPr>
        <w:t xml:space="preserve"> </w:t>
      </w:r>
      <w:r w:rsidR="00363607" w:rsidRPr="00B924EB">
        <w:rPr>
          <w:lang w:val="es-ES_tradnl"/>
        </w:rPr>
        <w:t>ambiente</w:t>
      </w:r>
      <w:r w:rsidR="00B45DAF" w:rsidRPr="00B924EB">
        <w:rPr>
          <w:lang w:val="es-ES_tradnl"/>
        </w:rPr>
        <w:t>,</w:t>
      </w:r>
      <w:r w:rsidR="00A13BEA" w:rsidRPr="00B924EB">
        <w:rPr>
          <w:lang w:val="es-ES_tradnl"/>
        </w:rPr>
        <w:t xml:space="preserve"> </w:t>
      </w:r>
      <w:r w:rsidR="00BB1B91">
        <w:rPr>
          <w:lang w:val="es-ES_tradnl"/>
        </w:rPr>
        <w:t>optando</w:t>
      </w:r>
      <w:r w:rsidR="00216E55">
        <w:rPr>
          <w:lang w:val="es-ES_tradnl"/>
        </w:rPr>
        <w:t xml:space="preserve"> en cambio por </w:t>
      </w:r>
      <w:r w:rsidR="00B17A40">
        <w:rPr>
          <w:lang w:val="es-ES_tradnl"/>
        </w:rPr>
        <w:t>entregar</w:t>
      </w:r>
      <w:r w:rsidR="00071035">
        <w:rPr>
          <w:lang w:val="es-ES_tradnl"/>
        </w:rPr>
        <w:t>le</w:t>
      </w:r>
      <w:r w:rsidR="00B17A40">
        <w:rPr>
          <w:lang w:val="es-ES_tradnl"/>
        </w:rPr>
        <w:t xml:space="preserve"> </w:t>
      </w:r>
      <w:r w:rsidR="009374DA" w:rsidRPr="00B924EB">
        <w:rPr>
          <w:lang w:val="es-ES_tradnl"/>
        </w:rPr>
        <w:t>asistencia</w:t>
      </w:r>
      <w:r w:rsidR="00A13BEA" w:rsidRPr="00B924EB">
        <w:rPr>
          <w:lang w:val="es-ES_tradnl"/>
        </w:rPr>
        <w:t xml:space="preserve"> </w:t>
      </w:r>
      <w:r w:rsidR="009374DA" w:rsidRPr="00B924EB">
        <w:rPr>
          <w:lang w:val="es-ES_tradnl"/>
        </w:rPr>
        <w:t>técnica</w:t>
      </w:r>
      <w:r w:rsidR="00A13BEA" w:rsidRPr="00B924EB">
        <w:rPr>
          <w:lang w:val="es-ES_tradnl"/>
        </w:rPr>
        <w:t xml:space="preserve"> </w:t>
      </w:r>
      <w:r w:rsidR="006B799F">
        <w:rPr>
          <w:lang w:val="es-ES_tradnl"/>
        </w:rPr>
        <w:t xml:space="preserve">que le permita conocer </w:t>
      </w:r>
      <w:r w:rsidR="00C03F09">
        <w:rPr>
          <w:lang w:val="es-ES_tradnl"/>
        </w:rPr>
        <w:t xml:space="preserve">las alternativas </w:t>
      </w:r>
      <w:r w:rsidR="00CB72CE" w:rsidRPr="00B924EB">
        <w:rPr>
          <w:lang w:val="es-ES_tradnl"/>
        </w:rPr>
        <w:t>de</w:t>
      </w:r>
      <w:r w:rsidR="00A13BEA" w:rsidRPr="00B924EB">
        <w:rPr>
          <w:lang w:val="es-ES_tradnl"/>
        </w:rPr>
        <w:t xml:space="preserve"> </w:t>
      </w:r>
      <w:r w:rsidR="00CB72CE" w:rsidRPr="00B924EB">
        <w:rPr>
          <w:lang w:val="es-ES_tradnl"/>
        </w:rPr>
        <w:t>bajo</w:t>
      </w:r>
      <w:r w:rsidR="00A13BEA" w:rsidRPr="00B924EB">
        <w:rPr>
          <w:lang w:val="es-ES_tradnl"/>
        </w:rPr>
        <w:t xml:space="preserve"> </w:t>
      </w:r>
      <w:r w:rsidR="00E74272" w:rsidRPr="00B924EB">
        <w:rPr>
          <w:lang w:val="es-ES_tradnl"/>
        </w:rPr>
        <w:t>PCA</w:t>
      </w:r>
      <w:r w:rsidR="00A13BEA" w:rsidRPr="00B924EB">
        <w:rPr>
          <w:lang w:val="es-ES_tradnl"/>
        </w:rPr>
        <w:t xml:space="preserve"> </w:t>
      </w:r>
      <w:r w:rsidR="008867A4">
        <w:rPr>
          <w:lang w:val="es-ES_tradnl"/>
        </w:rPr>
        <w:t xml:space="preserve">y </w:t>
      </w:r>
      <w:r w:rsidR="0018482C">
        <w:rPr>
          <w:lang w:val="es-ES_tradnl"/>
        </w:rPr>
        <w:t xml:space="preserve">hacer </w:t>
      </w:r>
      <w:r w:rsidR="001115C8">
        <w:rPr>
          <w:lang w:val="es-ES_tradnl"/>
        </w:rPr>
        <w:t xml:space="preserve">su </w:t>
      </w:r>
      <w:r w:rsidR="009374DA" w:rsidRPr="00B924EB">
        <w:rPr>
          <w:lang w:val="es-ES_tradnl"/>
        </w:rPr>
        <w:t>conversión</w:t>
      </w:r>
      <w:r w:rsidR="00A13BEA" w:rsidRPr="00B924EB">
        <w:rPr>
          <w:lang w:val="es-ES_tradnl"/>
        </w:rPr>
        <w:t xml:space="preserve"> </w:t>
      </w:r>
      <w:r w:rsidR="00452F79" w:rsidRPr="00B924EB">
        <w:rPr>
          <w:lang w:val="es-ES_tradnl"/>
        </w:rPr>
        <w:t>durante</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B45DAF" w:rsidRPr="00B924EB">
        <w:rPr>
          <w:lang w:val="es-ES_tradnl"/>
        </w:rPr>
        <w:t>II</w:t>
      </w:r>
      <w:r w:rsidR="00732B6B" w:rsidRPr="00B924EB">
        <w:rPr>
          <w:lang w:val="es-ES_tradnl"/>
        </w:rPr>
        <w:t>.</w:t>
      </w:r>
      <w:r w:rsidR="00A13BEA" w:rsidRPr="00B924EB">
        <w:rPr>
          <w:lang w:val="es-ES_tradnl"/>
        </w:rPr>
        <w:t xml:space="preserve"> </w:t>
      </w:r>
      <w:r w:rsidR="004443D1">
        <w:rPr>
          <w:lang w:val="es-ES_tradnl"/>
        </w:rPr>
        <w:t xml:space="preserve">Habida </w:t>
      </w:r>
      <w:r w:rsidR="00CD6CEC">
        <w:rPr>
          <w:lang w:val="es-ES_tradnl"/>
        </w:rPr>
        <w:t xml:space="preserve">cuenta </w:t>
      </w:r>
      <w:r w:rsidR="004443D1">
        <w:rPr>
          <w:lang w:val="es-ES_tradnl"/>
        </w:rPr>
        <w:t xml:space="preserve">de </w:t>
      </w:r>
      <w:r w:rsidR="00CD6CEC">
        <w:rPr>
          <w:lang w:val="es-ES_tradnl"/>
        </w:rPr>
        <w:t xml:space="preserve">que esta </w:t>
      </w:r>
      <w:r w:rsidR="00452F79" w:rsidRPr="00B924EB">
        <w:rPr>
          <w:lang w:val="es-ES_tradnl"/>
        </w:rPr>
        <w:t>actividad</w:t>
      </w:r>
      <w:r w:rsidR="00A13BEA" w:rsidRPr="00B924EB">
        <w:rPr>
          <w:lang w:val="es-ES_tradnl"/>
        </w:rPr>
        <w:t xml:space="preserve"> </w:t>
      </w:r>
      <w:r w:rsidR="00057E26">
        <w:rPr>
          <w:lang w:val="es-ES_tradnl"/>
        </w:rPr>
        <w:t xml:space="preserve">podría </w:t>
      </w:r>
      <w:r w:rsidR="00D056C9">
        <w:rPr>
          <w:lang w:val="es-ES_tradnl"/>
        </w:rPr>
        <w:t xml:space="preserve">también </w:t>
      </w:r>
      <w:r w:rsidR="00CB43E0">
        <w:rPr>
          <w:lang w:val="es-ES_tradnl"/>
        </w:rPr>
        <w:t xml:space="preserve">facilitar </w:t>
      </w:r>
      <w:r w:rsidR="00E74272" w:rsidRPr="00B924EB">
        <w:rPr>
          <w:lang w:val="es-ES_tradnl"/>
        </w:rPr>
        <w:t>la</w:t>
      </w:r>
      <w:r w:rsidR="00A13BEA" w:rsidRPr="00B924EB">
        <w:rPr>
          <w:lang w:val="es-ES_tradnl"/>
        </w:rPr>
        <w:t xml:space="preserve"> </w:t>
      </w:r>
      <w:r w:rsidR="00E74272" w:rsidRPr="00B924EB">
        <w:rPr>
          <w:lang w:val="es-ES_tradnl"/>
        </w:rPr>
        <w:t>introducción</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CB72CE" w:rsidRPr="00B924EB">
        <w:rPr>
          <w:lang w:val="es-ES_tradnl"/>
        </w:rPr>
        <w:t>alternativas</w:t>
      </w:r>
      <w:r w:rsidR="00A13BEA" w:rsidRPr="00B924EB">
        <w:rPr>
          <w:lang w:val="es-ES_tradnl"/>
        </w:rPr>
        <w:t xml:space="preserve"> </w:t>
      </w:r>
      <w:r w:rsidR="00CB72CE" w:rsidRPr="00B924EB">
        <w:rPr>
          <w:lang w:val="es-ES_tradnl"/>
        </w:rPr>
        <w:t>de</w:t>
      </w:r>
      <w:r w:rsidR="00A13BEA" w:rsidRPr="00B924EB">
        <w:rPr>
          <w:lang w:val="es-ES_tradnl"/>
        </w:rPr>
        <w:t xml:space="preserve"> </w:t>
      </w:r>
      <w:r w:rsidR="00CB72CE" w:rsidRPr="00B924EB">
        <w:rPr>
          <w:lang w:val="es-ES_tradnl"/>
        </w:rPr>
        <w:t>bajo</w:t>
      </w:r>
      <w:r w:rsidR="00A13BEA" w:rsidRPr="00B924EB">
        <w:rPr>
          <w:lang w:val="es-ES_tradnl"/>
        </w:rPr>
        <w:t xml:space="preserve"> </w:t>
      </w:r>
      <w:r w:rsidR="00CB72CE" w:rsidRPr="00B924EB">
        <w:rPr>
          <w:lang w:val="es-ES_tradnl"/>
        </w:rPr>
        <w:t>PCA</w:t>
      </w:r>
      <w:r w:rsidR="00A13BEA" w:rsidRPr="00B924EB">
        <w:rPr>
          <w:lang w:val="es-ES_tradnl"/>
        </w:rPr>
        <w:t xml:space="preserve"> </w:t>
      </w:r>
      <w:r w:rsidR="009374DA" w:rsidRPr="00B924EB">
        <w:rPr>
          <w:lang w:val="es-ES_tradnl"/>
        </w:rPr>
        <w:t>en</w:t>
      </w:r>
      <w:r w:rsidR="00A13BEA" w:rsidRPr="00B924EB">
        <w:rPr>
          <w:lang w:val="es-ES_tradnl"/>
        </w:rPr>
        <w:t xml:space="preserve"> </w:t>
      </w:r>
      <w:r w:rsidR="009374DA" w:rsidRPr="00B924EB">
        <w:rPr>
          <w:lang w:val="es-ES_tradnl"/>
        </w:rPr>
        <w:t>equipos</w:t>
      </w:r>
      <w:r w:rsidR="00CB43E0" w:rsidRPr="0083084B">
        <w:rPr>
          <w:lang w:val="es-419"/>
        </w:rPr>
        <w:t xml:space="preserve"> </w:t>
      </w:r>
      <w:r w:rsidR="00CB43E0" w:rsidRPr="00CB43E0">
        <w:rPr>
          <w:lang w:val="es-ES_tradnl"/>
        </w:rPr>
        <w:t>importado</w:t>
      </w:r>
      <w:r w:rsidR="00CB43E0">
        <w:rPr>
          <w:lang w:val="es-ES_tradnl"/>
        </w:rPr>
        <w:t>s</w:t>
      </w:r>
      <w:r w:rsidR="00732B6B" w:rsidRPr="00B924EB">
        <w:rPr>
          <w:lang w:val="es-ES_tradnl"/>
        </w:rPr>
        <w:t>,</w:t>
      </w:r>
      <w:r w:rsidR="00A13BEA" w:rsidRPr="00B924EB">
        <w:rPr>
          <w:lang w:val="es-ES_tradnl"/>
        </w:rPr>
        <w:t xml:space="preserve"> </w:t>
      </w:r>
      <w:r w:rsidR="009374DA" w:rsidRPr="00B924EB">
        <w:rPr>
          <w:lang w:val="es-ES_tradnl"/>
        </w:rPr>
        <w:t>la</w:t>
      </w:r>
      <w:r w:rsidR="00A13BEA" w:rsidRPr="00B924EB">
        <w:rPr>
          <w:lang w:val="es-ES_tradnl"/>
        </w:rPr>
        <w:t xml:space="preserve"> </w:t>
      </w:r>
      <w:r w:rsidR="009374DA" w:rsidRPr="00B924EB">
        <w:rPr>
          <w:lang w:val="es-ES_tradnl"/>
        </w:rPr>
        <w:t>Secretaría</w:t>
      </w:r>
      <w:r w:rsidR="00A13BEA" w:rsidRPr="00B924EB">
        <w:rPr>
          <w:lang w:val="es-ES_tradnl"/>
        </w:rPr>
        <w:t xml:space="preserve"> </w:t>
      </w:r>
      <w:r w:rsidR="00160969">
        <w:rPr>
          <w:lang w:val="es-ES_tradnl"/>
        </w:rPr>
        <w:t xml:space="preserve">propuso </w:t>
      </w:r>
      <w:r w:rsidR="00B45DAF" w:rsidRPr="00B924EB">
        <w:rPr>
          <w:lang w:val="es-ES_tradnl"/>
        </w:rPr>
        <w:t>implement</w:t>
      </w:r>
      <w:r w:rsidR="00EC01F1">
        <w:rPr>
          <w:lang w:val="es-ES_tradnl"/>
        </w:rPr>
        <w:t>ar</w:t>
      </w:r>
      <w:r w:rsidR="00DE4DD5">
        <w:rPr>
          <w:lang w:val="es-ES_tradnl"/>
        </w:rPr>
        <w:t>la</w:t>
      </w:r>
      <w:r w:rsidR="00A13BEA" w:rsidRPr="00B924EB">
        <w:rPr>
          <w:lang w:val="es-ES_tradnl"/>
        </w:rPr>
        <w:t xml:space="preserve"> </w:t>
      </w:r>
      <w:r w:rsidR="000060A9">
        <w:rPr>
          <w:lang w:val="es-ES_tradnl"/>
        </w:rPr>
        <w:t xml:space="preserve">como </w:t>
      </w:r>
      <w:r w:rsidR="00E74272" w:rsidRPr="00B924EB">
        <w:rPr>
          <w:lang w:val="es-ES_tradnl"/>
        </w:rPr>
        <w:t>parte</w:t>
      </w:r>
      <w:r w:rsidR="00A13BEA" w:rsidRPr="00B924EB">
        <w:rPr>
          <w:lang w:val="es-ES_tradnl"/>
        </w:rPr>
        <w:t xml:space="preserve"> </w:t>
      </w:r>
      <w:r w:rsidR="00755C5D" w:rsidRPr="00B924EB">
        <w:rPr>
          <w:lang w:val="es-ES_tradnl"/>
        </w:rPr>
        <w:t>de</w:t>
      </w:r>
      <w:r w:rsidR="00A21C3B">
        <w:rPr>
          <w:lang w:val="es-ES_tradnl"/>
        </w:rPr>
        <w:t xml:space="preserve">l programa </w:t>
      </w:r>
      <w:r w:rsidR="003C496D">
        <w:rPr>
          <w:lang w:val="es-ES_tradnl"/>
        </w:rPr>
        <w:t xml:space="preserve">para </w:t>
      </w:r>
      <w:r w:rsidR="00363607" w:rsidRPr="00B924EB">
        <w:rPr>
          <w:lang w:val="es-ES_tradnl"/>
        </w:rPr>
        <w:t>el</w:t>
      </w:r>
      <w:r w:rsidR="00A13BEA" w:rsidRPr="00B924EB">
        <w:rPr>
          <w:lang w:val="es-ES_tradnl"/>
        </w:rPr>
        <w:t xml:space="preserve"> </w:t>
      </w:r>
      <w:r w:rsidR="00363607" w:rsidRPr="00B924EB">
        <w:rPr>
          <w:lang w:val="es-ES_tradnl"/>
        </w:rPr>
        <w:t>sector</w:t>
      </w:r>
      <w:r w:rsidR="00A13BEA" w:rsidRPr="00B924EB">
        <w:rPr>
          <w:lang w:val="es-ES_tradnl"/>
        </w:rPr>
        <w:t xml:space="preserve"> </w:t>
      </w:r>
      <w:r w:rsidR="00755C5D" w:rsidRPr="00B924EB">
        <w:rPr>
          <w:lang w:val="es-ES_tradnl"/>
        </w:rPr>
        <w:t>servicio</w:t>
      </w:r>
      <w:r w:rsidR="00A13BEA" w:rsidRPr="00B924EB">
        <w:rPr>
          <w:lang w:val="es-ES_tradnl"/>
        </w:rPr>
        <w:t xml:space="preserve"> </w:t>
      </w:r>
      <w:r w:rsidR="00755C5D" w:rsidRPr="00B924EB">
        <w:rPr>
          <w:lang w:val="es-ES_tradnl"/>
        </w:rPr>
        <w:t>técnico</w:t>
      </w:r>
      <w:r w:rsidR="00A13BEA" w:rsidRPr="00B924EB">
        <w:rPr>
          <w:lang w:val="es-ES_tradnl"/>
        </w:rPr>
        <w:t xml:space="preserve"> </w:t>
      </w:r>
      <w:r w:rsidR="001A1006" w:rsidRPr="00B924EB">
        <w:rPr>
          <w:lang w:val="es-ES_tradnl"/>
        </w:rPr>
        <w:t>e</w:t>
      </w:r>
      <w:r w:rsidR="00A13BEA" w:rsidRPr="00B924EB">
        <w:rPr>
          <w:lang w:val="es-ES_tradnl"/>
        </w:rPr>
        <w:t xml:space="preserve"> </w:t>
      </w:r>
      <w:r w:rsidR="00FA759E">
        <w:rPr>
          <w:lang w:val="es-ES_tradnl"/>
        </w:rPr>
        <w:t>incluir a los importadores</w:t>
      </w:r>
      <w:r w:rsidR="00DB3D7B" w:rsidRPr="00B924EB">
        <w:rPr>
          <w:lang w:val="es-ES_tradnl"/>
        </w:rPr>
        <w:t>.</w:t>
      </w:r>
      <w:r w:rsidR="00A13BEA" w:rsidRPr="00B924EB">
        <w:rPr>
          <w:lang w:val="es-ES_tradnl"/>
        </w:rPr>
        <w:t xml:space="preserve"> </w:t>
      </w:r>
      <w:r w:rsidR="00DB3D7B" w:rsidRPr="00B924EB">
        <w:rPr>
          <w:lang w:val="es-ES_tradnl"/>
        </w:rPr>
        <w:t>La</w:t>
      </w:r>
      <w:r w:rsidR="00A13BEA" w:rsidRPr="00B924EB">
        <w:rPr>
          <w:lang w:val="es-ES_tradnl"/>
        </w:rPr>
        <w:t xml:space="preserve"> </w:t>
      </w:r>
      <w:r w:rsidR="00DB3D7B" w:rsidRPr="00B924EB">
        <w:rPr>
          <w:lang w:val="es-ES_tradnl"/>
        </w:rPr>
        <w:t>ONUDI</w:t>
      </w:r>
      <w:r w:rsidR="00A13BEA" w:rsidRPr="00B924EB">
        <w:rPr>
          <w:lang w:val="es-ES_tradnl"/>
        </w:rPr>
        <w:t xml:space="preserve"> </w:t>
      </w:r>
      <w:r w:rsidR="0046280E">
        <w:rPr>
          <w:lang w:val="es-ES_tradnl"/>
        </w:rPr>
        <w:t>informó a</w:t>
      </w:r>
      <w:r w:rsidR="00A13BEA" w:rsidRPr="00B924EB">
        <w:rPr>
          <w:lang w:val="es-ES_tradnl"/>
        </w:rPr>
        <w:t xml:space="preserve"> </w:t>
      </w:r>
      <w:r w:rsidR="009374DA" w:rsidRPr="00B924EB">
        <w:rPr>
          <w:lang w:val="es-ES_tradnl"/>
        </w:rPr>
        <w:t>la</w:t>
      </w:r>
      <w:r w:rsidR="00A13BEA" w:rsidRPr="00B924EB">
        <w:rPr>
          <w:lang w:val="es-ES_tradnl"/>
        </w:rPr>
        <w:t xml:space="preserve"> </w:t>
      </w:r>
      <w:r w:rsidR="009374DA" w:rsidRPr="00B924EB">
        <w:rPr>
          <w:lang w:val="es-ES_tradnl"/>
        </w:rPr>
        <w:t>Secretaría</w:t>
      </w:r>
      <w:r w:rsidR="00A13BEA" w:rsidRPr="00B924EB">
        <w:rPr>
          <w:lang w:val="es-ES_tradnl"/>
        </w:rPr>
        <w:t xml:space="preserve"> </w:t>
      </w:r>
      <w:r w:rsidR="00F13447">
        <w:rPr>
          <w:lang w:val="es-ES_tradnl"/>
        </w:rPr>
        <w:t xml:space="preserve">que </w:t>
      </w:r>
      <w:r w:rsidR="00620783">
        <w:rPr>
          <w:lang w:val="es-ES_tradnl"/>
        </w:rPr>
        <w:t xml:space="preserve">la </w:t>
      </w:r>
      <w:r w:rsidR="009374DA" w:rsidRPr="00B924EB">
        <w:rPr>
          <w:lang w:val="es-ES_tradnl"/>
        </w:rPr>
        <w:t>asistencia</w:t>
      </w:r>
      <w:r w:rsidR="00A13BEA" w:rsidRPr="00B924EB">
        <w:rPr>
          <w:lang w:val="es-ES_tradnl"/>
        </w:rPr>
        <w:t xml:space="preserve"> </w:t>
      </w:r>
      <w:r w:rsidR="009374DA" w:rsidRPr="00B924EB">
        <w:rPr>
          <w:lang w:val="es-ES_tradnl"/>
        </w:rPr>
        <w:t>técnica</w:t>
      </w:r>
      <w:r w:rsidR="00A13BEA" w:rsidRPr="00B924EB">
        <w:rPr>
          <w:lang w:val="es-ES_tradnl"/>
        </w:rPr>
        <w:t xml:space="preserve"> </w:t>
      </w:r>
      <w:r w:rsidR="00550D56">
        <w:rPr>
          <w:lang w:val="es-ES_tradnl"/>
        </w:rPr>
        <w:t>abarcaba</w:t>
      </w:r>
      <w:r w:rsidR="003F4DCC">
        <w:rPr>
          <w:lang w:val="es-ES_tradnl"/>
        </w:rPr>
        <w:t xml:space="preserve"> </w:t>
      </w:r>
      <w:r w:rsidR="00945790">
        <w:rPr>
          <w:lang w:val="es-ES_tradnl"/>
        </w:rPr>
        <w:t>también</w:t>
      </w:r>
      <w:r w:rsidR="00A13BEA" w:rsidRPr="00B924EB">
        <w:rPr>
          <w:lang w:val="es-ES_tradnl"/>
        </w:rPr>
        <w:t xml:space="preserve"> </w:t>
      </w:r>
      <w:r w:rsidR="00E10682">
        <w:rPr>
          <w:lang w:val="es-ES_tradnl"/>
        </w:rPr>
        <w:t xml:space="preserve">al </w:t>
      </w:r>
      <w:r w:rsidR="00E10682" w:rsidRPr="00E10682">
        <w:rPr>
          <w:lang w:val="es-ES_tradnl"/>
        </w:rPr>
        <w:t xml:space="preserve">sector </w:t>
      </w:r>
      <w:r w:rsidR="00E10682">
        <w:rPr>
          <w:lang w:val="es-ES_tradnl"/>
        </w:rPr>
        <w:t>de ensamblaje</w:t>
      </w:r>
      <w:r w:rsidR="00A13BEA" w:rsidRPr="00B924EB">
        <w:rPr>
          <w:lang w:val="es-ES_tradnl"/>
        </w:rPr>
        <w:t xml:space="preserve"> </w:t>
      </w:r>
      <w:r w:rsidR="00755C5D" w:rsidRPr="00B924EB">
        <w:rPr>
          <w:lang w:val="es-ES_tradnl"/>
        </w:rPr>
        <w:t>y</w:t>
      </w:r>
      <w:r w:rsidR="00A13BEA" w:rsidRPr="00B924EB">
        <w:rPr>
          <w:lang w:val="es-ES_tradnl"/>
        </w:rPr>
        <w:t xml:space="preserve"> </w:t>
      </w:r>
      <w:r w:rsidR="002956B1">
        <w:rPr>
          <w:lang w:val="es-ES_tradnl"/>
        </w:rPr>
        <w:t xml:space="preserve">que acordaba </w:t>
      </w:r>
      <w:r w:rsidR="000758C1">
        <w:rPr>
          <w:lang w:val="es-ES_tradnl"/>
        </w:rPr>
        <w:t>hacerla extensiva a</w:t>
      </w:r>
      <w:r w:rsidR="00A13BEA" w:rsidRPr="00B924EB">
        <w:rPr>
          <w:lang w:val="es-ES_tradnl"/>
        </w:rPr>
        <w:t xml:space="preserve"> </w:t>
      </w:r>
      <w:r w:rsidR="00D01DC2" w:rsidRPr="00B924EB">
        <w:rPr>
          <w:lang w:val="es-ES_tradnl"/>
        </w:rPr>
        <w:t>otros</w:t>
      </w:r>
      <w:r w:rsidR="00A13BEA" w:rsidRPr="00B924EB">
        <w:rPr>
          <w:lang w:val="es-ES_tradnl"/>
        </w:rPr>
        <w:t xml:space="preserve"> </w:t>
      </w:r>
      <w:r w:rsidR="00443CCE">
        <w:rPr>
          <w:lang w:val="es-ES_tradnl"/>
        </w:rPr>
        <w:t>actores</w:t>
      </w:r>
      <w:r w:rsidR="00461BE9" w:rsidRPr="00B924EB">
        <w:rPr>
          <w:lang w:val="es-ES_tradnl"/>
        </w:rPr>
        <w:t>,</w:t>
      </w:r>
      <w:r w:rsidR="00A13BEA" w:rsidRPr="00B924EB">
        <w:rPr>
          <w:lang w:val="es-ES_tradnl"/>
        </w:rPr>
        <w:t xml:space="preserve"> </w:t>
      </w:r>
      <w:r w:rsidR="001F4CE0">
        <w:rPr>
          <w:lang w:val="es-ES_tradnl"/>
        </w:rPr>
        <w:t>entre ellos</w:t>
      </w:r>
      <w:r w:rsidR="00EF522D">
        <w:rPr>
          <w:lang w:val="es-ES_tradnl"/>
        </w:rPr>
        <w:t xml:space="preserve"> </w:t>
      </w:r>
      <w:r w:rsidR="00391DBF">
        <w:rPr>
          <w:lang w:val="es-ES_tradnl"/>
        </w:rPr>
        <w:t xml:space="preserve">los </w:t>
      </w:r>
      <w:r w:rsidR="00EF522D">
        <w:rPr>
          <w:lang w:val="es-ES_tradnl"/>
        </w:rPr>
        <w:t>importadores de equipos y componentes</w:t>
      </w:r>
      <w:r w:rsidR="00732B6B" w:rsidRPr="00B924EB">
        <w:rPr>
          <w:lang w:val="es-ES_tradnl"/>
        </w:rPr>
        <w:t>.</w:t>
      </w:r>
    </w:p>
    <w:p w14:paraId="22D0EF08" w14:textId="2B1B2C54" w:rsidR="008E2190" w:rsidRPr="00B924EB" w:rsidRDefault="003208A7" w:rsidP="00E74EB1">
      <w:pPr>
        <w:pStyle w:val="Heading1"/>
        <w:rPr>
          <w:lang w:val="es-ES_tradnl"/>
        </w:rPr>
      </w:pPr>
      <w:r w:rsidRPr="00B924EB">
        <w:rPr>
          <w:lang w:val="es-ES_tradnl"/>
        </w:rPr>
        <w:t>En</w:t>
      </w:r>
      <w:r w:rsidR="00A13BEA" w:rsidRPr="00B924EB">
        <w:rPr>
          <w:lang w:val="es-ES_tradnl"/>
        </w:rPr>
        <w:t xml:space="preserve"> </w:t>
      </w:r>
      <w:r w:rsidRPr="00B924EB">
        <w:rPr>
          <w:lang w:val="es-ES_tradnl"/>
        </w:rPr>
        <w:t>cuanto</w:t>
      </w:r>
      <w:r w:rsidR="00A13BEA" w:rsidRPr="00B924EB">
        <w:rPr>
          <w:lang w:val="es-ES_tradnl"/>
        </w:rPr>
        <w:t xml:space="preserve"> </w:t>
      </w:r>
      <w:r w:rsidR="00004DE7">
        <w:rPr>
          <w:lang w:val="es-ES_tradnl"/>
        </w:rPr>
        <w:t>al proyecto de recuperación y regeneración</w:t>
      </w:r>
      <w:r w:rsidR="00B42EDF" w:rsidRPr="00B924EB">
        <w:rPr>
          <w:lang w:val="es-ES_tradnl"/>
        </w:rPr>
        <w:t>,</w:t>
      </w:r>
      <w:r w:rsidR="00A13BEA" w:rsidRPr="00B924EB">
        <w:rPr>
          <w:lang w:val="es-ES_tradnl"/>
        </w:rPr>
        <w:t xml:space="preserve"> </w:t>
      </w:r>
      <w:r w:rsidR="00755C5D" w:rsidRPr="00B924EB">
        <w:rPr>
          <w:lang w:val="es-ES_tradnl"/>
        </w:rPr>
        <w:t>la</w:t>
      </w:r>
      <w:r w:rsidR="00A13BEA" w:rsidRPr="00B924EB">
        <w:rPr>
          <w:lang w:val="es-ES_tradnl"/>
        </w:rPr>
        <w:t xml:space="preserve"> </w:t>
      </w:r>
      <w:r w:rsidR="00755C5D" w:rsidRPr="00B924EB">
        <w:rPr>
          <w:lang w:val="es-ES_tradnl"/>
        </w:rPr>
        <w:t>Secretaría</w:t>
      </w:r>
      <w:r w:rsidR="00A13BEA" w:rsidRPr="00B924EB">
        <w:rPr>
          <w:lang w:val="es-ES_tradnl"/>
        </w:rPr>
        <w:t xml:space="preserve"> </w:t>
      </w:r>
      <w:r w:rsidR="00755C5D" w:rsidRPr="00B924EB">
        <w:rPr>
          <w:lang w:val="es-ES_tradnl"/>
        </w:rPr>
        <w:t>tomó</w:t>
      </w:r>
      <w:r w:rsidR="00A13BEA" w:rsidRPr="00B924EB">
        <w:rPr>
          <w:lang w:val="es-ES_tradnl"/>
        </w:rPr>
        <w:t xml:space="preserve"> </w:t>
      </w:r>
      <w:r w:rsidR="00755C5D" w:rsidRPr="00B924EB">
        <w:rPr>
          <w:lang w:val="es-ES_tradnl"/>
        </w:rPr>
        <w:t>nota</w:t>
      </w:r>
      <w:r w:rsidR="00A13BEA" w:rsidRPr="00B924EB">
        <w:rPr>
          <w:lang w:val="es-ES_tradnl"/>
        </w:rPr>
        <w:t xml:space="preserve"> </w:t>
      </w:r>
      <w:r w:rsidR="00E9310E">
        <w:rPr>
          <w:lang w:val="es-ES_tradnl"/>
        </w:rPr>
        <w:t xml:space="preserve">de que </w:t>
      </w:r>
      <w:r w:rsidR="00E9310E" w:rsidRPr="00E9310E">
        <w:rPr>
          <w:lang w:val="es-ES_tradnl"/>
        </w:rPr>
        <w:t xml:space="preserve">en la etapa I </w:t>
      </w:r>
      <w:r w:rsidR="00E9310E">
        <w:rPr>
          <w:lang w:val="es-ES_tradnl"/>
        </w:rPr>
        <w:t xml:space="preserve">se </w:t>
      </w:r>
      <w:r w:rsidR="00FE2363">
        <w:rPr>
          <w:lang w:val="es-ES_tradnl"/>
        </w:rPr>
        <w:t xml:space="preserve">crearon </w:t>
      </w:r>
      <w:r w:rsidR="00755C5D" w:rsidRPr="00B924EB">
        <w:rPr>
          <w:lang w:val="es-ES_tradnl"/>
        </w:rPr>
        <w:t>tres</w:t>
      </w:r>
      <w:r w:rsidR="00A13BEA" w:rsidRPr="00B924EB">
        <w:rPr>
          <w:lang w:val="es-ES_tradnl"/>
        </w:rPr>
        <w:t xml:space="preserve"> </w:t>
      </w:r>
      <w:r w:rsidR="00B84E55">
        <w:rPr>
          <w:lang w:val="es-ES_tradnl"/>
        </w:rPr>
        <w:t>centros</w:t>
      </w:r>
      <w:r w:rsidR="00A13BEA" w:rsidRPr="00B924EB">
        <w:rPr>
          <w:lang w:val="es-ES_tradnl"/>
        </w:rPr>
        <w:t xml:space="preserve"> </w:t>
      </w:r>
      <w:r w:rsidR="00077982">
        <w:rPr>
          <w:lang w:val="es-ES_tradnl"/>
        </w:rPr>
        <w:t xml:space="preserve">en </w:t>
      </w:r>
      <w:r w:rsidR="00E9310E">
        <w:rPr>
          <w:lang w:val="es-ES_tradnl"/>
        </w:rPr>
        <w:t xml:space="preserve">las ciudades de </w:t>
      </w:r>
      <w:r w:rsidR="00F1408A">
        <w:rPr>
          <w:lang w:val="es-ES_tradnl"/>
        </w:rPr>
        <w:t>Bagdad</w:t>
      </w:r>
      <w:r w:rsidR="00CE27C6" w:rsidRPr="00B924EB">
        <w:rPr>
          <w:lang w:val="es-ES_tradnl"/>
        </w:rPr>
        <w:t>,</w:t>
      </w:r>
      <w:r w:rsidR="00A13BEA" w:rsidRPr="00B924EB">
        <w:rPr>
          <w:lang w:val="es-ES_tradnl"/>
        </w:rPr>
        <w:t xml:space="preserve"> </w:t>
      </w:r>
      <w:r w:rsidR="00FC0CBA">
        <w:rPr>
          <w:lang w:val="es-ES_tradnl"/>
        </w:rPr>
        <w:t>Basora</w:t>
      </w:r>
      <w:r w:rsidR="00A13BEA" w:rsidRPr="00B924EB">
        <w:rPr>
          <w:lang w:val="es-ES_tradnl"/>
        </w:rPr>
        <w:t xml:space="preserve"> </w:t>
      </w:r>
      <w:r w:rsidR="00755C5D" w:rsidRPr="00B924EB">
        <w:rPr>
          <w:lang w:val="es-ES_tradnl"/>
        </w:rPr>
        <w:t>y</w:t>
      </w:r>
      <w:r w:rsidR="00A13BEA" w:rsidRPr="00B924EB">
        <w:rPr>
          <w:lang w:val="es-ES_tradnl"/>
        </w:rPr>
        <w:t xml:space="preserve"> </w:t>
      </w:r>
      <w:proofErr w:type="spellStart"/>
      <w:r w:rsidR="00CE27C6" w:rsidRPr="00B924EB">
        <w:rPr>
          <w:lang w:val="es-ES_tradnl"/>
        </w:rPr>
        <w:t>Erbil</w:t>
      </w:r>
      <w:proofErr w:type="spellEnd"/>
      <w:r w:rsidR="00CE27C6" w:rsidRPr="00B924EB">
        <w:rPr>
          <w:lang w:val="es-ES_tradnl"/>
        </w:rPr>
        <w:t>.</w:t>
      </w:r>
      <w:r w:rsidR="00A13BEA" w:rsidRPr="00B924EB">
        <w:rPr>
          <w:lang w:val="es-ES_tradnl"/>
        </w:rPr>
        <w:t xml:space="preserve"> </w:t>
      </w:r>
      <w:r w:rsidR="00A34CEA">
        <w:rPr>
          <w:lang w:val="es-ES_tradnl"/>
        </w:rPr>
        <w:t xml:space="preserve">Aunque </w:t>
      </w:r>
      <w:r w:rsidR="00CE27C6" w:rsidRPr="00B924EB">
        <w:rPr>
          <w:lang w:val="es-ES_tradnl"/>
        </w:rPr>
        <w:t>Iraq</w:t>
      </w:r>
      <w:r w:rsidR="00A13BEA" w:rsidRPr="00B924EB">
        <w:rPr>
          <w:lang w:val="es-ES_tradnl"/>
        </w:rPr>
        <w:t xml:space="preserve"> </w:t>
      </w:r>
      <w:r w:rsidR="00DE6092">
        <w:rPr>
          <w:lang w:val="es-ES_tradnl"/>
        </w:rPr>
        <w:t xml:space="preserve">no cuenta aún con </w:t>
      </w:r>
      <w:r w:rsidR="00B30039">
        <w:rPr>
          <w:lang w:val="es-ES_tradnl"/>
        </w:rPr>
        <w:t xml:space="preserve">medidas de control </w:t>
      </w:r>
      <w:r w:rsidR="00A8143E">
        <w:rPr>
          <w:lang w:val="es-ES_tradnl"/>
        </w:rPr>
        <w:t xml:space="preserve">de la descarga </w:t>
      </w:r>
      <w:r w:rsidR="00250FAB" w:rsidRPr="00250FAB">
        <w:rPr>
          <w:lang w:val="es-ES_tradnl"/>
        </w:rPr>
        <w:t>deliberada</w:t>
      </w:r>
      <w:r w:rsidR="002657AE">
        <w:rPr>
          <w:lang w:val="es-ES_tradnl"/>
        </w:rPr>
        <w:t xml:space="preserve"> </w:t>
      </w:r>
      <w:r w:rsidR="00871322" w:rsidRPr="00871322">
        <w:rPr>
          <w:lang w:val="es-ES_tradnl"/>
        </w:rPr>
        <w:t xml:space="preserve">de HCFC </w:t>
      </w:r>
      <w:r w:rsidR="00AE2FCC">
        <w:rPr>
          <w:lang w:val="es-ES_tradnl"/>
        </w:rPr>
        <w:t xml:space="preserve">a la atmósfera </w:t>
      </w:r>
      <w:r w:rsidR="00E26F0F" w:rsidRPr="00B924EB">
        <w:rPr>
          <w:lang w:val="es-ES_tradnl"/>
        </w:rPr>
        <w:t>durante</w:t>
      </w:r>
      <w:r w:rsidR="00A13BEA" w:rsidRPr="00B924EB">
        <w:rPr>
          <w:lang w:val="es-ES_tradnl"/>
        </w:rPr>
        <w:t xml:space="preserve"> </w:t>
      </w:r>
      <w:r w:rsidR="00141ADB">
        <w:rPr>
          <w:lang w:val="es-ES_tradnl"/>
        </w:rPr>
        <w:t>la instalación</w:t>
      </w:r>
      <w:r w:rsidR="00CE27C6" w:rsidRPr="00B924EB">
        <w:rPr>
          <w:lang w:val="es-ES_tradnl"/>
        </w:rPr>
        <w:t>,</w:t>
      </w:r>
      <w:r w:rsidR="00A13BEA" w:rsidRPr="00B924EB">
        <w:rPr>
          <w:lang w:val="es-ES_tradnl"/>
        </w:rPr>
        <w:t xml:space="preserve"> </w:t>
      </w:r>
      <w:r w:rsidR="009374DA" w:rsidRPr="00B924EB">
        <w:rPr>
          <w:lang w:val="es-ES_tradnl"/>
        </w:rPr>
        <w:t>operación</w:t>
      </w:r>
      <w:r w:rsidR="00CE27C6" w:rsidRPr="00B924EB">
        <w:rPr>
          <w:lang w:val="es-ES_tradnl"/>
        </w:rPr>
        <w:t>,</w:t>
      </w:r>
      <w:r w:rsidR="00A13BEA" w:rsidRPr="00B924EB">
        <w:rPr>
          <w:lang w:val="es-ES_tradnl"/>
        </w:rPr>
        <w:t xml:space="preserve"> </w:t>
      </w:r>
      <w:r w:rsidR="00755C5D" w:rsidRPr="00B924EB">
        <w:rPr>
          <w:lang w:val="es-ES_tradnl"/>
        </w:rPr>
        <w:t>servicio</w:t>
      </w:r>
      <w:r w:rsidR="00A13BEA" w:rsidRPr="00B924EB">
        <w:rPr>
          <w:lang w:val="es-ES_tradnl"/>
        </w:rPr>
        <w:t xml:space="preserve"> </w:t>
      </w:r>
      <w:r w:rsidR="00755C5D" w:rsidRPr="00B924EB">
        <w:rPr>
          <w:lang w:val="es-ES_tradnl"/>
        </w:rPr>
        <w:t>técnico</w:t>
      </w:r>
      <w:r w:rsidR="00A13BEA" w:rsidRPr="00B924EB">
        <w:rPr>
          <w:lang w:val="es-ES_tradnl"/>
        </w:rPr>
        <w:t xml:space="preserve"> </w:t>
      </w:r>
      <w:r w:rsidR="00755C5D" w:rsidRPr="00B924EB">
        <w:rPr>
          <w:lang w:val="es-ES_tradnl"/>
        </w:rPr>
        <w:t>y</w:t>
      </w:r>
      <w:r w:rsidR="00A13BEA" w:rsidRPr="00B924EB">
        <w:rPr>
          <w:lang w:val="es-ES_tradnl"/>
        </w:rPr>
        <w:t xml:space="preserve"> </w:t>
      </w:r>
      <w:r w:rsidR="00471F9F">
        <w:rPr>
          <w:lang w:val="es-ES_tradnl"/>
        </w:rPr>
        <w:t>desguace</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E26F0F" w:rsidRPr="00B924EB">
        <w:rPr>
          <w:lang w:val="es-ES_tradnl"/>
        </w:rPr>
        <w:t>equipos</w:t>
      </w:r>
      <w:r w:rsidR="00CE27C6" w:rsidRPr="00B924EB">
        <w:rPr>
          <w:lang w:val="es-ES_tradnl"/>
        </w:rPr>
        <w:t>,</w:t>
      </w:r>
      <w:r w:rsidR="00A13BEA" w:rsidRPr="00B924EB">
        <w:rPr>
          <w:lang w:val="es-ES_tradnl"/>
        </w:rPr>
        <w:t xml:space="preserve"> </w:t>
      </w:r>
      <w:r w:rsidRPr="00B924EB">
        <w:rPr>
          <w:lang w:val="es-ES_tradnl"/>
        </w:rPr>
        <w:t>la</w:t>
      </w:r>
      <w:r w:rsidR="00A13BEA" w:rsidRPr="00B924EB">
        <w:rPr>
          <w:lang w:val="es-ES_tradnl"/>
        </w:rPr>
        <w:t xml:space="preserve"> </w:t>
      </w:r>
      <w:r w:rsidRPr="00B924EB">
        <w:rPr>
          <w:lang w:val="es-ES_tradnl"/>
        </w:rPr>
        <w:t>etapa</w:t>
      </w:r>
      <w:r w:rsidR="00A13BEA" w:rsidRPr="00B924EB">
        <w:rPr>
          <w:lang w:val="es-ES_tradnl"/>
        </w:rPr>
        <w:t xml:space="preserve"> </w:t>
      </w:r>
      <w:r w:rsidRPr="00B924EB">
        <w:rPr>
          <w:lang w:val="es-ES_tradnl"/>
        </w:rPr>
        <w:t>I</w:t>
      </w:r>
      <w:r w:rsidR="00CE27C6"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A13BEA" w:rsidRPr="00B924EB">
        <w:rPr>
          <w:lang w:val="es-ES_tradnl"/>
        </w:rPr>
        <w:t xml:space="preserve"> </w:t>
      </w:r>
      <w:r w:rsidR="008337F5">
        <w:rPr>
          <w:lang w:val="es-ES_tradnl"/>
        </w:rPr>
        <w:t xml:space="preserve">contempla </w:t>
      </w:r>
      <w:r w:rsidR="0062135E">
        <w:rPr>
          <w:lang w:val="es-ES_tradnl"/>
        </w:rPr>
        <w:t>el</w:t>
      </w:r>
      <w:r w:rsidR="00A13BEA" w:rsidRPr="00B924EB">
        <w:rPr>
          <w:lang w:val="es-ES_tradnl"/>
        </w:rPr>
        <w:t xml:space="preserve"> </w:t>
      </w:r>
      <w:r w:rsidR="005E1320" w:rsidRPr="00B924EB">
        <w:rPr>
          <w:lang w:val="es-ES_tradnl"/>
        </w:rPr>
        <w:t>compromiso</w:t>
      </w:r>
      <w:r w:rsidR="00A13BEA" w:rsidRPr="00B924EB">
        <w:rPr>
          <w:lang w:val="es-ES_tradnl"/>
        </w:rPr>
        <w:t xml:space="preserve"> </w:t>
      </w:r>
      <w:r w:rsidR="005E1320" w:rsidRPr="00B924EB">
        <w:rPr>
          <w:lang w:val="es-ES_tradnl"/>
        </w:rPr>
        <w:t>del</w:t>
      </w:r>
      <w:r w:rsidR="00A13BEA" w:rsidRPr="00B924EB">
        <w:rPr>
          <w:lang w:val="es-ES_tradnl"/>
        </w:rPr>
        <w:t xml:space="preserve"> </w:t>
      </w:r>
      <w:r w:rsidR="00C86987">
        <w:rPr>
          <w:lang w:val="es-ES_tradnl"/>
        </w:rPr>
        <w:t>Gobierno</w:t>
      </w:r>
      <w:r w:rsidR="00A13BEA" w:rsidRPr="00B924EB">
        <w:rPr>
          <w:lang w:val="es-ES_tradnl"/>
        </w:rPr>
        <w:t xml:space="preserve"> </w:t>
      </w:r>
      <w:r w:rsidR="000A18D9">
        <w:rPr>
          <w:lang w:val="es-ES_tradnl"/>
        </w:rPr>
        <w:t xml:space="preserve">en cuanto a establecer a más tardar el </w:t>
      </w:r>
      <w:r w:rsidR="00CE27C6" w:rsidRPr="00B924EB">
        <w:rPr>
          <w:lang w:val="es-ES_tradnl"/>
        </w:rPr>
        <w:t>31</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755C5D" w:rsidRPr="00B924EB">
        <w:rPr>
          <w:lang w:val="es-ES_tradnl"/>
        </w:rPr>
        <w:t>diciembre</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CE27C6" w:rsidRPr="00B924EB">
        <w:rPr>
          <w:lang w:val="es-ES_tradnl"/>
        </w:rPr>
        <w:t>2022</w:t>
      </w:r>
      <w:r w:rsidR="00A13BEA" w:rsidRPr="00B924EB">
        <w:rPr>
          <w:lang w:val="es-ES_tradnl"/>
        </w:rPr>
        <w:t xml:space="preserve"> </w:t>
      </w:r>
      <w:r w:rsidR="00786645">
        <w:rPr>
          <w:lang w:val="es-ES_tradnl"/>
        </w:rPr>
        <w:t xml:space="preserve">la </w:t>
      </w:r>
      <w:r w:rsidR="00990116">
        <w:rPr>
          <w:lang w:val="es-ES_tradnl"/>
        </w:rPr>
        <w:t xml:space="preserve">recuperación y reciclaje </w:t>
      </w:r>
      <w:r w:rsidR="00755C5D" w:rsidRPr="00B924EB">
        <w:rPr>
          <w:lang w:val="es-ES_tradnl"/>
        </w:rPr>
        <w:t>de</w:t>
      </w:r>
      <w:r w:rsidR="00A13BEA" w:rsidRPr="00B924EB">
        <w:rPr>
          <w:lang w:val="es-ES_tradnl"/>
        </w:rPr>
        <w:t xml:space="preserve"> </w:t>
      </w:r>
      <w:r w:rsidR="00755C5D" w:rsidRPr="00B924EB">
        <w:rPr>
          <w:lang w:val="es-ES_tradnl"/>
        </w:rPr>
        <w:t>refrigerantes</w:t>
      </w:r>
      <w:r w:rsidR="00A13BEA" w:rsidRPr="00B924EB">
        <w:rPr>
          <w:lang w:val="es-ES_tradnl"/>
        </w:rPr>
        <w:t xml:space="preserve"> </w:t>
      </w:r>
      <w:r w:rsidR="000E2936">
        <w:rPr>
          <w:lang w:val="es-ES_tradnl"/>
        </w:rPr>
        <w:t xml:space="preserve">con carácter obligatorio </w:t>
      </w:r>
      <w:r w:rsidR="00755C5D" w:rsidRPr="00B924EB">
        <w:rPr>
          <w:lang w:val="es-ES_tradnl"/>
        </w:rPr>
        <w:t>y</w:t>
      </w:r>
      <w:r w:rsidR="00A13BEA" w:rsidRPr="00B924EB">
        <w:rPr>
          <w:lang w:val="es-ES_tradnl"/>
        </w:rPr>
        <w:t xml:space="preserve"> </w:t>
      </w:r>
      <w:r w:rsidR="001A1006" w:rsidRPr="00B924EB">
        <w:rPr>
          <w:lang w:val="es-ES_tradnl"/>
        </w:rPr>
        <w:t>prohibir</w:t>
      </w:r>
      <w:r w:rsidR="00A13BEA" w:rsidRPr="00B924EB">
        <w:rPr>
          <w:lang w:val="es-ES_tradnl"/>
        </w:rPr>
        <w:t xml:space="preserve"> </w:t>
      </w:r>
      <w:r w:rsidR="000C3CD7">
        <w:rPr>
          <w:lang w:val="es-ES_tradnl"/>
        </w:rPr>
        <w:t xml:space="preserve">su </w:t>
      </w:r>
      <w:r w:rsidR="00D055EE">
        <w:rPr>
          <w:lang w:val="es-ES_tradnl"/>
        </w:rPr>
        <w:t xml:space="preserve">descarga </w:t>
      </w:r>
      <w:r w:rsidR="005E1320" w:rsidRPr="00B924EB">
        <w:rPr>
          <w:lang w:val="es-ES_tradnl"/>
        </w:rPr>
        <w:t>a</w:t>
      </w:r>
      <w:r w:rsidR="00A13BEA" w:rsidRPr="00B924EB">
        <w:rPr>
          <w:lang w:val="es-ES_tradnl"/>
        </w:rPr>
        <w:t xml:space="preserve"> </w:t>
      </w:r>
      <w:r w:rsidR="005E1320" w:rsidRPr="00B924EB">
        <w:rPr>
          <w:lang w:val="es-ES_tradnl"/>
        </w:rPr>
        <w:t>la</w:t>
      </w:r>
      <w:r w:rsidR="00A13BEA" w:rsidRPr="00B924EB">
        <w:rPr>
          <w:lang w:val="es-ES_tradnl"/>
        </w:rPr>
        <w:t xml:space="preserve"> </w:t>
      </w:r>
      <w:r w:rsidR="005E1320" w:rsidRPr="00B924EB">
        <w:rPr>
          <w:lang w:val="es-ES_tradnl"/>
        </w:rPr>
        <w:t>atmósfera</w:t>
      </w:r>
      <w:r w:rsidR="00A13BEA" w:rsidRPr="00B924EB">
        <w:rPr>
          <w:lang w:val="es-ES_tradnl"/>
        </w:rPr>
        <w:t xml:space="preserve"> </w:t>
      </w:r>
      <w:r w:rsidR="00E26F0F" w:rsidRPr="00B924EB">
        <w:rPr>
          <w:lang w:val="es-ES_tradnl"/>
        </w:rPr>
        <w:t>durante</w:t>
      </w:r>
      <w:r w:rsidR="00A13BEA" w:rsidRPr="00B924EB">
        <w:rPr>
          <w:lang w:val="es-ES_tradnl"/>
        </w:rPr>
        <w:t xml:space="preserve"> </w:t>
      </w:r>
      <w:r w:rsidR="006928E9">
        <w:rPr>
          <w:lang w:val="es-ES_tradnl"/>
        </w:rPr>
        <w:t xml:space="preserve">el </w:t>
      </w:r>
      <w:r w:rsidR="00755C5D" w:rsidRPr="00B924EB">
        <w:rPr>
          <w:lang w:val="es-ES_tradnl"/>
        </w:rPr>
        <w:t>servicio</w:t>
      </w:r>
      <w:r w:rsidR="00A13BEA" w:rsidRPr="00B924EB">
        <w:rPr>
          <w:lang w:val="es-ES_tradnl"/>
        </w:rPr>
        <w:t xml:space="preserve"> </w:t>
      </w:r>
      <w:r w:rsidR="00755C5D" w:rsidRPr="00B924EB">
        <w:rPr>
          <w:lang w:val="es-ES_tradnl"/>
        </w:rPr>
        <w:t>técnico</w:t>
      </w:r>
      <w:r w:rsidR="00DB3D7B" w:rsidRPr="00B924EB">
        <w:rPr>
          <w:lang w:val="es-ES_tradnl"/>
        </w:rPr>
        <w:t>.</w:t>
      </w:r>
      <w:r w:rsidR="00A13BEA" w:rsidRPr="00B924EB">
        <w:rPr>
          <w:lang w:val="es-ES_tradnl"/>
        </w:rPr>
        <w:t xml:space="preserve"> </w:t>
      </w:r>
      <w:r w:rsidR="00DB3D7B" w:rsidRPr="00B924EB">
        <w:rPr>
          <w:lang w:val="es-ES_tradnl"/>
        </w:rPr>
        <w:t>La</w:t>
      </w:r>
      <w:r w:rsidR="00A13BEA" w:rsidRPr="00B924EB">
        <w:rPr>
          <w:lang w:val="es-ES_tradnl"/>
        </w:rPr>
        <w:t xml:space="preserve"> </w:t>
      </w:r>
      <w:r w:rsidR="00DB3D7B" w:rsidRPr="00B924EB">
        <w:rPr>
          <w:lang w:val="es-ES_tradnl"/>
        </w:rPr>
        <w:t>ONUDI</w:t>
      </w:r>
      <w:r w:rsidR="00A13BEA" w:rsidRPr="00B924EB">
        <w:rPr>
          <w:lang w:val="es-ES_tradnl"/>
        </w:rPr>
        <w:t xml:space="preserve"> </w:t>
      </w:r>
      <w:r w:rsidR="008A271F">
        <w:rPr>
          <w:lang w:val="es-ES_tradnl"/>
        </w:rPr>
        <w:t>confirmó que</w:t>
      </w:r>
      <w:r w:rsidR="00A13BEA" w:rsidRPr="00B924EB">
        <w:rPr>
          <w:lang w:val="es-ES_tradnl"/>
        </w:rPr>
        <w:t xml:space="preserve"> </w:t>
      </w:r>
      <w:r w:rsidR="005E1320" w:rsidRPr="00B924EB">
        <w:rPr>
          <w:lang w:val="es-ES_tradnl"/>
        </w:rPr>
        <w:t>la</w:t>
      </w:r>
      <w:r w:rsidR="00A13BEA" w:rsidRPr="00B924EB">
        <w:rPr>
          <w:lang w:val="es-ES_tradnl"/>
        </w:rPr>
        <w:t xml:space="preserve"> </w:t>
      </w:r>
      <w:r w:rsidR="005E1320" w:rsidRPr="00B924EB">
        <w:rPr>
          <w:lang w:val="es-ES_tradnl"/>
        </w:rPr>
        <w:t>infraestructura</w:t>
      </w:r>
      <w:r w:rsidR="00A13BEA" w:rsidRPr="00B924EB">
        <w:rPr>
          <w:lang w:val="es-ES_tradnl"/>
        </w:rPr>
        <w:t xml:space="preserve"> </w:t>
      </w:r>
      <w:r w:rsidR="00174CB2">
        <w:rPr>
          <w:lang w:val="es-ES_tradnl"/>
        </w:rPr>
        <w:t>de recuperación y regeneración</w:t>
      </w:r>
      <w:r w:rsidR="00A13BEA" w:rsidRPr="00B924EB">
        <w:rPr>
          <w:lang w:val="es-ES_tradnl"/>
        </w:rPr>
        <w:t xml:space="preserve"> </w:t>
      </w:r>
      <w:r w:rsidR="0088582A">
        <w:rPr>
          <w:lang w:val="es-ES_tradnl"/>
        </w:rPr>
        <w:t xml:space="preserve">permite </w:t>
      </w:r>
      <w:r w:rsidR="00C02258">
        <w:rPr>
          <w:lang w:val="es-ES_tradnl"/>
        </w:rPr>
        <w:t>manejar</w:t>
      </w:r>
      <w:r w:rsidR="00A13BEA" w:rsidRPr="00B924EB">
        <w:rPr>
          <w:lang w:val="es-ES_tradnl"/>
        </w:rPr>
        <w:t xml:space="preserve"> </w:t>
      </w:r>
      <w:r w:rsidR="000503A0">
        <w:rPr>
          <w:lang w:val="es-ES_tradnl"/>
        </w:rPr>
        <w:t xml:space="preserve">la mayoría de los </w:t>
      </w:r>
      <w:r w:rsidR="000503A0" w:rsidRPr="000503A0">
        <w:rPr>
          <w:lang w:val="es-ES_tradnl"/>
        </w:rPr>
        <w:t xml:space="preserve">HFC </w:t>
      </w:r>
      <w:r w:rsidR="00A13BEA" w:rsidRPr="00B924EB">
        <w:rPr>
          <w:lang w:val="es-ES_tradnl"/>
        </w:rPr>
        <w:t>no inflamable</w:t>
      </w:r>
      <w:r w:rsidR="000503A0">
        <w:rPr>
          <w:lang w:val="es-ES_tradnl"/>
        </w:rPr>
        <w:t>s</w:t>
      </w:r>
      <w:r w:rsidR="00A13BEA" w:rsidRPr="00B924EB">
        <w:rPr>
          <w:lang w:val="es-ES_tradnl"/>
        </w:rPr>
        <w:t xml:space="preserve"> </w:t>
      </w:r>
      <w:r w:rsidR="00E74272" w:rsidRPr="00B924EB">
        <w:rPr>
          <w:lang w:val="es-ES_tradnl"/>
        </w:rPr>
        <w:t>y</w:t>
      </w:r>
      <w:r w:rsidR="00A13BEA" w:rsidRPr="00B924EB">
        <w:rPr>
          <w:lang w:val="es-ES_tradnl"/>
        </w:rPr>
        <w:t xml:space="preserve"> </w:t>
      </w:r>
      <w:r w:rsidR="00BE6509">
        <w:rPr>
          <w:lang w:val="es-ES_tradnl"/>
        </w:rPr>
        <w:t xml:space="preserve">que </w:t>
      </w:r>
      <w:r w:rsidR="0061268C">
        <w:rPr>
          <w:lang w:val="es-ES_tradnl"/>
        </w:rPr>
        <w:t xml:space="preserve">se proyecta </w:t>
      </w:r>
      <w:r w:rsidR="00164BB6">
        <w:rPr>
          <w:lang w:val="es-ES_tradnl"/>
        </w:rPr>
        <w:t>agregar</w:t>
      </w:r>
      <w:r w:rsidR="00356756">
        <w:rPr>
          <w:lang w:val="es-ES_tradnl"/>
        </w:rPr>
        <w:t xml:space="preserve"> </w:t>
      </w:r>
      <w:r w:rsidR="0013633F">
        <w:rPr>
          <w:lang w:val="es-ES_tradnl"/>
        </w:rPr>
        <w:t xml:space="preserve">los </w:t>
      </w:r>
      <w:r w:rsidR="00966AB8">
        <w:rPr>
          <w:lang w:val="es-ES_tradnl"/>
        </w:rPr>
        <w:t xml:space="preserve">refrigerantes </w:t>
      </w:r>
      <w:r w:rsidR="009A201C" w:rsidRPr="009A201C">
        <w:rPr>
          <w:lang w:val="es-ES_tradnl"/>
        </w:rPr>
        <w:t xml:space="preserve">HFC </w:t>
      </w:r>
      <w:r w:rsidR="0065749D">
        <w:rPr>
          <w:lang w:val="es-ES_tradnl"/>
        </w:rPr>
        <w:t xml:space="preserve">clase </w:t>
      </w:r>
      <w:r w:rsidR="00461BE9" w:rsidRPr="00B924EB">
        <w:rPr>
          <w:lang w:val="es-ES_tradnl"/>
        </w:rPr>
        <w:t>A2L</w:t>
      </w:r>
      <w:r w:rsidR="00E74EB1" w:rsidRPr="00B924EB">
        <w:rPr>
          <w:lang w:val="es-ES_tradnl"/>
        </w:rPr>
        <w:t>,</w:t>
      </w:r>
      <w:r w:rsidR="00A13BEA" w:rsidRPr="00B924EB">
        <w:rPr>
          <w:lang w:val="es-ES_tradnl"/>
        </w:rPr>
        <w:t xml:space="preserve"> </w:t>
      </w:r>
      <w:r w:rsidR="00945790">
        <w:rPr>
          <w:lang w:val="es-ES_tradnl"/>
        </w:rPr>
        <w:t>especialmente</w:t>
      </w:r>
      <w:r w:rsidR="00A13BEA" w:rsidRPr="00B924EB">
        <w:rPr>
          <w:lang w:val="es-ES_tradnl"/>
        </w:rPr>
        <w:t xml:space="preserve"> </w:t>
      </w:r>
      <w:r w:rsidR="00B12E4C">
        <w:rPr>
          <w:lang w:val="es-ES_tradnl"/>
        </w:rPr>
        <w:t xml:space="preserve">el </w:t>
      </w:r>
      <w:r w:rsidR="00E74EB1" w:rsidRPr="00B924EB">
        <w:rPr>
          <w:lang w:val="es-ES_tradnl"/>
        </w:rPr>
        <w:t>HFC</w:t>
      </w:r>
      <w:r w:rsidR="00755C5D" w:rsidRPr="00B924EB">
        <w:rPr>
          <w:lang w:val="es-ES_tradnl"/>
        </w:rPr>
        <w:t>-</w:t>
      </w:r>
      <w:r w:rsidR="00E74EB1" w:rsidRPr="00B924EB">
        <w:rPr>
          <w:lang w:val="es-ES_tradnl"/>
        </w:rPr>
        <w:t>32</w:t>
      </w:r>
      <w:r w:rsidR="000258CB">
        <w:rPr>
          <w:lang w:val="es-ES_tradnl"/>
        </w:rPr>
        <w:t xml:space="preserve">, </w:t>
      </w:r>
      <w:r w:rsidR="00DC0B3D">
        <w:rPr>
          <w:lang w:val="es-ES_tradnl"/>
        </w:rPr>
        <w:t>a</w:t>
      </w:r>
      <w:r w:rsidR="000258CB">
        <w:rPr>
          <w:lang w:val="es-ES_tradnl"/>
        </w:rPr>
        <w:t xml:space="preserve"> </w:t>
      </w:r>
      <w:r w:rsidR="000258CB" w:rsidRPr="000258CB">
        <w:rPr>
          <w:lang w:val="es-ES_tradnl"/>
        </w:rPr>
        <w:t>las actividades de recuperación y reciclaje in situ</w:t>
      </w:r>
      <w:r w:rsidR="00E74EB1" w:rsidRPr="00B924EB">
        <w:rPr>
          <w:lang w:val="es-ES_tradnl"/>
        </w:rPr>
        <w:t>.</w:t>
      </w:r>
    </w:p>
    <w:p w14:paraId="446EDAF3" w14:textId="16BC0527" w:rsidR="000725E1" w:rsidRPr="00B924EB" w:rsidRDefault="0086664A" w:rsidP="00811CA3">
      <w:pPr>
        <w:pStyle w:val="Heading1"/>
        <w:rPr>
          <w:lang w:val="es-ES_tradnl"/>
        </w:rPr>
      </w:pPr>
      <w:r>
        <w:rPr>
          <w:lang w:val="es-ES_tradnl"/>
        </w:rPr>
        <w:t xml:space="preserve">En cuanto a </w:t>
      </w:r>
      <w:r w:rsidR="0013187A">
        <w:rPr>
          <w:lang w:val="es-ES_tradnl"/>
        </w:rPr>
        <w:t xml:space="preserve">la forma en que </w:t>
      </w:r>
      <w:r w:rsidR="003208A7" w:rsidRPr="00B924EB">
        <w:rPr>
          <w:lang w:val="es-ES_tradnl"/>
        </w:rPr>
        <w:t>la</w:t>
      </w:r>
      <w:r w:rsidR="00A13BEA" w:rsidRPr="00B924EB">
        <w:rPr>
          <w:lang w:val="es-ES_tradnl"/>
        </w:rPr>
        <w:t xml:space="preserve"> </w:t>
      </w:r>
      <w:r w:rsidR="003D68D8" w:rsidRPr="003D68D8">
        <w:rPr>
          <w:lang w:val="es-ES_tradnl"/>
        </w:rPr>
        <w:t xml:space="preserve">asistencia </w:t>
      </w:r>
      <w:r w:rsidR="00631655">
        <w:rPr>
          <w:lang w:val="es-ES_tradnl"/>
        </w:rPr>
        <w:t xml:space="preserve">a </w:t>
      </w:r>
      <w:r w:rsidR="003D68D8">
        <w:rPr>
          <w:lang w:val="es-ES_tradnl"/>
        </w:rPr>
        <w:t>entregar</w:t>
      </w:r>
      <w:r w:rsidR="00472DF1">
        <w:rPr>
          <w:lang w:val="es-ES_tradnl"/>
        </w:rPr>
        <w:t xml:space="preserve"> </w:t>
      </w:r>
      <w:r w:rsidR="00631655">
        <w:rPr>
          <w:lang w:val="es-ES_tradnl"/>
        </w:rPr>
        <w:t xml:space="preserve">en </w:t>
      </w:r>
      <w:r w:rsidR="00A16AED">
        <w:rPr>
          <w:lang w:val="es-ES_tradnl"/>
        </w:rPr>
        <w:t xml:space="preserve">la </w:t>
      </w:r>
      <w:r w:rsidR="00631655" w:rsidRPr="00631655">
        <w:rPr>
          <w:lang w:val="es-ES_tradnl"/>
        </w:rPr>
        <w:t xml:space="preserve">etapa II del PGEH </w:t>
      </w:r>
      <w:r w:rsidR="00F23C69">
        <w:rPr>
          <w:lang w:val="es-ES_tradnl"/>
        </w:rPr>
        <w:t xml:space="preserve">permitiría asegurar </w:t>
      </w:r>
      <w:r w:rsidR="00CC1435">
        <w:rPr>
          <w:lang w:val="es-ES_tradnl"/>
        </w:rPr>
        <w:t xml:space="preserve">que </w:t>
      </w:r>
      <w:r w:rsidR="001E51B4">
        <w:rPr>
          <w:lang w:val="es-ES_tradnl"/>
        </w:rPr>
        <w:t xml:space="preserve">las instituciones </w:t>
      </w:r>
      <w:r w:rsidR="0098411A">
        <w:rPr>
          <w:lang w:val="es-ES_tradnl"/>
        </w:rPr>
        <w:t xml:space="preserve">correspondientes </w:t>
      </w:r>
      <w:r w:rsidR="00F22274">
        <w:rPr>
          <w:lang w:val="es-ES_tradnl"/>
        </w:rPr>
        <w:t xml:space="preserve">puedan </w:t>
      </w:r>
      <w:r w:rsidR="008F2C77">
        <w:rPr>
          <w:lang w:val="es-ES_tradnl"/>
        </w:rPr>
        <w:t>operar</w:t>
      </w:r>
      <w:r w:rsidR="000537D5">
        <w:rPr>
          <w:lang w:val="es-ES_tradnl"/>
        </w:rPr>
        <w:t xml:space="preserve"> </w:t>
      </w:r>
      <w:r w:rsidR="00EF2224">
        <w:rPr>
          <w:lang w:val="es-ES_tradnl"/>
        </w:rPr>
        <w:t xml:space="preserve">los programas </w:t>
      </w:r>
      <w:r w:rsidR="00675872">
        <w:rPr>
          <w:lang w:val="es-ES_tradnl"/>
        </w:rPr>
        <w:t xml:space="preserve">de </w:t>
      </w:r>
      <w:r w:rsidR="00C7778F">
        <w:rPr>
          <w:lang w:val="es-ES_tradnl"/>
        </w:rPr>
        <w:t xml:space="preserve">capacitación </w:t>
      </w:r>
      <w:r w:rsidR="00755C5D" w:rsidRPr="00B924EB">
        <w:rPr>
          <w:lang w:val="es-ES_tradnl"/>
        </w:rPr>
        <w:t>y</w:t>
      </w:r>
      <w:r w:rsidR="00A13BEA" w:rsidRPr="00B924EB">
        <w:rPr>
          <w:lang w:val="es-ES_tradnl"/>
        </w:rPr>
        <w:t xml:space="preserve"> </w:t>
      </w:r>
      <w:r w:rsidR="00E26F0F" w:rsidRPr="00B924EB">
        <w:rPr>
          <w:lang w:val="es-ES_tradnl"/>
        </w:rPr>
        <w:t>acreditación</w:t>
      </w:r>
      <w:r w:rsidR="00A13BEA" w:rsidRPr="00B924EB">
        <w:rPr>
          <w:lang w:val="es-ES_tradnl"/>
        </w:rPr>
        <w:t xml:space="preserve"> </w:t>
      </w:r>
      <w:r w:rsidR="00B935C5">
        <w:rPr>
          <w:lang w:val="es-ES_tradnl"/>
        </w:rPr>
        <w:t xml:space="preserve">técnica </w:t>
      </w:r>
      <w:r w:rsidR="00041866">
        <w:rPr>
          <w:lang w:val="es-ES_tradnl"/>
        </w:rPr>
        <w:t xml:space="preserve">de manera autosustentable </w:t>
      </w:r>
      <w:r w:rsidR="00E07216">
        <w:rPr>
          <w:lang w:val="es-ES_tradnl"/>
        </w:rPr>
        <w:t xml:space="preserve">después del término de </w:t>
      </w:r>
      <w:r w:rsidR="00CB72CE" w:rsidRPr="00B924EB">
        <w:rPr>
          <w:lang w:val="es-ES_tradnl"/>
        </w:rPr>
        <w:t>los</w:t>
      </w:r>
      <w:r w:rsidR="00A13BEA" w:rsidRPr="00B924EB">
        <w:rPr>
          <w:lang w:val="es-ES_tradnl"/>
        </w:rPr>
        <w:t xml:space="preserve"> </w:t>
      </w:r>
      <w:r w:rsidR="00CB72CE" w:rsidRPr="00B924EB">
        <w:rPr>
          <w:lang w:val="es-ES_tradnl"/>
        </w:rPr>
        <w:t>proyectos</w:t>
      </w:r>
      <w:r w:rsidR="00B41409" w:rsidRPr="00B924EB">
        <w:rPr>
          <w:lang w:val="es-ES_tradnl"/>
        </w:rPr>
        <w:t>,</w:t>
      </w:r>
      <w:r w:rsidR="00A13BEA" w:rsidRPr="00B924EB">
        <w:rPr>
          <w:lang w:val="es-ES_tradnl"/>
        </w:rPr>
        <w:t xml:space="preserve"> </w:t>
      </w:r>
      <w:r w:rsidR="00755C5D" w:rsidRPr="00B924EB">
        <w:rPr>
          <w:lang w:val="es-ES_tradnl"/>
        </w:rPr>
        <w:t>el</w:t>
      </w:r>
      <w:r w:rsidR="00A13BEA" w:rsidRPr="00B924EB">
        <w:rPr>
          <w:lang w:val="es-ES_tradnl"/>
        </w:rPr>
        <w:t xml:space="preserve"> </w:t>
      </w:r>
      <w:r w:rsidR="00755C5D" w:rsidRPr="00B924EB">
        <w:rPr>
          <w:lang w:val="es-ES_tradnl"/>
        </w:rPr>
        <w:t>PNUMA</w:t>
      </w:r>
      <w:r w:rsidR="00A13BEA" w:rsidRPr="00B924EB">
        <w:rPr>
          <w:lang w:val="es-ES_tradnl"/>
        </w:rPr>
        <w:t xml:space="preserve"> </w:t>
      </w:r>
      <w:r w:rsidR="00BD2B0C">
        <w:rPr>
          <w:lang w:val="es-ES_tradnl"/>
        </w:rPr>
        <w:t>informó que</w:t>
      </w:r>
      <w:r w:rsidR="008653A7">
        <w:rPr>
          <w:lang w:val="es-ES_tradnl"/>
        </w:rPr>
        <w:t xml:space="preserve">, </w:t>
      </w:r>
      <w:r w:rsidR="00F6026B">
        <w:rPr>
          <w:lang w:val="es-ES_tradnl"/>
        </w:rPr>
        <w:t xml:space="preserve">a fin </w:t>
      </w:r>
      <w:r w:rsidR="0001354A">
        <w:rPr>
          <w:lang w:val="es-ES_tradnl"/>
        </w:rPr>
        <w:t xml:space="preserve">de </w:t>
      </w:r>
      <w:r w:rsidR="0057435C">
        <w:rPr>
          <w:lang w:val="es-ES_tradnl"/>
        </w:rPr>
        <w:t xml:space="preserve">potenciar </w:t>
      </w:r>
      <w:r w:rsidR="001A1006" w:rsidRPr="00B924EB">
        <w:rPr>
          <w:lang w:val="es-ES_tradnl"/>
        </w:rPr>
        <w:t>e</w:t>
      </w:r>
      <w:r w:rsidR="00A13BEA" w:rsidRPr="00B924EB">
        <w:rPr>
          <w:lang w:val="es-ES_tradnl"/>
        </w:rPr>
        <w:t xml:space="preserve"> </w:t>
      </w:r>
      <w:r w:rsidR="001A1006" w:rsidRPr="00B924EB">
        <w:rPr>
          <w:lang w:val="es-ES_tradnl"/>
        </w:rPr>
        <w:t>i</w:t>
      </w:r>
      <w:r w:rsidR="00AA71C0">
        <w:rPr>
          <w:lang w:val="es-ES_tradnl"/>
        </w:rPr>
        <w:t>nstitucionalizar</w:t>
      </w:r>
      <w:r w:rsidR="00A13BEA" w:rsidRPr="00B924EB">
        <w:rPr>
          <w:lang w:val="es-ES_tradnl"/>
        </w:rPr>
        <w:t xml:space="preserve"> </w:t>
      </w:r>
      <w:r w:rsidR="00AA71C0">
        <w:rPr>
          <w:lang w:val="es-ES_tradnl"/>
        </w:rPr>
        <w:t xml:space="preserve">la </w:t>
      </w:r>
      <w:r w:rsidR="00C7778F">
        <w:rPr>
          <w:lang w:val="es-ES_tradnl"/>
        </w:rPr>
        <w:t xml:space="preserve">capacitación </w:t>
      </w:r>
      <w:r w:rsidR="00755C5D" w:rsidRPr="00B924EB">
        <w:rPr>
          <w:lang w:val="es-ES_tradnl"/>
        </w:rPr>
        <w:t>y</w:t>
      </w:r>
      <w:r w:rsidR="00A13BEA" w:rsidRPr="00B924EB">
        <w:rPr>
          <w:lang w:val="es-ES_tradnl"/>
        </w:rPr>
        <w:t xml:space="preserve"> </w:t>
      </w:r>
      <w:r w:rsidR="00E26F0F" w:rsidRPr="00B924EB">
        <w:rPr>
          <w:lang w:val="es-ES_tradnl"/>
        </w:rPr>
        <w:t>acreditación</w:t>
      </w:r>
      <w:r w:rsidR="00AA71C0" w:rsidRPr="0083084B">
        <w:rPr>
          <w:lang w:val="es-419"/>
        </w:rPr>
        <w:t xml:space="preserve"> </w:t>
      </w:r>
      <w:r w:rsidR="00AA71C0" w:rsidRPr="00AA71C0">
        <w:rPr>
          <w:lang w:val="es-ES_tradnl"/>
        </w:rPr>
        <w:t>de técnicos</w:t>
      </w:r>
      <w:r w:rsidR="00D534E7" w:rsidRPr="00B924EB">
        <w:rPr>
          <w:lang w:val="es-ES_tradnl"/>
        </w:rPr>
        <w:t>,</w:t>
      </w:r>
      <w:r w:rsidR="00A13BEA" w:rsidRPr="00B924EB">
        <w:rPr>
          <w:lang w:val="es-ES_tradnl"/>
        </w:rPr>
        <w:t xml:space="preserve"> </w:t>
      </w:r>
      <w:r w:rsidR="000521A3" w:rsidRPr="00B924EB">
        <w:rPr>
          <w:lang w:val="es-ES_tradnl"/>
        </w:rPr>
        <w:t>en</w:t>
      </w:r>
      <w:r w:rsidR="00A13BEA" w:rsidRPr="00B924EB">
        <w:rPr>
          <w:lang w:val="es-ES_tradnl"/>
        </w:rPr>
        <w:t xml:space="preserve"> </w:t>
      </w:r>
      <w:r w:rsidR="00755C5D" w:rsidRPr="00B924EB">
        <w:rPr>
          <w:lang w:val="es-ES_tradnl"/>
        </w:rPr>
        <w:t>septiembre</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B41409" w:rsidRPr="00B924EB">
        <w:rPr>
          <w:lang w:val="es-ES_tradnl"/>
        </w:rPr>
        <w:t>2020</w:t>
      </w:r>
      <w:r w:rsidR="00A13BEA" w:rsidRPr="00B924EB">
        <w:rPr>
          <w:lang w:val="es-ES_tradnl"/>
        </w:rPr>
        <w:t xml:space="preserve"> </w:t>
      </w:r>
      <w:r w:rsidR="00A4044B">
        <w:rPr>
          <w:lang w:val="es-ES_tradnl"/>
        </w:rPr>
        <w:t>los ministerios</w:t>
      </w:r>
      <w:r w:rsidR="00407CA1">
        <w:rPr>
          <w:lang w:val="es-ES_tradnl"/>
        </w:rPr>
        <w:t xml:space="preserve"> de Salud</w:t>
      </w:r>
      <w:r w:rsidR="00A13BEA" w:rsidRPr="00B924EB">
        <w:rPr>
          <w:lang w:val="es-ES_tradnl"/>
        </w:rPr>
        <w:t xml:space="preserve"> </w:t>
      </w:r>
      <w:r w:rsidR="00755C5D" w:rsidRPr="00B924EB">
        <w:rPr>
          <w:lang w:val="es-ES_tradnl"/>
        </w:rPr>
        <w:t>y</w:t>
      </w:r>
      <w:r w:rsidR="00A13BEA" w:rsidRPr="00B924EB">
        <w:rPr>
          <w:lang w:val="es-ES_tradnl"/>
        </w:rPr>
        <w:t xml:space="preserve"> </w:t>
      </w:r>
      <w:r w:rsidR="003208A7" w:rsidRPr="00B924EB">
        <w:rPr>
          <w:lang w:val="es-ES_tradnl"/>
        </w:rPr>
        <w:t>Medio</w:t>
      </w:r>
      <w:r w:rsidR="00A13BEA" w:rsidRPr="00B924EB">
        <w:rPr>
          <w:lang w:val="es-ES_tradnl"/>
        </w:rPr>
        <w:t xml:space="preserve"> </w:t>
      </w:r>
      <w:r w:rsidR="008556A7" w:rsidRPr="00B924EB">
        <w:rPr>
          <w:lang w:val="es-ES_tradnl"/>
        </w:rPr>
        <w:t xml:space="preserve">Ambiente </w:t>
      </w:r>
      <w:r w:rsidR="00755C5D" w:rsidRPr="00B924EB">
        <w:rPr>
          <w:lang w:val="es-ES_tradnl"/>
        </w:rPr>
        <w:t>y</w:t>
      </w:r>
      <w:r w:rsidR="00A13BEA" w:rsidRPr="00B924EB">
        <w:rPr>
          <w:lang w:val="es-ES_tradnl"/>
        </w:rPr>
        <w:t xml:space="preserve"> </w:t>
      </w:r>
      <w:r w:rsidR="00407CA1">
        <w:rPr>
          <w:lang w:val="es-ES_tradnl"/>
        </w:rPr>
        <w:t>del Trabajo y Asuntos Sociales</w:t>
      </w:r>
      <w:r w:rsidR="00A13BEA" w:rsidRPr="00B924EB">
        <w:rPr>
          <w:lang w:val="es-ES_tradnl"/>
        </w:rPr>
        <w:t xml:space="preserve"> </w:t>
      </w:r>
      <w:r w:rsidR="00114C08">
        <w:rPr>
          <w:lang w:val="es-ES_tradnl"/>
        </w:rPr>
        <w:t xml:space="preserve">suscribieron un </w:t>
      </w:r>
      <w:r w:rsidR="009374DA" w:rsidRPr="00B924EB">
        <w:rPr>
          <w:lang w:val="es-ES_tradnl"/>
        </w:rPr>
        <w:t>acuerdo</w:t>
      </w:r>
      <w:r w:rsidR="00A13BEA" w:rsidRPr="00B924EB">
        <w:rPr>
          <w:lang w:val="es-ES_tradnl"/>
        </w:rPr>
        <w:t xml:space="preserve"> </w:t>
      </w:r>
      <w:r w:rsidR="007809EF">
        <w:rPr>
          <w:lang w:val="es-ES_tradnl"/>
        </w:rPr>
        <w:t>que facilita</w:t>
      </w:r>
      <w:r w:rsidR="00E20778">
        <w:rPr>
          <w:lang w:val="es-ES_tradnl"/>
        </w:rPr>
        <w:t>rá</w:t>
      </w:r>
      <w:r w:rsidR="00A13BEA" w:rsidRPr="00B924EB">
        <w:rPr>
          <w:lang w:val="es-ES_tradnl"/>
        </w:rPr>
        <w:t xml:space="preserve"> </w:t>
      </w:r>
      <w:r w:rsidR="00315CE0">
        <w:rPr>
          <w:lang w:val="es-ES_tradnl"/>
        </w:rPr>
        <w:t xml:space="preserve">la </w:t>
      </w:r>
      <w:r w:rsidR="000521A3" w:rsidRPr="00B924EB">
        <w:rPr>
          <w:lang w:val="es-ES_tradnl"/>
        </w:rPr>
        <w:t>entrega</w:t>
      </w:r>
      <w:r w:rsidR="00A13BEA" w:rsidRPr="00B924EB">
        <w:rPr>
          <w:lang w:val="es-ES_tradnl"/>
        </w:rPr>
        <w:t xml:space="preserve"> </w:t>
      </w:r>
      <w:r w:rsidR="00F21719" w:rsidRPr="00F21719">
        <w:rPr>
          <w:lang w:val="es-ES_tradnl"/>
        </w:rPr>
        <w:t xml:space="preserve">oportuna </w:t>
      </w:r>
      <w:r w:rsidR="00755C5D" w:rsidRPr="00B924EB">
        <w:rPr>
          <w:lang w:val="es-ES_tradnl"/>
        </w:rPr>
        <w:t>de</w:t>
      </w:r>
      <w:r w:rsidR="00A13BEA" w:rsidRPr="00B924EB">
        <w:rPr>
          <w:lang w:val="es-ES_tradnl"/>
        </w:rPr>
        <w:t xml:space="preserve"> </w:t>
      </w:r>
      <w:r w:rsidR="00B87754">
        <w:rPr>
          <w:lang w:val="es-ES_tradnl"/>
        </w:rPr>
        <w:t>programas de capacitación y acreditación</w:t>
      </w:r>
      <w:r w:rsidR="00A13BEA" w:rsidRPr="00B924EB">
        <w:rPr>
          <w:lang w:val="es-ES_tradnl"/>
        </w:rPr>
        <w:t xml:space="preserve"> </w:t>
      </w:r>
      <w:r w:rsidR="008948CE">
        <w:rPr>
          <w:lang w:val="es-ES_tradnl"/>
        </w:rPr>
        <w:t xml:space="preserve">en </w:t>
      </w:r>
      <w:r w:rsidR="00FC5B41" w:rsidRPr="00FC5B41">
        <w:rPr>
          <w:lang w:val="es-ES_tradnl"/>
        </w:rPr>
        <w:t xml:space="preserve">refrigeración y climatización </w:t>
      </w:r>
      <w:r w:rsidR="00A406CD">
        <w:rPr>
          <w:lang w:val="es-ES_tradnl"/>
        </w:rPr>
        <w:t xml:space="preserve">y </w:t>
      </w:r>
      <w:r w:rsidR="00D226D6">
        <w:rPr>
          <w:lang w:val="es-ES_tradnl"/>
        </w:rPr>
        <w:t>asegura</w:t>
      </w:r>
      <w:r w:rsidR="00E27FDC">
        <w:rPr>
          <w:lang w:val="es-ES_tradnl"/>
        </w:rPr>
        <w:t>r</w:t>
      </w:r>
      <w:r w:rsidR="00A406CD">
        <w:rPr>
          <w:lang w:val="es-ES_tradnl"/>
        </w:rPr>
        <w:t>á</w:t>
      </w:r>
      <w:r w:rsidR="00D6337F">
        <w:rPr>
          <w:lang w:val="es-ES_tradnl"/>
        </w:rPr>
        <w:t xml:space="preserve"> </w:t>
      </w:r>
      <w:r w:rsidR="00502169">
        <w:rPr>
          <w:lang w:val="es-ES_tradnl"/>
        </w:rPr>
        <w:t xml:space="preserve">su </w:t>
      </w:r>
      <w:r w:rsidR="00CB72CE" w:rsidRPr="00B924EB">
        <w:rPr>
          <w:lang w:val="es-ES_tradnl"/>
        </w:rPr>
        <w:t>sustentabilidad</w:t>
      </w:r>
      <w:r w:rsidR="00C36A7F" w:rsidRPr="00B924EB">
        <w:rPr>
          <w:lang w:val="es-ES_tradnl"/>
        </w:rPr>
        <w:t>.</w:t>
      </w:r>
      <w:r w:rsidR="00A13BEA" w:rsidRPr="00B924EB">
        <w:rPr>
          <w:lang w:val="es-ES_tradnl"/>
        </w:rPr>
        <w:t xml:space="preserve"> </w:t>
      </w:r>
      <w:r w:rsidR="008273FC">
        <w:rPr>
          <w:lang w:val="es-ES_tradnl"/>
        </w:rPr>
        <w:t xml:space="preserve">La </w:t>
      </w:r>
      <w:r w:rsidR="009374DA" w:rsidRPr="00B924EB">
        <w:rPr>
          <w:lang w:val="es-ES_tradnl"/>
        </w:rPr>
        <w:t>asistencia</w:t>
      </w:r>
      <w:r w:rsidR="00A13BEA" w:rsidRPr="00B924EB">
        <w:rPr>
          <w:lang w:val="es-ES_tradnl"/>
        </w:rPr>
        <w:t xml:space="preserve"> </w:t>
      </w:r>
      <w:r w:rsidR="004E20DD">
        <w:rPr>
          <w:lang w:val="es-ES_tradnl"/>
        </w:rPr>
        <w:t xml:space="preserve">a entregar </w:t>
      </w:r>
      <w:r w:rsidR="001A1006" w:rsidRPr="00B924EB">
        <w:rPr>
          <w:lang w:val="es-ES_tradnl"/>
        </w:rPr>
        <w:t>en</w:t>
      </w:r>
      <w:r w:rsidR="00A13BEA" w:rsidRPr="00B924EB">
        <w:rPr>
          <w:lang w:val="es-ES_tradnl"/>
        </w:rPr>
        <w:t xml:space="preserve"> </w:t>
      </w:r>
      <w:r w:rsidR="001A1006" w:rsidRPr="00B924EB">
        <w:rPr>
          <w:lang w:val="es-ES_tradnl"/>
        </w:rPr>
        <w:t>la</w:t>
      </w:r>
      <w:r w:rsidR="00A13BEA" w:rsidRPr="00B924EB">
        <w:rPr>
          <w:lang w:val="es-ES_tradnl"/>
        </w:rPr>
        <w:t xml:space="preserve"> </w:t>
      </w:r>
      <w:r w:rsidR="001A1006" w:rsidRPr="00B924EB">
        <w:rPr>
          <w:lang w:val="es-ES_tradnl"/>
        </w:rPr>
        <w:t>etapa</w:t>
      </w:r>
      <w:r w:rsidR="00A13BEA" w:rsidRPr="00B924EB">
        <w:rPr>
          <w:lang w:val="es-ES_tradnl"/>
        </w:rPr>
        <w:t xml:space="preserve"> </w:t>
      </w:r>
      <w:r w:rsidR="003208A7" w:rsidRPr="00B924EB">
        <w:rPr>
          <w:lang w:val="es-ES_tradnl"/>
        </w:rPr>
        <w:t>I</w:t>
      </w:r>
      <w:r w:rsidR="00F3012E">
        <w:rPr>
          <w:lang w:val="es-ES_tradnl"/>
        </w:rPr>
        <w:t>I</w:t>
      </w:r>
      <w:r w:rsidR="00A13BEA" w:rsidRPr="00B924EB">
        <w:rPr>
          <w:lang w:val="es-ES_tradnl"/>
        </w:rPr>
        <w:t xml:space="preserve"> </w:t>
      </w:r>
      <w:r w:rsidR="00256DA2">
        <w:rPr>
          <w:lang w:val="es-ES_tradnl"/>
        </w:rPr>
        <w:t xml:space="preserve">permitirá </w:t>
      </w:r>
      <w:r w:rsidR="00897069">
        <w:rPr>
          <w:lang w:val="es-ES_tradnl"/>
        </w:rPr>
        <w:t xml:space="preserve">que </w:t>
      </w:r>
      <w:r w:rsidR="00BD5C4A">
        <w:rPr>
          <w:lang w:val="es-ES_tradnl"/>
        </w:rPr>
        <w:t xml:space="preserve">los </w:t>
      </w:r>
      <w:r w:rsidR="00BD5C4A" w:rsidRPr="00BD5C4A">
        <w:rPr>
          <w:lang w:val="es-ES_tradnl"/>
        </w:rPr>
        <w:t xml:space="preserve">centros de capacitación </w:t>
      </w:r>
      <w:r w:rsidR="00E26F0F" w:rsidRPr="00B924EB">
        <w:rPr>
          <w:lang w:val="es-ES_tradnl"/>
        </w:rPr>
        <w:t>del</w:t>
      </w:r>
      <w:r w:rsidR="00A13BEA" w:rsidRPr="00B924EB">
        <w:rPr>
          <w:lang w:val="es-ES_tradnl"/>
        </w:rPr>
        <w:t xml:space="preserve"> </w:t>
      </w:r>
      <w:r w:rsidR="00E26F0F" w:rsidRPr="00B924EB">
        <w:rPr>
          <w:lang w:val="es-ES_tradnl"/>
        </w:rPr>
        <w:t>Ministerio</w:t>
      </w:r>
      <w:r w:rsidR="00A13BEA" w:rsidRPr="00B924EB">
        <w:rPr>
          <w:lang w:val="es-ES_tradnl"/>
        </w:rPr>
        <w:t xml:space="preserve"> </w:t>
      </w:r>
      <w:r w:rsidR="00407CA1">
        <w:rPr>
          <w:lang w:val="es-ES_tradnl"/>
        </w:rPr>
        <w:t>del Trabajo y Asuntos Sociales</w:t>
      </w:r>
      <w:r w:rsidR="00A13BEA" w:rsidRPr="00B924EB">
        <w:rPr>
          <w:lang w:val="es-ES_tradnl"/>
        </w:rPr>
        <w:t xml:space="preserve"> </w:t>
      </w:r>
      <w:r w:rsidR="00C6554A">
        <w:rPr>
          <w:lang w:val="es-ES_tradnl"/>
        </w:rPr>
        <w:t xml:space="preserve">asuman </w:t>
      </w:r>
      <w:r w:rsidR="00631CA7">
        <w:rPr>
          <w:lang w:val="es-ES_tradnl"/>
        </w:rPr>
        <w:t>la</w:t>
      </w:r>
      <w:r w:rsidR="00B97BDA">
        <w:rPr>
          <w:lang w:val="es-ES_tradnl"/>
        </w:rPr>
        <w:t>s</w:t>
      </w:r>
      <w:r w:rsidR="00631CA7">
        <w:rPr>
          <w:lang w:val="es-ES_tradnl"/>
        </w:rPr>
        <w:t xml:space="preserve"> labor</w:t>
      </w:r>
      <w:r w:rsidR="00B97BDA">
        <w:rPr>
          <w:lang w:val="es-ES_tradnl"/>
        </w:rPr>
        <w:t>es</w:t>
      </w:r>
      <w:r w:rsidR="00631CA7">
        <w:rPr>
          <w:lang w:val="es-ES_tradnl"/>
        </w:rPr>
        <w:t xml:space="preserve"> </w:t>
      </w:r>
      <w:r w:rsidR="002C2EC4">
        <w:rPr>
          <w:lang w:val="es-ES_tradnl"/>
        </w:rPr>
        <w:t xml:space="preserve">que les entrega </w:t>
      </w:r>
      <w:r w:rsidR="008D63F0">
        <w:rPr>
          <w:lang w:val="es-ES_tradnl"/>
        </w:rPr>
        <w:t>este</w:t>
      </w:r>
      <w:r w:rsidR="002C2EC4">
        <w:rPr>
          <w:lang w:val="es-ES_tradnl"/>
        </w:rPr>
        <w:t xml:space="preserve"> a</w:t>
      </w:r>
      <w:r w:rsidR="00452F79" w:rsidRPr="00B924EB">
        <w:rPr>
          <w:lang w:val="es-ES_tradnl"/>
        </w:rPr>
        <w:t>cuerdo</w:t>
      </w:r>
      <w:r w:rsidR="00461BE9" w:rsidRPr="00B924EB">
        <w:rPr>
          <w:lang w:val="es-ES_tradnl"/>
        </w:rPr>
        <w:t>,</w:t>
      </w:r>
      <w:r w:rsidR="00A13BEA" w:rsidRPr="00B924EB">
        <w:rPr>
          <w:lang w:val="es-ES_tradnl"/>
        </w:rPr>
        <w:t xml:space="preserve"> </w:t>
      </w:r>
      <w:r w:rsidR="00E26F0F" w:rsidRPr="00B924EB">
        <w:rPr>
          <w:lang w:val="es-ES_tradnl"/>
        </w:rPr>
        <w:t>incluyendo</w:t>
      </w:r>
      <w:r w:rsidR="00A13BEA" w:rsidRPr="00B924EB">
        <w:rPr>
          <w:lang w:val="es-ES_tradnl"/>
        </w:rPr>
        <w:t xml:space="preserve"> </w:t>
      </w:r>
      <w:r w:rsidR="00EB3210">
        <w:rPr>
          <w:lang w:val="es-ES_tradnl"/>
        </w:rPr>
        <w:t>la</w:t>
      </w:r>
      <w:r w:rsidR="008D63F0">
        <w:rPr>
          <w:lang w:val="es-ES_tradnl"/>
        </w:rPr>
        <w:t>s</w:t>
      </w:r>
      <w:r w:rsidR="00B97BDA">
        <w:rPr>
          <w:lang w:val="es-ES_tradnl"/>
        </w:rPr>
        <w:t xml:space="preserve"> </w:t>
      </w:r>
      <w:r w:rsidR="00EB3210">
        <w:rPr>
          <w:lang w:val="es-ES_tradnl"/>
        </w:rPr>
        <w:t xml:space="preserve">de </w:t>
      </w:r>
      <w:r w:rsidR="00C22142">
        <w:rPr>
          <w:lang w:val="es-ES_tradnl"/>
        </w:rPr>
        <w:t>supervisión e información</w:t>
      </w:r>
      <w:r w:rsidR="00C36A7F" w:rsidRPr="00B924EB">
        <w:rPr>
          <w:lang w:val="es-ES_tradnl"/>
        </w:rPr>
        <w:t>.</w:t>
      </w:r>
    </w:p>
    <w:p w14:paraId="04F8C3D7" w14:textId="78EF564E" w:rsidR="00C679D6" w:rsidRPr="00B924EB" w:rsidRDefault="00363607" w:rsidP="00C679D6">
      <w:pPr>
        <w:pStyle w:val="Heading1"/>
        <w:keepNext/>
        <w:numPr>
          <w:ilvl w:val="0"/>
          <w:numId w:val="0"/>
        </w:numPr>
        <w:rPr>
          <w:u w:val="single"/>
          <w:lang w:val="es-ES_tradnl"/>
        </w:rPr>
      </w:pPr>
      <w:r w:rsidRPr="00B924EB">
        <w:rPr>
          <w:u w:val="single"/>
          <w:lang w:val="es-ES_tradnl"/>
        </w:rPr>
        <w:t>Costo</w:t>
      </w:r>
      <w:r w:rsidR="00A13BEA" w:rsidRPr="00B924EB">
        <w:rPr>
          <w:u w:val="single"/>
          <w:lang w:val="es-ES_tradnl"/>
        </w:rPr>
        <w:t xml:space="preserve"> </w:t>
      </w:r>
      <w:r w:rsidRPr="00B924EB">
        <w:rPr>
          <w:u w:val="single"/>
          <w:lang w:val="es-ES_tradnl"/>
        </w:rPr>
        <w:t>total</w:t>
      </w:r>
      <w:r w:rsidR="00A13BEA" w:rsidRPr="00B924EB">
        <w:rPr>
          <w:u w:val="single"/>
          <w:lang w:val="es-ES_tradnl"/>
        </w:rPr>
        <w:t xml:space="preserve"> </w:t>
      </w:r>
      <w:r w:rsidRPr="00B924EB">
        <w:rPr>
          <w:u w:val="single"/>
          <w:lang w:val="es-ES_tradnl"/>
        </w:rPr>
        <w:t>del</w:t>
      </w:r>
      <w:r w:rsidR="00A13BEA" w:rsidRPr="00B924EB">
        <w:rPr>
          <w:u w:val="single"/>
          <w:lang w:val="es-ES_tradnl"/>
        </w:rPr>
        <w:t xml:space="preserve"> </w:t>
      </w:r>
      <w:r w:rsidRPr="00B924EB">
        <w:rPr>
          <w:u w:val="single"/>
          <w:lang w:val="es-ES_tradnl"/>
        </w:rPr>
        <w:t>proyecto</w:t>
      </w:r>
    </w:p>
    <w:p w14:paraId="300006AE" w14:textId="701F6F11" w:rsidR="00905050" w:rsidRPr="00B924EB" w:rsidRDefault="00755C5D" w:rsidP="00461BE9">
      <w:pPr>
        <w:pStyle w:val="Heading1"/>
        <w:rPr>
          <w:lang w:val="es-ES_tradnl"/>
        </w:rPr>
      </w:pPr>
      <w:r w:rsidRPr="00B924EB">
        <w:rPr>
          <w:lang w:val="es-ES_tradnl"/>
        </w:rPr>
        <w:t>La</w:t>
      </w:r>
      <w:r w:rsidR="00A13BEA" w:rsidRPr="00B924EB">
        <w:rPr>
          <w:lang w:val="es-ES_tradnl"/>
        </w:rPr>
        <w:t xml:space="preserve"> </w:t>
      </w:r>
      <w:r w:rsidRPr="00B924EB">
        <w:rPr>
          <w:lang w:val="es-ES_tradnl"/>
        </w:rPr>
        <w:t>Secretaría</w:t>
      </w:r>
      <w:r w:rsidR="00A13BEA" w:rsidRPr="00B924EB">
        <w:rPr>
          <w:lang w:val="es-ES_tradnl"/>
        </w:rPr>
        <w:t xml:space="preserve"> </w:t>
      </w:r>
      <w:r w:rsidR="0082196C">
        <w:rPr>
          <w:lang w:val="es-ES_tradnl"/>
        </w:rPr>
        <w:t xml:space="preserve">observa </w:t>
      </w:r>
      <w:r w:rsidRPr="00B924EB">
        <w:rPr>
          <w:lang w:val="es-ES_tradnl"/>
        </w:rPr>
        <w:t>que</w:t>
      </w:r>
      <w:r w:rsidR="00A13BEA" w:rsidRPr="00B924EB">
        <w:rPr>
          <w:lang w:val="es-ES_tradnl"/>
        </w:rPr>
        <w:t xml:space="preserve"> </w:t>
      </w:r>
      <w:r w:rsidR="00F1750B">
        <w:rPr>
          <w:lang w:val="es-ES_tradnl"/>
        </w:rPr>
        <w:t xml:space="preserve">el </w:t>
      </w:r>
      <w:r w:rsidR="009374DA" w:rsidRPr="00B924EB">
        <w:rPr>
          <w:lang w:val="es-ES_tradnl"/>
        </w:rPr>
        <w:t>componente</w:t>
      </w:r>
      <w:r w:rsidR="00A13BEA" w:rsidRPr="00B924EB">
        <w:rPr>
          <w:lang w:val="es-ES_tradnl"/>
        </w:rPr>
        <w:t xml:space="preserve"> </w:t>
      </w:r>
      <w:r w:rsidR="00F1750B">
        <w:rPr>
          <w:lang w:val="es-ES_tradnl"/>
        </w:rPr>
        <w:t xml:space="preserve">de políticas regulatorias </w:t>
      </w:r>
      <w:r w:rsidRPr="00B924EB">
        <w:rPr>
          <w:lang w:val="es-ES_tradnl"/>
        </w:rPr>
        <w:t>y</w:t>
      </w:r>
      <w:r w:rsidR="00A13BEA" w:rsidRPr="00B924EB">
        <w:rPr>
          <w:lang w:val="es-ES_tradnl"/>
        </w:rPr>
        <w:t xml:space="preserve"> </w:t>
      </w:r>
      <w:r w:rsidR="00F47470">
        <w:rPr>
          <w:lang w:val="es-ES_tradnl"/>
        </w:rPr>
        <w:t xml:space="preserve">el conjunto </w:t>
      </w:r>
      <w:r w:rsidRPr="00B924EB">
        <w:rPr>
          <w:lang w:val="es-ES_tradnl"/>
        </w:rPr>
        <w:t>de</w:t>
      </w:r>
      <w:r w:rsidR="00A13BEA" w:rsidRPr="00B924EB">
        <w:rPr>
          <w:lang w:val="es-ES_tradnl"/>
        </w:rPr>
        <w:t xml:space="preserve"> </w:t>
      </w:r>
      <w:r w:rsidR="00E26F0F" w:rsidRPr="00B924EB">
        <w:rPr>
          <w:lang w:val="es-ES_tradnl"/>
        </w:rPr>
        <w:t>actividades</w:t>
      </w:r>
      <w:r w:rsidR="00A13BEA" w:rsidRPr="00B924EB">
        <w:rPr>
          <w:lang w:val="es-ES_tradnl"/>
        </w:rPr>
        <w:t xml:space="preserve"> </w:t>
      </w:r>
      <w:r w:rsidR="00E26F0F" w:rsidRPr="00B924EB">
        <w:rPr>
          <w:lang w:val="es-ES_tradnl"/>
        </w:rPr>
        <w:t>propuestas</w:t>
      </w:r>
      <w:r w:rsidR="00A13BEA" w:rsidRPr="00B924EB">
        <w:rPr>
          <w:lang w:val="es-ES_tradnl"/>
        </w:rPr>
        <w:t xml:space="preserve"> </w:t>
      </w:r>
      <w:r w:rsidR="009374DA" w:rsidRPr="00B924EB">
        <w:rPr>
          <w:lang w:val="es-ES_tradnl"/>
        </w:rPr>
        <w:t>para</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E271F" w:rsidRPr="00B924EB">
        <w:rPr>
          <w:lang w:val="es-ES_tradnl"/>
        </w:rPr>
        <w:t>I</w:t>
      </w:r>
      <w:r w:rsidR="00A13BEA" w:rsidRPr="00B924EB">
        <w:rPr>
          <w:lang w:val="es-ES_tradnl"/>
        </w:rPr>
        <w:t xml:space="preserve"> </w:t>
      </w:r>
      <w:r w:rsidR="00EB3BF1">
        <w:rPr>
          <w:lang w:val="es-ES_tradnl"/>
        </w:rPr>
        <w:t>se encuentra</w:t>
      </w:r>
      <w:r w:rsidR="00D24865">
        <w:rPr>
          <w:lang w:val="es-ES_tradnl"/>
        </w:rPr>
        <w:t>n</w:t>
      </w:r>
      <w:r w:rsidR="00EB3BF1">
        <w:rPr>
          <w:lang w:val="es-ES_tradnl"/>
        </w:rPr>
        <w:t xml:space="preserve"> en concordancia </w:t>
      </w:r>
      <w:r w:rsidRPr="00B924EB">
        <w:rPr>
          <w:lang w:val="es-ES_tradnl"/>
        </w:rPr>
        <w:t>y</w:t>
      </w:r>
      <w:r w:rsidR="00A13BEA" w:rsidRPr="00B924EB">
        <w:rPr>
          <w:lang w:val="es-ES_tradnl"/>
        </w:rPr>
        <w:t xml:space="preserve"> </w:t>
      </w:r>
      <w:r w:rsidR="00EB3BF1">
        <w:rPr>
          <w:lang w:val="es-ES_tradnl"/>
        </w:rPr>
        <w:t>complementariedad</w:t>
      </w:r>
      <w:r w:rsidR="00A13BEA" w:rsidRPr="00B924EB">
        <w:rPr>
          <w:lang w:val="es-ES_tradnl"/>
        </w:rPr>
        <w:t xml:space="preserve"> </w:t>
      </w:r>
      <w:r w:rsidR="00672434">
        <w:rPr>
          <w:lang w:val="es-ES_tradnl"/>
        </w:rPr>
        <w:t xml:space="preserve">con la </w:t>
      </w:r>
      <w:r w:rsidR="009374DA" w:rsidRPr="00B924EB">
        <w:rPr>
          <w:lang w:val="es-ES_tradnl"/>
        </w:rPr>
        <w:t>asistencia</w:t>
      </w:r>
      <w:r w:rsidR="00A13BEA" w:rsidRPr="00B924EB">
        <w:rPr>
          <w:lang w:val="es-ES_tradnl"/>
        </w:rPr>
        <w:t xml:space="preserve"> </w:t>
      </w:r>
      <w:r w:rsidR="004F6302">
        <w:rPr>
          <w:lang w:val="es-ES_tradnl"/>
        </w:rPr>
        <w:t xml:space="preserve">iniciada durante </w:t>
      </w:r>
      <w:r w:rsidR="001A1006" w:rsidRPr="00B924EB">
        <w:rPr>
          <w:lang w:val="es-ES_tradnl"/>
        </w:rPr>
        <w:t>la</w:t>
      </w:r>
      <w:r w:rsidR="00A13BEA" w:rsidRPr="00B924EB">
        <w:rPr>
          <w:lang w:val="es-ES_tradnl"/>
        </w:rPr>
        <w:t xml:space="preserve"> </w:t>
      </w:r>
      <w:r w:rsidR="001A1006"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2C167B">
        <w:rPr>
          <w:lang w:val="es-ES_tradnl"/>
        </w:rPr>
        <w:t xml:space="preserve">y amplían </w:t>
      </w:r>
      <w:r w:rsidR="00945790">
        <w:rPr>
          <w:lang w:val="es-ES_tradnl"/>
        </w:rPr>
        <w:t>sus</w:t>
      </w:r>
      <w:r w:rsidR="00A13BEA" w:rsidRPr="00B924EB">
        <w:rPr>
          <w:lang w:val="es-ES_tradnl"/>
        </w:rPr>
        <w:t xml:space="preserve"> </w:t>
      </w:r>
      <w:r w:rsidR="004135A5" w:rsidRPr="00B924EB">
        <w:rPr>
          <w:lang w:val="es-ES_tradnl"/>
        </w:rPr>
        <w:t>alcance</w:t>
      </w:r>
      <w:r w:rsidR="002C167B">
        <w:rPr>
          <w:lang w:val="es-ES_tradnl"/>
        </w:rPr>
        <w:t>s</w:t>
      </w:r>
      <w:r w:rsidR="00A13BEA" w:rsidRPr="00B924EB">
        <w:rPr>
          <w:lang w:val="es-ES_tradnl"/>
        </w:rPr>
        <w:t xml:space="preserve"> </w:t>
      </w:r>
      <w:r w:rsidRPr="00B924EB">
        <w:rPr>
          <w:lang w:val="es-ES_tradnl"/>
        </w:rPr>
        <w:t>y</w:t>
      </w:r>
      <w:r w:rsidR="00A13BEA" w:rsidRPr="00B924EB">
        <w:rPr>
          <w:lang w:val="es-ES_tradnl"/>
        </w:rPr>
        <w:t xml:space="preserve"> </w:t>
      </w:r>
      <w:r w:rsidR="002C167B">
        <w:rPr>
          <w:lang w:val="es-ES_tradnl"/>
        </w:rPr>
        <w:t xml:space="preserve">sus </w:t>
      </w:r>
      <w:r w:rsidR="009374DA" w:rsidRPr="00B924EB">
        <w:rPr>
          <w:lang w:val="es-ES_tradnl"/>
        </w:rPr>
        <w:t>efecto</w:t>
      </w:r>
      <w:r w:rsidR="002C167B">
        <w:rPr>
          <w:lang w:val="es-ES_tradnl"/>
        </w:rPr>
        <w:t>s</w:t>
      </w:r>
      <w:r w:rsidR="00AE271F" w:rsidRPr="00B924EB">
        <w:rPr>
          <w:lang w:val="es-ES_tradnl"/>
        </w:rPr>
        <w:t>.</w:t>
      </w:r>
      <w:r w:rsidR="00A13BEA" w:rsidRPr="00B924EB">
        <w:rPr>
          <w:lang w:val="es-ES_tradnl"/>
        </w:rPr>
        <w:t xml:space="preserve"> </w:t>
      </w:r>
      <w:r w:rsidR="00CC1AE2">
        <w:rPr>
          <w:lang w:val="es-ES_tradnl"/>
        </w:rPr>
        <w:t xml:space="preserve">Tras </w:t>
      </w:r>
      <w:r w:rsidR="00AE030E">
        <w:rPr>
          <w:lang w:val="es-ES_tradnl"/>
        </w:rPr>
        <w:t xml:space="preserve">evaluar </w:t>
      </w:r>
      <w:r w:rsidR="009D3BC5">
        <w:rPr>
          <w:lang w:val="es-ES_tradnl"/>
        </w:rPr>
        <w:t xml:space="preserve">el </w:t>
      </w:r>
      <w:r w:rsidR="00EC1A96">
        <w:rPr>
          <w:lang w:val="es-ES_tradnl"/>
        </w:rPr>
        <w:t>potencial</w:t>
      </w:r>
      <w:r w:rsidR="00125EF6">
        <w:rPr>
          <w:lang w:val="es-ES_tradnl"/>
        </w:rPr>
        <w:t xml:space="preserve"> </w:t>
      </w:r>
      <w:r w:rsidR="009D3BC5">
        <w:rPr>
          <w:lang w:val="es-ES_tradnl"/>
        </w:rPr>
        <w:t xml:space="preserve">de </w:t>
      </w:r>
      <w:r w:rsidR="0024002C" w:rsidRPr="0024002C">
        <w:rPr>
          <w:lang w:val="es-ES_tradnl"/>
        </w:rPr>
        <w:t xml:space="preserve">duplicación </w:t>
      </w:r>
      <w:r w:rsidR="00165DB3">
        <w:rPr>
          <w:lang w:val="es-ES_tradnl"/>
        </w:rPr>
        <w:t xml:space="preserve">o </w:t>
      </w:r>
      <w:r w:rsidR="00165DB3" w:rsidRPr="00165DB3">
        <w:rPr>
          <w:lang w:val="es-ES_tradnl"/>
        </w:rPr>
        <w:t xml:space="preserve">superposición </w:t>
      </w:r>
      <w:r w:rsidR="00165DB3">
        <w:rPr>
          <w:lang w:val="es-ES_tradnl"/>
        </w:rPr>
        <w:t xml:space="preserve">con </w:t>
      </w:r>
      <w:r w:rsidR="00490ADE">
        <w:rPr>
          <w:lang w:val="es-ES_tradnl"/>
        </w:rPr>
        <w:t>las</w:t>
      </w:r>
      <w:r w:rsidR="00A13BEA" w:rsidRPr="00B924EB">
        <w:rPr>
          <w:lang w:val="es-ES_tradnl"/>
        </w:rPr>
        <w:t xml:space="preserve"> </w:t>
      </w:r>
      <w:r w:rsidR="004D7BCB">
        <w:rPr>
          <w:lang w:val="es-ES_tradnl"/>
        </w:rPr>
        <w:t>actividades en curso</w:t>
      </w:r>
      <w:r w:rsidR="00A13BEA" w:rsidRPr="00B924EB">
        <w:rPr>
          <w:lang w:val="es-ES_tradnl"/>
        </w:rPr>
        <w:t xml:space="preserve"> </w:t>
      </w:r>
      <w:r w:rsidR="004772CD">
        <w:rPr>
          <w:lang w:val="es-ES_tradnl"/>
        </w:rPr>
        <w:t xml:space="preserve">de </w:t>
      </w:r>
      <w:r w:rsidR="001A1006" w:rsidRPr="00B924EB">
        <w:rPr>
          <w:lang w:val="es-ES_tradnl"/>
        </w:rPr>
        <w:t>la</w:t>
      </w:r>
      <w:r w:rsidR="00A13BEA" w:rsidRPr="00B924EB">
        <w:rPr>
          <w:lang w:val="es-ES_tradnl"/>
        </w:rPr>
        <w:t xml:space="preserve"> </w:t>
      </w:r>
      <w:r w:rsidR="001A1006" w:rsidRPr="00B924EB">
        <w:rPr>
          <w:lang w:val="es-ES_tradnl"/>
        </w:rPr>
        <w:t>etapa</w:t>
      </w:r>
      <w:r w:rsidR="00A13BEA" w:rsidRPr="00B924EB">
        <w:rPr>
          <w:lang w:val="es-ES_tradnl"/>
        </w:rPr>
        <w:t xml:space="preserve"> </w:t>
      </w:r>
      <w:r w:rsidR="003208A7" w:rsidRPr="00B924EB">
        <w:rPr>
          <w:lang w:val="es-ES_tradnl"/>
        </w:rPr>
        <w:t>I</w:t>
      </w:r>
      <w:r w:rsidR="00AE271F" w:rsidRPr="00B924EB">
        <w:rPr>
          <w:lang w:val="es-ES_tradnl"/>
        </w:rPr>
        <w:t>,</w:t>
      </w:r>
      <w:r w:rsidR="00A13BEA" w:rsidRPr="00B924EB">
        <w:rPr>
          <w:lang w:val="es-ES_tradnl"/>
        </w:rPr>
        <w:t xml:space="preserve"> </w:t>
      </w:r>
      <w:r w:rsidR="000F4801" w:rsidRPr="000F4801">
        <w:rPr>
          <w:lang w:val="es-ES_tradnl"/>
        </w:rPr>
        <w:t xml:space="preserve">Secretaría, el PNUMA y la ONUDI </w:t>
      </w:r>
      <w:r w:rsidR="008A7189">
        <w:rPr>
          <w:lang w:val="es-ES_tradnl"/>
        </w:rPr>
        <w:t>resolvieron</w:t>
      </w:r>
      <w:r w:rsidR="00905050" w:rsidRPr="00B924EB">
        <w:rPr>
          <w:lang w:val="es-ES_tradnl"/>
        </w:rPr>
        <w:t>:</w:t>
      </w:r>
    </w:p>
    <w:p w14:paraId="0312B958" w14:textId="49C3635B" w:rsidR="00905050" w:rsidRPr="00B924EB" w:rsidRDefault="00755C5D" w:rsidP="00905050">
      <w:pPr>
        <w:pStyle w:val="Heading2"/>
        <w:rPr>
          <w:lang w:val="es-ES_tradnl"/>
        </w:rPr>
      </w:pPr>
      <w:r w:rsidRPr="00B924EB">
        <w:rPr>
          <w:lang w:val="es-ES_tradnl"/>
        </w:rPr>
        <w:t>De</w:t>
      </w:r>
      <w:r w:rsidR="00A13BEA" w:rsidRPr="00B924EB">
        <w:rPr>
          <w:lang w:val="es-ES_tradnl"/>
        </w:rPr>
        <w:t xml:space="preserve"> </w:t>
      </w:r>
      <w:r w:rsidR="004E410C">
        <w:rPr>
          <w:lang w:val="es-ES_tradnl"/>
        </w:rPr>
        <w:t xml:space="preserve">los </w:t>
      </w:r>
      <w:r w:rsidR="00AE271F" w:rsidRPr="00B924EB">
        <w:rPr>
          <w:lang w:val="es-ES_tradnl"/>
        </w:rPr>
        <w:t>12</w:t>
      </w:r>
      <w:r w:rsidRPr="00B924EB">
        <w:rPr>
          <w:lang w:val="es-ES_tradnl"/>
        </w:rPr>
        <w:t>0.</w:t>
      </w:r>
      <w:r w:rsidR="00AE271F" w:rsidRPr="00B924EB">
        <w:rPr>
          <w:lang w:val="es-ES_tradnl"/>
        </w:rPr>
        <w:t>000</w:t>
      </w:r>
      <w:r w:rsidR="0035273E" w:rsidRPr="0035273E">
        <w:rPr>
          <w:lang w:val="es-ES_tradnl"/>
        </w:rPr>
        <w:t xml:space="preserve"> $EUA</w:t>
      </w:r>
      <w:r w:rsidR="0084197C">
        <w:rPr>
          <w:lang w:val="es-ES_tradnl"/>
        </w:rPr>
        <w:t xml:space="preserve"> propuestos</w:t>
      </w:r>
      <w:r w:rsidR="00A13BEA" w:rsidRPr="00B924EB">
        <w:rPr>
          <w:lang w:val="es-ES_tradnl"/>
        </w:rPr>
        <w:t xml:space="preserve"> </w:t>
      </w:r>
      <w:r w:rsidR="009374DA" w:rsidRPr="00B924EB">
        <w:rPr>
          <w:lang w:val="es-ES_tradnl"/>
        </w:rPr>
        <w:t>en</w:t>
      </w:r>
      <w:r w:rsidR="00A13BEA" w:rsidRPr="00B924EB">
        <w:rPr>
          <w:lang w:val="es-ES_tradnl"/>
        </w:rPr>
        <w:t xml:space="preserv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E271F" w:rsidRPr="00B924EB">
        <w:rPr>
          <w:lang w:val="es-ES_tradnl"/>
        </w:rPr>
        <w:t>I</w:t>
      </w:r>
      <w:r w:rsidR="00A13BEA" w:rsidRPr="00B924EB">
        <w:rPr>
          <w:lang w:val="es-ES_tradnl"/>
        </w:rPr>
        <w:t xml:space="preserve"> </w:t>
      </w:r>
      <w:r w:rsidR="005305E1">
        <w:rPr>
          <w:lang w:val="es-ES_tradnl"/>
        </w:rPr>
        <w:t xml:space="preserve">para </w:t>
      </w:r>
      <w:proofErr w:type="spellStart"/>
      <w:r w:rsidR="002450E3">
        <w:rPr>
          <w:lang w:val="es-ES_tradnl"/>
        </w:rPr>
        <w:t>operativizar</w:t>
      </w:r>
      <w:proofErr w:type="spellEnd"/>
      <w:r w:rsidR="002450E3">
        <w:rPr>
          <w:lang w:val="es-ES_tradnl"/>
        </w:rPr>
        <w:t xml:space="preserve"> </w:t>
      </w:r>
      <w:r w:rsidRPr="00B924EB">
        <w:rPr>
          <w:lang w:val="es-ES_tradnl"/>
        </w:rPr>
        <w:t>y</w:t>
      </w:r>
      <w:r w:rsidR="00A13BEA" w:rsidRPr="00B924EB">
        <w:rPr>
          <w:lang w:val="es-ES_tradnl"/>
        </w:rPr>
        <w:t xml:space="preserve"> </w:t>
      </w:r>
      <w:r w:rsidR="002450E3">
        <w:rPr>
          <w:lang w:val="es-ES_tradnl"/>
        </w:rPr>
        <w:t xml:space="preserve">fiscalizar </w:t>
      </w:r>
      <w:r w:rsidR="00E8223B">
        <w:rPr>
          <w:lang w:val="es-ES_tradnl"/>
        </w:rPr>
        <w:t>el sistema</w:t>
      </w:r>
      <w:r w:rsidR="00BE208B">
        <w:rPr>
          <w:lang w:val="es-ES_tradnl"/>
        </w:rPr>
        <w:t xml:space="preserve"> de licencias electrónicas</w:t>
      </w:r>
      <w:r w:rsidR="00AE271F" w:rsidRPr="00B924EB">
        <w:rPr>
          <w:lang w:val="es-ES_tradnl"/>
        </w:rPr>
        <w:t>,</w:t>
      </w:r>
      <w:r w:rsidR="00A13BEA" w:rsidRPr="00B924EB">
        <w:rPr>
          <w:lang w:val="es-ES_tradnl"/>
        </w:rPr>
        <w:t xml:space="preserve"> </w:t>
      </w:r>
      <w:r w:rsidR="00BC250F">
        <w:rPr>
          <w:lang w:val="es-ES_tradnl"/>
        </w:rPr>
        <w:t>redesti</w:t>
      </w:r>
      <w:r w:rsidR="006D5165">
        <w:rPr>
          <w:lang w:val="es-ES_tradnl"/>
        </w:rPr>
        <w:t xml:space="preserve">nar </w:t>
      </w:r>
      <w:r w:rsidR="004E410C" w:rsidRPr="004E410C">
        <w:rPr>
          <w:lang w:val="es-ES_tradnl"/>
        </w:rPr>
        <w:t xml:space="preserve">la suma de </w:t>
      </w:r>
      <w:r w:rsidR="00AE271F" w:rsidRPr="00B924EB">
        <w:rPr>
          <w:lang w:val="es-ES_tradnl"/>
        </w:rPr>
        <w:t>6</w:t>
      </w:r>
      <w:r w:rsidRPr="00B924EB">
        <w:rPr>
          <w:lang w:val="es-ES_tradnl"/>
        </w:rPr>
        <w:t>0.</w:t>
      </w:r>
      <w:r w:rsidR="00AE271F" w:rsidRPr="00B924EB">
        <w:rPr>
          <w:lang w:val="es-ES_tradnl"/>
        </w:rPr>
        <w:t>000</w:t>
      </w:r>
      <w:r w:rsidR="00B77EC8" w:rsidRPr="00B77EC8">
        <w:rPr>
          <w:lang w:val="es-ES_tradnl"/>
        </w:rPr>
        <w:t xml:space="preserve"> $EUA</w:t>
      </w:r>
      <w:r w:rsidR="00A13BEA" w:rsidRPr="00B924EB">
        <w:rPr>
          <w:lang w:val="es-ES_tradnl"/>
        </w:rPr>
        <w:t xml:space="preserve"> </w:t>
      </w:r>
      <w:r w:rsidR="006D5165">
        <w:rPr>
          <w:lang w:val="es-ES_tradnl"/>
        </w:rPr>
        <w:t>a</w:t>
      </w:r>
      <w:r w:rsidR="00A13BEA" w:rsidRPr="00B924EB">
        <w:rPr>
          <w:lang w:val="es-ES_tradnl"/>
        </w:rPr>
        <w:t xml:space="preserve"> </w:t>
      </w:r>
      <w:r w:rsidR="00A368D2">
        <w:rPr>
          <w:lang w:val="es-ES_tradnl"/>
        </w:rPr>
        <w:t>la adquisición</w:t>
      </w:r>
      <w:r w:rsidR="00A13BEA" w:rsidRPr="00B924EB">
        <w:rPr>
          <w:lang w:val="es-ES_tradnl"/>
        </w:rPr>
        <w:t xml:space="preserve"> </w:t>
      </w:r>
      <w:r w:rsidRPr="00B924EB">
        <w:rPr>
          <w:lang w:val="es-ES_tradnl"/>
        </w:rPr>
        <w:t>y</w:t>
      </w:r>
      <w:r w:rsidR="00A13BEA" w:rsidRPr="00B924EB">
        <w:rPr>
          <w:lang w:val="es-ES_tradnl"/>
        </w:rPr>
        <w:t xml:space="preserve"> </w:t>
      </w:r>
      <w:r w:rsidR="009374DA" w:rsidRPr="00B924EB">
        <w:rPr>
          <w:lang w:val="es-ES_tradnl"/>
        </w:rPr>
        <w:t>distribución</w:t>
      </w:r>
      <w:r w:rsidR="00A13BEA" w:rsidRPr="00B924EB">
        <w:rPr>
          <w:lang w:val="es-ES_tradnl"/>
        </w:rPr>
        <w:t xml:space="preserve"> </w:t>
      </w:r>
      <w:r w:rsidRPr="00B924EB">
        <w:rPr>
          <w:lang w:val="es-ES_tradnl"/>
        </w:rPr>
        <w:t>de</w:t>
      </w:r>
      <w:r w:rsidR="00A13BEA" w:rsidRPr="00B924EB">
        <w:rPr>
          <w:lang w:val="es-ES_tradnl"/>
        </w:rPr>
        <w:t xml:space="preserve"> </w:t>
      </w:r>
      <w:r w:rsidR="00AE271F" w:rsidRPr="00B924EB">
        <w:rPr>
          <w:lang w:val="es-ES_tradnl"/>
        </w:rPr>
        <w:t>100</w:t>
      </w:r>
      <w:r w:rsidR="00A13BEA" w:rsidRPr="00B924EB">
        <w:rPr>
          <w:lang w:val="es-ES_tradnl"/>
        </w:rPr>
        <w:t xml:space="preserve"> </w:t>
      </w:r>
      <w:r w:rsidR="0086080E">
        <w:rPr>
          <w:lang w:val="es-ES_tradnl"/>
        </w:rPr>
        <w:t>juegos</w:t>
      </w:r>
      <w:r w:rsidR="00A13BEA" w:rsidRPr="00B924EB">
        <w:rPr>
          <w:lang w:val="es-ES_tradnl"/>
        </w:rPr>
        <w:t xml:space="preserve"> </w:t>
      </w:r>
      <w:r w:rsidR="005656E0" w:rsidRPr="005656E0">
        <w:rPr>
          <w:lang w:val="es-ES_tradnl"/>
        </w:rPr>
        <w:t>adicional</w:t>
      </w:r>
      <w:r w:rsidR="005656E0">
        <w:rPr>
          <w:lang w:val="es-ES_tradnl"/>
        </w:rPr>
        <w:t>es</w:t>
      </w:r>
      <w:r w:rsidR="005656E0" w:rsidRPr="005656E0">
        <w:rPr>
          <w:lang w:val="es-ES_tradnl"/>
        </w:rPr>
        <w:t xml:space="preserve"> </w:t>
      </w:r>
      <w:r w:rsidRPr="00B924EB">
        <w:rPr>
          <w:lang w:val="es-ES_tradnl"/>
        </w:rPr>
        <w:t>de</w:t>
      </w:r>
      <w:r w:rsidR="00A13BEA" w:rsidRPr="00B924EB">
        <w:rPr>
          <w:lang w:val="es-ES_tradnl"/>
        </w:rPr>
        <w:t xml:space="preserve"> </w:t>
      </w:r>
      <w:r w:rsidR="00E26F0F" w:rsidRPr="00B924EB">
        <w:rPr>
          <w:lang w:val="es-ES_tradnl"/>
        </w:rPr>
        <w:t>herramientas</w:t>
      </w:r>
      <w:r w:rsidR="00A13BEA" w:rsidRPr="00B924EB">
        <w:rPr>
          <w:lang w:val="es-ES_tradnl"/>
        </w:rPr>
        <w:t xml:space="preserve"> </w:t>
      </w:r>
      <w:r w:rsidR="008B42D0">
        <w:rPr>
          <w:lang w:val="es-ES_tradnl"/>
        </w:rPr>
        <w:t>para técnicos</w:t>
      </w:r>
      <w:r w:rsidR="00905050" w:rsidRPr="00B924EB">
        <w:rPr>
          <w:lang w:val="es-ES_tradnl"/>
        </w:rPr>
        <w:t>;</w:t>
      </w:r>
    </w:p>
    <w:p w14:paraId="16D2C25E" w14:textId="4C953545" w:rsidR="00905050" w:rsidRPr="00B924EB" w:rsidRDefault="00755C5D" w:rsidP="00142E91">
      <w:pPr>
        <w:pStyle w:val="Heading2"/>
        <w:rPr>
          <w:lang w:val="es-ES_tradnl"/>
        </w:rPr>
      </w:pPr>
      <w:r w:rsidRPr="00B924EB">
        <w:rPr>
          <w:lang w:val="es-ES_tradnl"/>
        </w:rPr>
        <w:t>De</w:t>
      </w:r>
      <w:r w:rsidR="00A13BEA" w:rsidRPr="00B924EB">
        <w:rPr>
          <w:lang w:val="es-ES_tradnl"/>
        </w:rPr>
        <w:t xml:space="preserve"> </w:t>
      </w:r>
      <w:r w:rsidR="00DA0B25">
        <w:rPr>
          <w:lang w:val="es-ES_tradnl"/>
        </w:rPr>
        <w:t xml:space="preserve">los </w:t>
      </w:r>
      <w:r w:rsidR="00AE271F" w:rsidRPr="00B924EB">
        <w:rPr>
          <w:lang w:val="es-ES_tradnl"/>
        </w:rPr>
        <w:t>10</w:t>
      </w:r>
      <w:r w:rsidR="009374DA" w:rsidRPr="00B924EB">
        <w:rPr>
          <w:lang w:val="es-ES_tradnl"/>
        </w:rPr>
        <w:t>5.</w:t>
      </w:r>
      <w:r w:rsidR="00AE271F" w:rsidRPr="00B924EB">
        <w:rPr>
          <w:lang w:val="es-ES_tradnl"/>
        </w:rPr>
        <w:t>000</w:t>
      </w:r>
      <w:r w:rsidR="00745868" w:rsidRPr="00745868">
        <w:rPr>
          <w:lang w:val="es-ES_tradnl"/>
        </w:rPr>
        <w:t xml:space="preserve"> $EUA</w:t>
      </w:r>
      <w:r w:rsidR="00A13BEA" w:rsidRPr="00B924EB">
        <w:rPr>
          <w:lang w:val="es-ES_tradnl"/>
        </w:rPr>
        <w:t xml:space="preserve"> </w:t>
      </w:r>
      <w:r w:rsidR="00337170">
        <w:rPr>
          <w:lang w:val="es-ES_tradnl"/>
        </w:rPr>
        <w:t>destinados</w:t>
      </w:r>
      <w:r w:rsidR="0006350B">
        <w:rPr>
          <w:lang w:val="es-ES_tradnl"/>
        </w:rPr>
        <w:t xml:space="preserve"> </w:t>
      </w:r>
      <w:r w:rsidR="00E74272" w:rsidRPr="00B924EB">
        <w:rPr>
          <w:lang w:val="es-ES_tradnl"/>
        </w:rPr>
        <w:t>al</w:t>
      </w:r>
      <w:r w:rsidR="00A13BEA" w:rsidRPr="00B924EB">
        <w:rPr>
          <w:lang w:val="es-ES_tradnl"/>
        </w:rPr>
        <w:t xml:space="preserve"> </w:t>
      </w:r>
      <w:r w:rsidR="00E74272" w:rsidRPr="00B924EB">
        <w:rPr>
          <w:lang w:val="es-ES_tradnl"/>
        </w:rPr>
        <w:t>desarrollo</w:t>
      </w:r>
      <w:r w:rsidR="00A13BEA" w:rsidRPr="00B924EB">
        <w:rPr>
          <w:lang w:val="es-ES_tradnl"/>
        </w:rPr>
        <w:t xml:space="preserve"> </w:t>
      </w:r>
      <w:r w:rsidRPr="00B924EB">
        <w:rPr>
          <w:lang w:val="es-ES_tradnl"/>
        </w:rPr>
        <w:t>y</w:t>
      </w:r>
      <w:r w:rsidR="00A13BEA" w:rsidRPr="00B924EB">
        <w:rPr>
          <w:lang w:val="es-ES_tradnl"/>
        </w:rPr>
        <w:t xml:space="preserve"> </w:t>
      </w:r>
      <w:r w:rsidR="009374DA" w:rsidRPr="00B924EB">
        <w:rPr>
          <w:lang w:val="es-ES_tradnl"/>
        </w:rPr>
        <w:t>producción</w:t>
      </w:r>
      <w:r w:rsidR="00A13BEA" w:rsidRPr="00B924EB">
        <w:rPr>
          <w:lang w:val="es-ES_tradnl"/>
        </w:rPr>
        <w:t xml:space="preserve"> </w:t>
      </w:r>
      <w:r w:rsidRPr="00B924EB">
        <w:rPr>
          <w:lang w:val="es-ES_tradnl"/>
        </w:rPr>
        <w:t>de</w:t>
      </w:r>
      <w:r w:rsidR="00A13BEA" w:rsidRPr="00B924EB">
        <w:rPr>
          <w:lang w:val="es-ES_tradnl"/>
        </w:rPr>
        <w:t xml:space="preserve"> </w:t>
      </w:r>
      <w:r w:rsidR="007B1597">
        <w:rPr>
          <w:lang w:val="es-ES_tradnl"/>
        </w:rPr>
        <w:t>manuales de capacitación</w:t>
      </w:r>
      <w:r w:rsidR="00A13BEA" w:rsidRPr="00B924EB">
        <w:rPr>
          <w:lang w:val="es-ES_tradnl"/>
        </w:rPr>
        <w:t xml:space="preserve"> </w:t>
      </w:r>
      <w:r w:rsidRPr="00B924EB">
        <w:rPr>
          <w:lang w:val="es-ES_tradnl"/>
        </w:rPr>
        <w:t>y</w:t>
      </w:r>
      <w:r w:rsidR="00A13BEA" w:rsidRPr="00B924EB">
        <w:rPr>
          <w:lang w:val="es-ES_tradnl"/>
        </w:rPr>
        <w:t xml:space="preserve"> </w:t>
      </w:r>
      <w:r w:rsidR="001B5E4D" w:rsidRPr="00B924EB">
        <w:rPr>
          <w:lang w:val="es-ES_tradnl"/>
        </w:rPr>
        <w:t>material</w:t>
      </w:r>
      <w:r w:rsidR="00555C5C">
        <w:rPr>
          <w:lang w:val="es-ES_tradnl"/>
        </w:rPr>
        <w:t xml:space="preserve">es </w:t>
      </w:r>
      <w:r w:rsidR="00EB6401">
        <w:rPr>
          <w:lang w:val="es-ES_tradnl"/>
        </w:rPr>
        <w:t>electrónico</w:t>
      </w:r>
      <w:r w:rsidR="00555C5C" w:rsidRPr="00555C5C">
        <w:rPr>
          <w:lang w:val="es-ES_tradnl"/>
        </w:rPr>
        <w:t xml:space="preserve">s </w:t>
      </w:r>
      <w:r w:rsidR="00F34500">
        <w:rPr>
          <w:lang w:val="es-ES_tradnl"/>
        </w:rPr>
        <w:t xml:space="preserve">en apoyo del nuevo </w:t>
      </w:r>
      <w:r w:rsidR="00173156">
        <w:rPr>
          <w:lang w:val="es-ES_tradnl"/>
        </w:rPr>
        <w:t>currículum</w:t>
      </w:r>
      <w:r w:rsidR="00F34500">
        <w:rPr>
          <w:lang w:val="es-ES_tradnl"/>
        </w:rPr>
        <w:t xml:space="preserve"> de</w:t>
      </w:r>
      <w:r w:rsidR="00F34500" w:rsidRPr="0083084B">
        <w:rPr>
          <w:lang w:val="es-419"/>
        </w:rPr>
        <w:t xml:space="preserve"> </w:t>
      </w:r>
      <w:r w:rsidR="00F34500" w:rsidRPr="00F34500">
        <w:rPr>
          <w:lang w:val="es-ES_tradnl"/>
        </w:rPr>
        <w:t>refrigeración</w:t>
      </w:r>
      <w:r w:rsidR="00AE271F" w:rsidRPr="00B924EB">
        <w:rPr>
          <w:lang w:val="es-ES_tradnl"/>
        </w:rPr>
        <w:t>,</w:t>
      </w:r>
      <w:r w:rsidR="00A13BEA" w:rsidRPr="00B924EB">
        <w:rPr>
          <w:lang w:val="es-ES_tradnl"/>
        </w:rPr>
        <w:t xml:space="preserve"> </w:t>
      </w:r>
      <w:r w:rsidR="00B00B4E" w:rsidRPr="00B00B4E">
        <w:rPr>
          <w:lang w:val="es-ES_tradnl"/>
        </w:rPr>
        <w:t xml:space="preserve">redestinar </w:t>
      </w:r>
      <w:r w:rsidR="007B0D8A" w:rsidRPr="007B0D8A">
        <w:rPr>
          <w:lang w:val="es-ES_tradnl"/>
        </w:rPr>
        <w:t xml:space="preserve">la suma </w:t>
      </w:r>
      <w:r w:rsidR="007B0D8A">
        <w:rPr>
          <w:lang w:val="es-ES_tradnl"/>
        </w:rPr>
        <w:t xml:space="preserve">de </w:t>
      </w:r>
      <w:r w:rsidR="00AE271F" w:rsidRPr="00B924EB">
        <w:rPr>
          <w:lang w:val="es-ES_tradnl"/>
        </w:rPr>
        <w:t>4</w:t>
      </w:r>
      <w:r w:rsidR="009374DA" w:rsidRPr="00B924EB">
        <w:rPr>
          <w:lang w:val="es-ES_tradnl"/>
        </w:rPr>
        <w:t>5.</w:t>
      </w:r>
      <w:r w:rsidR="00AE271F" w:rsidRPr="00B924EB">
        <w:rPr>
          <w:lang w:val="es-ES_tradnl"/>
        </w:rPr>
        <w:t>000</w:t>
      </w:r>
      <w:r w:rsidR="0000009C" w:rsidRPr="0000009C">
        <w:rPr>
          <w:lang w:val="es-ES_tradnl"/>
        </w:rPr>
        <w:t xml:space="preserve"> $EUA</w:t>
      </w:r>
      <w:r w:rsidR="00A13BEA" w:rsidRPr="00B924EB">
        <w:rPr>
          <w:lang w:val="es-ES_tradnl"/>
        </w:rPr>
        <w:t xml:space="preserve"> </w:t>
      </w:r>
      <w:r w:rsidR="00341E44">
        <w:rPr>
          <w:lang w:val="es-ES_tradnl"/>
        </w:rPr>
        <w:t>a</w:t>
      </w:r>
      <w:r w:rsidR="00B353F1">
        <w:rPr>
          <w:lang w:val="es-ES_tradnl"/>
        </w:rPr>
        <w:t xml:space="preserve"> </w:t>
      </w:r>
      <w:r w:rsidR="00341E44">
        <w:rPr>
          <w:lang w:val="es-ES_tradnl"/>
        </w:rPr>
        <w:t xml:space="preserve">la capacitación de </w:t>
      </w:r>
      <w:r w:rsidR="001B5E4D" w:rsidRPr="00B924EB">
        <w:rPr>
          <w:lang w:val="es-ES_tradnl"/>
        </w:rPr>
        <w:t>100</w:t>
      </w:r>
      <w:r w:rsidR="00A13BEA" w:rsidRPr="00B924EB">
        <w:rPr>
          <w:lang w:val="es-ES_tradnl"/>
        </w:rPr>
        <w:t xml:space="preserve"> </w:t>
      </w:r>
      <w:r w:rsidR="00E26F0F" w:rsidRPr="00B924EB">
        <w:rPr>
          <w:lang w:val="es-ES_tradnl"/>
        </w:rPr>
        <w:t>técnico</w:t>
      </w:r>
      <w:r w:rsidR="00C36A7F" w:rsidRPr="00B924EB">
        <w:rPr>
          <w:lang w:val="es-ES_tradnl"/>
        </w:rPr>
        <w:t>s</w:t>
      </w:r>
      <w:r w:rsidR="00B353F1">
        <w:rPr>
          <w:lang w:val="es-ES_tradnl"/>
        </w:rPr>
        <w:t xml:space="preserve"> adicionales</w:t>
      </w:r>
      <w:r w:rsidR="00905050" w:rsidRPr="00B924EB">
        <w:rPr>
          <w:lang w:val="es-ES_tradnl"/>
        </w:rPr>
        <w:t>;</w:t>
      </w:r>
    </w:p>
    <w:p w14:paraId="567DC56D" w14:textId="1F144734" w:rsidR="00AE271F" w:rsidRPr="00B924EB" w:rsidRDefault="00FB4C95" w:rsidP="00142E91">
      <w:pPr>
        <w:pStyle w:val="Heading2"/>
        <w:rPr>
          <w:lang w:val="es-ES_tradnl"/>
        </w:rPr>
      </w:pPr>
      <w:r>
        <w:rPr>
          <w:lang w:val="es-ES_tradnl"/>
        </w:rPr>
        <w:lastRenderedPageBreak/>
        <w:t xml:space="preserve">Reducir </w:t>
      </w:r>
      <w:r w:rsidRPr="00FB4C95">
        <w:rPr>
          <w:lang w:val="es-ES_tradnl"/>
        </w:rPr>
        <w:t>de 300.000 $EUA a 260.000 $EUA</w:t>
      </w:r>
      <w:r w:rsidR="00A13BEA" w:rsidRPr="00B924EB">
        <w:rPr>
          <w:lang w:val="es-ES_tradnl"/>
        </w:rPr>
        <w:t xml:space="preserve"> </w:t>
      </w:r>
      <w:r w:rsidR="000C0253">
        <w:rPr>
          <w:lang w:val="es-ES_tradnl"/>
        </w:rPr>
        <w:t xml:space="preserve">los recursos </w:t>
      </w:r>
      <w:r w:rsidR="00AA0860">
        <w:rPr>
          <w:lang w:val="es-ES_tradnl"/>
        </w:rPr>
        <w:t xml:space="preserve">destinados </w:t>
      </w:r>
      <w:r w:rsidR="008C7ABA">
        <w:rPr>
          <w:lang w:val="es-ES_tradnl"/>
        </w:rPr>
        <w:t>a</w:t>
      </w:r>
      <w:r w:rsidR="005F2465">
        <w:rPr>
          <w:lang w:val="es-ES_tradnl"/>
        </w:rPr>
        <w:t xml:space="preserve"> </w:t>
      </w:r>
      <w:r w:rsidR="008C7ABA">
        <w:rPr>
          <w:lang w:val="es-ES_tradnl"/>
        </w:rPr>
        <w:t xml:space="preserve">dar </w:t>
      </w:r>
      <w:r w:rsidR="00F26C46">
        <w:rPr>
          <w:lang w:val="es-ES_tradnl"/>
        </w:rPr>
        <w:t xml:space="preserve">capacitación </w:t>
      </w:r>
      <w:r w:rsidR="00A31DDE">
        <w:rPr>
          <w:lang w:val="es-ES_tradnl"/>
        </w:rPr>
        <w:t xml:space="preserve">y orientación </w:t>
      </w:r>
      <w:r w:rsidR="00F26C46">
        <w:rPr>
          <w:lang w:val="es-ES_tradnl"/>
        </w:rPr>
        <w:t>técnica</w:t>
      </w:r>
      <w:r w:rsidR="00A13BEA" w:rsidRPr="00B924EB">
        <w:rPr>
          <w:lang w:val="es-ES_tradnl"/>
        </w:rPr>
        <w:t xml:space="preserve"> </w:t>
      </w:r>
      <w:r w:rsidR="00E00A54">
        <w:rPr>
          <w:lang w:val="es-ES_tradnl"/>
        </w:rPr>
        <w:t>a</w:t>
      </w:r>
      <w:r w:rsidR="005226DA">
        <w:rPr>
          <w:lang w:val="es-ES_tradnl"/>
        </w:rPr>
        <w:t xml:space="preserve"> grandes</w:t>
      </w:r>
      <w:r w:rsidR="00E013B4">
        <w:rPr>
          <w:lang w:val="es-ES_tradnl"/>
        </w:rPr>
        <w:t xml:space="preserve"> usuarios</w:t>
      </w:r>
      <w:r w:rsidR="00055F50" w:rsidRPr="00B924EB">
        <w:rPr>
          <w:lang w:val="es-ES_tradnl"/>
        </w:rPr>
        <w:t xml:space="preserve"> finales</w:t>
      </w:r>
      <w:r w:rsidR="00BB7B69" w:rsidRPr="00B924EB">
        <w:rPr>
          <w:lang w:val="es-ES_tradnl"/>
        </w:rPr>
        <w:t>,</w:t>
      </w:r>
      <w:r w:rsidR="00A13BEA" w:rsidRPr="00B924EB">
        <w:rPr>
          <w:lang w:val="es-ES_tradnl"/>
        </w:rPr>
        <w:t xml:space="preserve"> </w:t>
      </w:r>
      <w:r w:rsidR="00EA5AE4">
        <w:rPr>
          <w:lang w:val="es-ES_tradnl"/>
        </w:rPr>
        <w:t>empresas inmobiliarias</w:t>
      </w:r>
      <w:r w:rsidR="00BB7B69" w:rsidRPr="00B924EB">
        <w:rPr>
          <w:lang w:val="es-ES_tradnl"/>
        </w:rPr>
        <w:t>,</w:t>
      </w:r>
      <w:r w:rsidR="00A13BEA" w:rsidRPr="00B924EB">
        <w:rPr>
          <w:lang w:val="es-ES_tradnl"/>
        </w:rPr>
        <w:t xml:space="preserve"> </w:t>
      </w:r>
      <w:r w:rsidR="00452F79" w:rsidRPr="00B924EB">
        <w:rPr>
          <w:lang w:val="es-ES_tradnl"/>
        </w:rPr>
        <w:t>consultores</w:t>
      </w:r>
      <w:r w:rsidR="00A13BEA" w:rsidRPr="00B924EB">
        <w:rPr>
          <w:lang w:val="es-ES_tradnl"/>
        </w:rPr>
        <w:t xml:space="preserve"> </w:t>
      </w:r>
      <w:r w:rsidR="00755C5D" w:rsidRPr="00B924EB">
        <w:rPr>
          <w:lang w:val="es-ES_tradnl"/>
        </w:rPr>
        <w:t>y</w:t>
      </w:r>
      <w:r w:rsidR="00A13BEA" w:rsidRPr="00B924EB">
        <w:rPr>
          <w:lang w:val="es-ES_tradnl"/>
        </w:rPr>
        <w:t xml:space="preserve"> </w:t>
      </w:r>
      <w:r w:rsidR="003B7006">
        <w:rPr>
          <w:lang w:val="es-ES_tradnl"/>
        </w:rPr>
        <w:t xml:space="preserve">autoridades </w:t>
      </w:r>
      <w:r w:rsidR="003B3F02">
        <w:rPr>
          <w:lang w:val="es-ES_tradnl"/>
        </w:rPr>
        <w:t>técnicas de nivel gubernamental</w:t>
      </w:r>
      <w:r w:rsidR="00A13BEA" w:rsidRPr="00B924EB">
        <w:rPr>
          <w:lang w:val="es-ES_tradnl"/>
        </w:rPr>
        <w:t xml:space="preserve"> </w:t>
      </w:r>
      <w:r w:rsidR="00FD2549">
        <w:rPr>
          <w:lang w:val="es-ES_tradnl"/>
        </w:rPr>
        <w:t xml:space="preserve">sobre </w:t>
      </w:r>
      <w:r w:rsidR="00CB72CE" w:rsidRPr="00B924EB">
        <w:rPr>
          <w:lang w:val="es-ES_tradnl"/>
        </w:rPr>
        <w:t>alternativas</w:t>
      </w:r>
      <w:r w:rsidR="00A13BEA" w:rsidRPr="00B924EB">
        <w:rPr>
          <w:lang w:val="es-ES_tradnl"/>
        </w:rPr>
        <w:t xml:space="preserve"> </w:t>
      </w:r>
      <w:r w:rsidR="00CB72CE" w:rsidRPr="00B924EB">
        <w:rPr>
          <w:lang w:val="es-ES_tradnl"/>
        </w:rPr>
        <w:t>de</w:t>
      </w:r>
      <w:r w:rsidR="00A13BEA" w:rsidRPr="00B924EB">
        <w:rPr>
          <w:lang w:val="es-ES_tradnl"/>
        </w:rPr>
        <w:t xml:space="preserve"> </w:t>
      </w:r>
      <w:r w:rsidR="00CB72CE" w:rsidRPr="00B924EB">
        <w:rPr>
          <w:lang w:val="es-ES_tradnl"/>
        </w:rPr>
        <w:t>bajo</w:t>
      </w:r>
      <w:r w:rsidR="00A13BEA" w:rsidRPr="00B924EB">
        <w:rPr>
          <w:lang w:val="es-ES_tradnl"/>
        </w:rPr>
        <w:t xml:space="preserve"> </w:t>
      </w:r>
      <w:r w:rsidR="00CB72CE" w:rsidRPr="00B924EB">
        <w:rPr>
          <w:lang w:val="es-ES_tradnl"/>
        </w:rPr>
        <w:t>PCA</w:t>
      </w:r>
      <w:r w:rsidR="00A13BEA" w:rsidRPr="00B924EB">
        <w:rPr>
          <w:lang w:val="es-ES_tradnl"/>
        </w:rPr>
        <w:t xml:space="preserve"> </w:t>
      </w:r>
      <w:r w:rsidR="00C208E6">
        <w:rPr>
          <w:lang w:val="es-ES_tradnl"/>
        </w:rPr>
        <w:t>a los</w:t>
      </w:r>
      <w:r w:rsidR="00A13BEA" w:rsidRPr="00B924EB">
        <w:rPr>
          <w:lang w:val="es-ES_tradnl"/>
        </w:rPr>
        <w:t xml:space="preserve"> </w:t>
      </w:r>
      <w:r w:rsidR="00E26F0F" w:rsidRPr="00B924EB">
        <w:rPr>
          <w:lang w:val="es-ES_tradnl"/>
        </w:rPr>
        <w:t>HCFC</w:t>
      </w:r>
      <w:r w:rsidR="00BF7A8D" w:rsidRPr="00B924EB">
        <w:rPr>
          <w:lang w:val="es-ES_tradnl"/>
        </w:rPr>
        <w:t>;</w:t>
      </w:r>
      <w:r w:rsidR="00A13BEA" w:rsidRPr="00B924EB">
        <w:rPr>
          <w:lang w:val="es-ES_tradnl"/>
        </w:rPr>
        <w:t xml:space="preserve"> </w:t>
      </w:r>
      <w:r w:rsidR="00755C5D" w:rsidRPr="00B924EB">
        <w:rPr>
          <w:lang w:val="es-ES_tradnl"/>
        </w:rPr>
        <w:t>y</w:t>
      </w:r>
    </w:p>
    <w:p w14:paraId="11BD871D" w14:textId="76CB6D3B" w:rsidR="000521A3" w:rsidRPr="00B924EB" w:rsidRDefault="00CD43FC" w:rsidP="00905050">
      <w:pPr>
        <w:pStyle w:val="Heading2"/>
        <w:rPr>
          <w:lang w:val="es-ES_tradnl"/>
        </w:rPr>
      </w:pPr>
      <w:r>
        <w:rPr>
          <w:lang w:val="es-ES_tradnl"/>
        </w:rPr>
        <w:t xml:space="preserve">Racionalizar </w:t>
      </w:r>
      <w:r w:rsidR="00871922">
        <w:rPr>
          <w:lang w:val="es-ES_tradnl"/>
        </w:rPr>
        <w:t xml:space="preserve">los </w:t>
      </w:r>
      <w:r w:rsidR="00755C5D" w:rsidRPr="00B924EB">
        <w:rPr>
          <w:lang w:val="es-ES_tradnl"/>
        </w:rPr>
        <w:t>costo</w:t>
      </w:r>
      <w:r w:rsidR="00871922">
        <w:rPr>
          <w:lang w:val="es-ES_tradnl"/>
        </w:rPr>
        <w:t>s</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0260F1">
        <w:rPr>
          <w:lang w:val="es-ES_tradnl"/>
        </w:rPr>
        <w:t>supervisión del proyecto</w:t>
      </w:r>
      <w:r w:rsidR="00A13BEA" w:rsidRPr="00B924EB">
        <w:rPr>
          <w:lang w:val="es-ES_tradnl"/>
        </w:rPr>
        <w:t xml:space="preserve"> </w:t>
      </w:r>
      <w:r w:rsidR="00954E16">
        <w:rPr>
          <w:lang w:val="es-ES_tradnl"/>
        </w:rPr>
        <w:t xml:space="preserve">a </w:t>
      </w:r>
      <w:r w:rsidR="00B556B1" w:rsidRPr="00B924EB">
        <w:rPr>
          <w:lang w:val="es-ES_tradnl"/>
        </w:rPr>
        <w:t>20</w:t>
      </w:r>
      <w:r w:rsidR="00755C5D" w:rsidRPr="00B924EB">
        <w:rPr>
          <w:lang w:val="es-ES_tradnl"/>
        </w:rPr>
        <w:t>0.</w:t>
      </w:r>
      <w:r w:rsidR="00AE271F" w:rsidRPr="00B924EB">
        <w:rPr>
          <w:lang w:val="es-ES_tradnl"/>
        </w:rPr>
        <w:t>000</w:t>
      </w:r>
      <w:r w:rsidR="00A13BEA" w:rsidRPr="00B924EB">
        <w:rPr>
          <w:lang w:val="es-ES_tradnl"/>
        </w:rPr>
        <w:t xml:space="preserve"> </w:t>
      </w:r>
      <w:r w:rsidR="009574DB" w:rsidRPr="009574DB">
        <w:rPr>
          <w:lang w:val="es-ES_tradnl"/>
        </w:rPr>
        <w:t xml:space="preserve">$EUA </w:t>
      </w:r>
      <w:r w:rsidR="00BB7B69" w:rsidRPr="00B924EB">
        <w:rPr>
          <w:lang w:val="es-ES_tradnl"/>
        </w:rPr>
        <w:t>(4</w:t>
      </w:r>
      <w:r w:rsidR="00755C5D" w:rsidRPr="00B924EB">
        <w:rPr>
          <w:lang w:val="es-ES_tradnl"/>
        </w:rPr>
        <w:t>0.</w:t>
      </w:r>
      <w:r w:rsidR="00BB7B69" w:rsidRPr="00B924EB">
        <w:rPr>
          <w:lang w:val="es-ES_tradnl"/>
        </w:rPr>
        <w:t>000</w:t>
      </w:r>
      <w:r w:rsidR="00A13BEA" w:rsidRPr="00B924EB">
        <w:rPr>
          <w:lang w:val="es-ES_tradnl"/>
        </w:rPr>
        <w:t xml:space="preserve"> </w:t>
      </w:r>
      <w:r w:rsidR="00554862">
        <w:rPr>
          <w:lang w:val="es-ES_tradnl"/>
        </w:rPr>
        <w:t>$EUA al año</w:t>
      </w:r>
      <w:r w:rsidR="00BB7B69" w:rsidRPr="00B924EB">
        <w:rPr>
          <w:lang w:val="es-ES_tradnl"/>
        </w:rPr>
        <w:t>)</w:t>
      </w:r>
      <w:r w:rsidR="004270D8">
        <w:rPr>
          <w:lang w:val="es-ES_tradnl"/>
        </w:rPr>
        <w:t xml:space="preserve">, eliminando </w:t>
      </w:r>
      <w:r w:rsidR="00F65141">
        <w:rPr>
          <w:lang w:val="es-ES_tradnl"/>
        </w:rPr>
        <w:t xml:space="preserve">los </w:t>
      </w:r>
      <w:r w:rsidR="004B0CA3" w:rsidRPr="00B924EB">
        <w:rPr>
          <w:lang w:val="es-ES_tradnl"/>
        </w:rPr>
        <w:t>costos</w:t>
      </w:r>
      <w:r w:rsidR="00A13BEA" w:rsidRPr="00B924EB">
        <w:rPr>
          <w:lang w:val="es-ES_tradnl"/>
        </w:rPr>
        <w:t xml:space="preserve"> </w:t>
      </w:r>
      <w:r w:rsidR="006060B1">
        <w:rPr>
          <w:lang w:val="es-ES_tradnl"/>
        </w:rPr>
        <w:t xml:space="preserve">de </w:t>
      </w:r>
      <w:r w:rsidR="001A1006" w:rsidRPr="00B924EB">
        <w:rPr>
          <w:lang w:val="es-ES_tradnl"/>
        </w:rPr>
        <w:t>supervisión</w:t>
      </w:r>
      <w:r w:rsidR="00A13BEA" w:rsidRPr="00B924EB">
        <w:rPr>
          <w:lang w:val="es-ES_tradnl"/>
        </w:rPr>
        <w:t xml:space="preserve"> </w:t>
      </w:r>
      <w:r w:rsidR="006060B1">
        <w:rPr>
          <w:lang w:val="es-ES_tradnl"/>
        </w:rPr>
        <w:t xml:space="preserve">a cargo </w:t>
      </w:r>
      <w:r w:rsidR="002F37E8">
        <w:rPr>
          <w:lang w:val="es-ES_tradnl"/>
        </w:rPr>
        <w:t>d</w:t>
      </w:r>
      <w:r w:rsidR="00363607" w:rsidRPr="00B924EB">
        <w:rPr>
          <w:lang w:val="es-ES_tradnl"/>
        </w:rPr>
        <w:t>el</w:t>
      </w:r>
      <w:r w:rsidR="00A13BEA" w:rsidRPr="00B924EB">
        <w:rPr>
          <w:lang w:val="es-ES_tradnl"/>
        </w:rPr>
        <w:t xml:space="preserve"> </w:t>
      </w:r>
      <w:r w:rsidR="00755C5D" w:rsidRPr="00B924EB">
        <w:rPr>
          <w:lang w:val="es-ES_tradnl"/>
        </w:rPr>
        <w:t>PNUMA</w:t>
      </w:r>
      <w:r w:rsidR="00AE271F" w:rsidRPr="00B924EB">
        <w:rPr>
          <w:lang w:val="es-ES_tradnl"/>
        </w:rPr>
        <w:t>.</w:t>
      </w:r>
      <w:r w:rsidR="00A13BEA" w:rsidRPr="00B924EB">
        <w:rPr>
          <w:lang w:val="es-ES_tradnl"/>
        </w:rPr>
        <w:t xml:space="preserve"> </w:t>
      </w:r>
      <w:r w:rsidR="000260F1">
        <w:rPr>
          <w:lang w:val="es-ES_tradnl"/>
        </w:rPr>
        <w:t>La</w:t>
      </w:r>
      <w:r w:rsidR="00A13BEA" w:rsidRPr="00B924EB">
        <w:rPr>
          <w:lang w:val="es-ES_tradnl"/>
        </w:rPr>
        <w:t xml:space="preserve"> </w:t>
      </w:r>
      <w:r w:rsidR="00D01DC2" w:rsidRPr="00B924EB">
        <w:rPr>
          <w:lang w:val="es-ES_tradnl"/>
        </w:rPr>
        <w:t>estructura</w:t>
      </w:r>
      <w:r w:rsidR="00A13BEA" w:rsidRPr="00B924EB">
        <w:rPr>
          <w:lang w:val="es-ES_tradnl"/>
        </w:rPr>
        <w:t xml:space="preserve"> </w:t>
      </w:r>
      <w:r w:rsidR="000260F1">
        <w:rPr>
          <w:lang w:val="es-ES_tradnl"/>
        </w:rPr>
        <w:t xml:space="preserve">de supervisión </w:t>
      </w:r>
      <w:r w:rsidR="008D01A7">
        <w:rPr>
          <w:lang w:val="es-ES_tradnl"/>
        </w:rPr>
        <w:t xml:space="preserve">consistirá en un </w:t>
      </w:r>
      <w:r w:rsidR="00F65977" w:rsidRPr="00B924EB">
        <w:rPr>
          <w:lang w:val="es-ES_tradnl"/>
        </w:rPr>
        <w:t>co</w:t>
      </w:r>
      <w:r w:rsidR="00BB7B69" w:rsidRPr="00B924EB">
        <w:rPr>
          <w:lang w:val="es-ES_tradnl"/>
        </w:rPr>
        <w:t>or</w:t>
      </w:r>
      <w:r w:rsidR="00017515">
        <w:rPr>
          <w:lang w:val="es-ES_tradnl"/>
        </w:rPr>
        <w:t>dinad</w:t>
      </w:r>
      <w:r w:rsidR="00461BE9" w:rsidRPr="00B924EB">
        <w:rPr>
          <w:lang w:val="es-ES_tradnl"/>
        </w:rPr>
        <w:t>or</w:t>
      </w:r>
      <w:r w:rsidR="00A13BEA" w:rsidRPr="00B924EB">
        <w:rPr>
          <w:lang w:val="es-ES_tradnl"/>
        </w:rPr>
        <w:t xml:space="preserve"> </w:t>
      </w:r>
      <w:r w:rsidR="00BF5EC6" w:rsidRPr="00BF5EC6">
        <w:rPr>
          <w:lang w:val="es-ES_tradnl"/>
        </w:rPr>
        <w:t xml:space="preserve">adscrito </w:t>
      </w:r>
      <w:r w:rsidR="00E74272" w:rsidRPr="00B924EB">
        <w:rPr>
          <w:lang w:val="es-ES_tradnl"/>
        </w:rPr>
        <w:t>a</w:t>
      </w:r>
      <w:r w:rsidR="00A13BEA" w:rsidRPr="00B924EB">
        <w:rPr>
          <w:lang w:val="es-ES_tradnl"/>
        </w:rPr>
        <w:t xml:space="preserve"> </w:t>
      </w:r>
      <w:r w:rsidR="00E74272" w:rsidRPr="00B924EB">
        <w:rPr>
          <w:lang w:val="es-ES_tradnl"/>
        </w:rPr>
        <w:t>la</w:t>
      </w:r>
      <w:r w:rsidR="00A13BEA" w:rsidRPr="00B924EB">
        <w:rPr>
          <w:lang w:val="es-ES_tradnl"/>
        </w:rPr>
        <w:t xml:space="preserve"> </w:t>
      </w:r>
      <w:r w:rsidR="000521A3" w:rsidRPr="00B924EB">
        <w:rPr>
          <w:lang w:val="es-ES_tradnl"/>
        </w:rPr>
        <w:t>ONO</w:t>
      </w:r>
      <w:r w:rsidR="00461BE9" w:rsidRPr="00B924EB">
        <w:rPr>
          <w:lang w:val="es-ES_tradnl"/>
        </w:rPr>
        <w:t>,</w:t>
      </w:r>
      <w:r w:rsidR="00A13BEA" w:rsidRPr="00B924EB">
        <w:rPr>
          <w:lang w:val="es-ES_tradnl"/>
        </w:rPr>
        <w:t xml:space="preserve"> </w:t>
      </w:r>
      <w:r w:rsidR="00C242BF">
        <w:rPr>
          <w:lang w:val="es-ES_tradnl"/>
        </w:rPr>
        <w:t>un</w:t>
      </w:r>
      <w:r w:rsidR="00A13BEA" w:rsidRPr="00B924EB">
        <w:rPr>
          <w:lang w:val="es-ES_tradnl"/>
        </w:rPr>
        <w:t xml:space="preserve"> </w:t>
      </w:r>
      <w:r w:rsidR="00B3439D">
        <w:rPr>
          <w:lang w:val="es-ES_tradnl"/>
        </w:rPr>
        <w:t xml:space="preserve">funcionario </w:t>
      </w:r>
      <w:r w:rsidR="00A13BEA" w:rsidRPr="00B924EB">
        <w:rPr>
          <w:lang w:val="es-ES_tradnl"/>
        </w:rPr>
        <w:t xml:space="preserve">adicional </w:t>
      </w:r>
      <w:r w:rsidR="00F65977" w:rsidRPr="00B924EB">
        <w:rPr>
          <w:lang w:val="es-ES_tradnl"/>
        </w:rPr>
        <w:t>(</w:t>
      </w:r>
      <w:r w:rsidR="00BB7B69" w:rsidRPr="00B924EB">
        <w:rPr>
          <w:lang w:val="es-ES_tradnl"/>
        </w:rPr>
        <w:t>3</w:t>
      </w:r>
      <w:r w:rsidR="009374DA" w:rsidRPr="00B924EB">
        <w:rPr>
          <w:lang w:val="es-ES_tradnl"/>
        </w:rPr>
        <w:t>7.</w:t>
      </w:r>
      <w:r w:rsidR="00BB7B69" w:rsidRPr="00B924EB">
        <w:rPr>
          <w:lang w:val="es-ES_tradnl"/>
        </w:rPr>
        <w:t>200</w:t>
      </w:r>
      <w:r w:rsidR="00A13BEA" w:rsidRPr="00B924EB">
        <w:rPr>
          <w:lang w:val="es-ES_tradnl"/>
        </w:rPr>
        <w:t xml:space="preserve"> </w:t>
      </w:r>
      <w:r w:rsidR="00554862">
        <w:rPr>
          <w:lang w:val="es-ES_tradnl"/>
        </w:rPr>
        <w:t>$EUA al año</w:t>
      </w:r>
      <w:r w:rsidR="00BB7B69" w:rsidRPr="00B924EB">
        <w:rPr>
          <w:lang w:val="es-ES_tradnl"/>
        </w:rPr>
        <w:t>)</w:t>
      </w:r>
      <w:r w:rsidR="00A13BEA" w:rsidRPr="00B924EB">
        <w:rPr>
          <w:lang w:val="es-ES_tradnl"/>
        </w:rPr>
        <w:t xml:space="preserve"> </w:t>
      </w:r>
      <w:r w:rsidR="00755C5D" w:rsidRPr="00B924EB">
        <w:rPr>
          <w:lang w:val="es-ES_tradnl"/>
        </w:rPr>
        <w:t>y</w:t>
      </w:r>
      <w:r w:rsidR="00A13BEA" w:rsidRPr="00B924EB">
        <w:rPr>
          <w:lang w:val="es-ES_tradnl"/>
        </w:rPr>
        <w:t xml:space="preserve"> </w:t>
      </w:r>
      <w:r w:rsidR="002428F3">
        <w:rPr>
          <w:lang w:val="es-ES_tradnl"/>
        </w:rPr>
        <w:t>un</w:t>
      </w:r>
      <w:r w:rsidR="00F65977" w:rsidRPr="00B924EB">
        <w:rPr>
          <w:lang w:val="es-ES_tradnl"/>
        </w:rPr>
        <w:t>a</w:t>
      </w:r>
      <w:r w:rsidR="00A13BEA" w:rsidRPr="00B924EB">
        <w:rPr>
          <w:lang w:val="es-ES_tradnl"/>
        </w:rPr>
        <w:t xml:space="preserve"> </w:t>
      </w:r>
      <w:r w:rsidR="00D01DC2" w:rsidRPr="00B924EB">
        <w:rPr>
          <w:lang w:val="es-ES_tradnl"/>
        </w:rPr>
        <w:t>partida</w:t>
      </w:r>
      <w:r w:rsidR="00A13BEA" w:rsidRPr="00B924EB">
        <w:rPr>
          <w:lang w:val="es-ES_tradnl"/>
        </w:rPr>
        <w:t xml:space="preserve"> </w:t>
      </w:r>
      <w:r w:rsidR="00D01DC2" w:rsidRPr="00B924EB">
        <w:rPr>
          <w:lang w:val="es-ES_tradnl"/>
        </w:rPr>
        <w:t>presupuestaria</w:t>
      </w:r>
      <w:r w:rsidR="00A13BEA" w:rsidRPr="00B924EB">
        <w:rPr>
          <w:lang w:val="es-ES_tradnl"/>
        </w:rPr>
        <w:t xml:space="preserve"> </w:t>
      </w:r>
      <w:r w:rsidR="00BF5794">
        <w:rPr>
          <w:lang w:val="es-ES_tradnl"/>
        </w:rPr>
        <w:t xml:space="preserve">para </w:t>
      </w:r>
      <w:r w:rsidR="00A13BEA" w:rsidRPr="00B924EB">
        <w:rPr>
          <w:lang w:val="es-ES_tradnl"/>
        </w:rPr>
        <w:t xml:space="preserve">operaciones </w:t>
      </w:r>
      <w:r w:rsidR="00755C5D" w:rsidRPr="00B924EB">
        <w:rPr>
          <w:lang w:val="es-ES_tradnl"/>
        </w:rPr>
        <w:t>y</w:t>
      </w:r>
      <w:r w:rsidR="00A13BEA" w:rsidRPr="00B924EB">
        <w:rPr>
          <w:lang w:val="es-ES_tradnl"/>
        </w:rPr>
        <w:t xml:space="preserve"> </w:t>
      </w:r>
      <w:r w:rsidR="009374DA" w:rsidRPr="00B924EB">
        <w:rPr>
          <w:lang w:val="es-ES_tradnl"/>
        </w:rPr>
        <w:t>reuniones</w:t>
      </w:r>
      <w:r w:rsidR="00A13BEA" w:rsidRPr="00B924EB">
        <w:rPr>
          <w:lang w:val="es-ES_tradnl"/>
        </w:rPr>
        <w:t xml:space="preserve"> </w:t>
      </w:r>
      <w:r w:rsidR="00F65977" w:rsidRPr="00B924EB">
        <w:rPr>
          <w:lang w:val="es-ES_tradnl"/>
        </w:rPr>
        <w:t>(</w:t>
      </w:r>
      <w:r w:rsidR="00755C5D" w:rsidRPr="00B924EB">
        <w:rPr>
          <w:lang w:val="es-ES_tradnl"/>
        </w:rPr>
        <w:t>2.</w:t>
      </w:r>
      <w:r w:rsidR="00BB7B69" w:rsidRPr="00B924EB">
        <w:rPr>
          <w:lang w:val="es-ES_tradnl"/>
        </w:rPr>
        <w:t>800</w:t>
      </w:r>
      <w:r w:rsidR="00A13BEA" w:rsidRPr="00B924EB">
        <w:rPr>
          <w:lang w:val="es-ES_tradnl"/>
        </w:rPr>
        <w:t xml:space="preserve"> </w:t>
      </w:r>
      <w:r w:rsidR="00554862">
        <w:rPr>
          <w:lang w:val="es-ES_tradnl"/>
        </w:rPr>
        <w:t>$EUA al año</w:t>
      </w:r>
      <w:r w:rsidR="00F65977" w:rsidRPr="00B924EB">
        <w:rPr>
          <w:lang w:val="es-ES_tradnl"/>
        </w:rPr>
        <w:t>).</w:t>
      </w:r>
    </w:p>
    <w:p w14:paraId="0AD147A7" w14:textId="441D9AF1" w:rsidR="000521A3" w:rsidRPr="00B924EB" w:rsidRDefault="001E53AD" w:rsidP="00905050">
      <w:pPr>
        <w:pStyle w:val="Heading1"/>
        <w:rPr>
          <w:lang w:val="es-ES_tradnl"/>
        </w:rPr>
      </w:pPr>
      <w:r>
        <w:rPr>
          <w:lang w:val="es-ES_tradnl"/>
        </w:rPr>
        <w:t xml:space="preserve">El </w:t>
      </w:r>
      <w:r w:rsidR="006D27EB" w:rsidRPr="006D27EB">
        <w:rPr>
          <w:lang w:val="es-ES_tradnl"/>
        </w:rPr>
        <w:t>Cuadro 6</w:t>
      </w:r>
      <w:r w:rsidR="006D27EB">
        <w:rPr>
          <w:lang w:val="es-ES_tradnl"/>
        </w:rPr>
        <w:t xml:space="preserve"> muestra </w:t>
      </w:r>
      <w:r w:rsidR="00253F90">
        <w:rPr>
          <w:lang w:val="es-ES_tradnl"/>
        </w:rPr>
        <w:t xml:space="preserve">los </w:t>
      </w:r>
      <w:r>
        <w:rPr>
          <w:lang w:val="es-ES_tradnl"/>
        </w:rPr>
        <w:t>costo</w:t>
      </w:r>
      <w:r w:rsidR="00253F90">
        <w:rPr>
          <w:lang w:val="es-ES_tradnl"/>
        </w:rPr>
        <w:t>s</w:t>
      </w:r>
      <w:r w:rsidR="00464AE3">
        <w:rPr>
          <w:lang w:val="es-ES_tradnl"/>
        </w:rPr>
        <w:t xml:space="preserve"> total</w:t>
      </w:r>
      <w:r w:rsidR="00253F90">
        <w:rPr>
          <w:lang w:val="es-ES_tradnl"/>
        </w:rPr>
        <w:t>es</w:t>
      </w:r>
      <w:r w:rsidR="00A13BEA" w:rsidRPr="00B924EB">
        <w:rPr>
          <w:lang w:val="es-ES_tradnl"/>
        </w:rPr>
        <w:t xml:space="preserve"> </w:t>
      </w:r>
      <w:r w:rsidR="003208A7" w:rsidRPr="00B924EB">
        <w:rPr>
          <w:lang w:val="es-ES_tradnl"/>
        </w:rPr>
        <w:t>convenido</w:t>
      </w:r>
      <w:r w:rsidR="00253F90">
        <w:rPr>
          <w:lang w:val="es-ES_tradnl"/>
        </w:rPr>
        <w:t>s</w:t>
      </w:r>
      <w:r w:rsidR="00F65977" w:rsidRPr="00B924EB">
        <w:rPr>
          <w:lang w:val="es-ES_tradnl"/>
        </w:rPr>
        <w:t>.</w:t>
      </w:r>
    </w:p>
    <w:p w14:paraId="0BD90CB6" w14:textId="32B993A1" w:rsidR="00F65977" w:rsidRPr="00B924EB" w:rsidRDefault="00755C5D" w:rsidP="00461BE9">
      <w:pPr>
        <w:keepNext/>
        <w:rPr>
          <w:b/>
          <w:lang w:val="es-ES_tradnl"/>
        </w:rPr>
      </w:pPr>
      <w:r w:rsidRPr="00B924EB">
        <w:rPr>
          <w:b/>
          <w:lang w:val="es-ES_tradnl"/>
        </w:rPr>
        <w:t>Cuadro</w:t>
      </w:r>
      <w:r w:rsidR="00A13BEA" w:rsidRPr="00B924EB">
        <w:rPr>
          <w:b/>
          <w:lang w:val="es-ES_tradnl"/>
        </w:rPr>
        <w:t xml:space="preserve"> </w:t>
      </w:r>
      <w:r w:rsidR="00AB1AF2" w:rsidRPr="00B924EB">
        <w:rPr>
          <w:b/>
          <w:lang w:val="es-ES_tradnl"/>
        </w:rPr>
        <w:t>6</w:t>
      </w:r>
      <w:r w:rsidR="00F65977" w:rsidRPr="00B924EB">
        <w:rPr>
          <w:b/>
          <w:lang w:val="es-ES_tradnl"/>
        </w:rPr>
        <w:t>.</w:t>
      </w:r>
      <w:r w:rsidR="00A13BEA" w:rsidRPr="00B924EB">
        <w:rPr>
          <w:b/>
          <w:lang w:val="es-ES_tradnl"/>
        </w:rPr>
        <w:t xml:space="preserve"> </w:t>
      </w:r>
      <w:r w:rsidR="00A61DB3">
        <w:rPr>
          <w:b/>
          <w:lang w:val="es-ES_tradnl"/>
        </w:rPr>
        <w:t>Costos acordados para la etapa</w:t>
      </w:r>
      <w:r w:rsidR="00A13BEA" w:rsidRPr="00B924EB">
        <w:rPr>
          <w:b/>
          <w:lang w:val="es-ES_tradnl"/>
        </w:rPr>
        <w:t xml:space="preserve"> </w:t>
      </w:r>
      <w:r w:rsidR="003208A7" w:rsidRPr="00B924EB">
        <w:rPr>
          <w:b/>
          <w:lang w:val="es-ES_tradnl"/>
        </w:rPr>
        <w:t>I</w:t>
      </w:r>
      <w:r w:rsidR="00F65977" w:rsidRPr="00B924EB">
        <w:rPr>
          <w:b/>
          <w:lang w:val="es-ES_tradnl"/>
        </w:rPr>
        <w:t>I</w:t>
      </w:r>
      <w:r w:rsidR="00A13BEA" w:rsidRPr="00B924EB">
        <w:rPr>
          <w:b/>
          <w:lang w:val="es-ES_tradnl"/>
        </w:rPr>
        <w:t xml:space="preserve"> </w:t>
      </w:r>
      <w:r w:rsidRPr="00B924EB">
        <w:rPr>
          <w:b/>
          <w:lang w:val="es-ES_tradnl"/>
        </w:rPr>
        <w:t>d</w:t>
      </w:r>
      <w:r w:rsidR="00DB3D7B" w:rsidRPr="00B924EB">
        <w:rPr>
          <w:b/>
          <w:lang w:val="es-ES_tradnl"/>
        </w:rPr>
        <w:t>el</w:t>
      </w:r>
      <w:r w:rsidR="00A13BEA" w:rsidRPr="00B924EB">
        <w:rPr>
          <w:b/>
          <w:lang w:val="es-ES_tradnl"/>
        </w:rPr>
        <w:t xml:space="preserve"> </w:t>
      </w:r>
      <w:r w:rsidR="00DB3D7B" w:rsidRPr="00B924EB">
        <w:rPr>
          <w:b/>
          <w:lang w:val="es-ES_tradnl"/>
        </w:rPr>
        <w:t>PGEH</w:t>
      </w:r>
      <w:r w:rsidR="00A13BEA" w:rsidRPr="00B924EB">
        <w:rPr>
          <w:b/>
          <w:lang w:val="es-ES_tradnl"/>
        </w:rPr>
        <w:t xml:space="preserve"> </w:t>
      </w:r>
      <w:r w:rsidR="00DB3D7B" w:rsidRPr="00B924EB">
        <w:rPr>
          <w:b/>
          <w:lang w:val="es-ES_tradnl"/>
        </w:rPr>
        <w:t>para</w:t>
      </w:r>
      <w:r w:rsidR="00A13BEA" w:rsidRPr="00B924EB">
        <w:rPr>
          <w:b/>
          <w:lang w:val="es-ES_tradnl"/>
        </w:rPr>
        <w:t xml:space="preserve"> </w:t>
      </w:r>
      <w:r w:rsidR="00F65977" w:rsidRPr="00B924EB">
        <w:rPr>
          <w:b/>
          <w:lang w:val="es-ES_tradnl"/>
        </w:rPr>
        <w:t>Iraq</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5"/>
        <w:gridCol w:w="1245"/>
        <w:gridCol w:w="1247"/>
        <w:gridCol w:w="1082"/>
      </w:tblGrid>
      <w:tr w:rsidR="00F65977" w:rsidRPr="00B924EB" w14:paraId="3DE6F873" w14:textId="77777777" w:rsidTr="00C30014">
        <w:trPr>
          <w:trHeight w:val="251"/>
          <w:tblHeader/>
        </w:trPr>
        <w:tc>
          <w:tcPr>
            <w:tcW w:w="3091" w:type="pct"/>
            <w:shd w:val="clear" w:color="auto" w:fill="auto"/>
            <w:vAlign w:val="center"/>
            <w:hideMark/>
          </w:tcPr>
          <w:p w14:paraId="20C95838" w14:textId="59BC02D9" w:rsidR="00F65977" w:rsidRPr="00B924EB" w:rsidRDefault="009374DA" w:rsidP="00461BE9">
            <w:pPr>
              <w:keepNext/>
              <w:jc w:val="center"/>
              <w:rPr>
                <w:b/>
                <w:bCs/>
                <w:color w:val="000000"/>
                <w:sz w:val="20"/>
                <w:szCs w:val="20"/>
                <w:lang w:val="es-ES_tradnl" w:eastAsia="zh-CN"/>
              </w:rPr>
            </w:pPr>
            <w:r w:rsidRPr="00B924EB">
              <w:rPr>
                <w:b/>
                <w:bCs/>
                <w:color w:val="000000"/>
                <w:sz w:val="20"/>
                <w:szCs w:val="20"/>
                <w:lang w:val="es-ES_tradnl" w:eastAsia="zh-CN"/>
              </w:rPr>
              <w:t>Componente</w:t>
            </w:r>
            <w:r w:rsidR="00A13BEA" w:rsidRPr="00B924EB">
              <w:rPr>
                <w:b/>
                <w:bCs/>
                <w:color w:val="000000"/>
                <w:sz w:val="20"/>
                <w:szCs w:val="20"/>
                <w:lang w:val="es-ES_tradnl" w:eastAsia="zh-CN"/>
              </w:rPr>
              <w:t xml:space="preserve"> </w:t>
            </w:r>
            <w:r w:rsidR="00755C5D" w:rsidRPr="00B924EB">
              <w:rPr>
                <w:b/>
                <w:bCs/>
                <w:color w:val="000000"/>
                <w:sz w:val="20"/>
                <w:szCs w:val="20"/>
                <w:lang w:val="es-ES_tradnl" w:eastAsia="zh-CN"/>
              </w:rPr>
              <w:t>y</w:t>
            </w:r>
            <w:r w:rsidR="00A13BEA" w:rsidRPr="00B924EB">
              <w:rPr>
                <w:b/>
                <w:bCs/>
                <w:color w:val="000000"/>
                <w:sz w:val="20"/>
                <w:szCs w:val="20"/>
                <w:lang w:val="es-ES_tradnl" w:eastAsia="zh-CN"/>
              </w:rPr>
              <w:t xml:space="preserve"> </w:t>
            </w:r>
            <w:r w:rsidR="00452F79" w:rsidRPr="00B924EB">
              <w:rPr>
                <w:b/>
                <w:bCs/>
                <w:color w:val="000000"/>
                <w:sz w:val="20"/>
                <w:szCs w:val="20"/>
                <w:lang w:val="es-ES_tradnl" w:eastAsia="zh-CN"/>
              </w:rPr>
              <w:t>actividad</w:t>
            </w:r>
          </w:p>
        </w:tc>
        <w:tc>
          <w:tcPr>
            <w:tcW w:w="665" w:type="pct"/>
          </w:tcPr>
          <w:p w14:paraId="674A155D" w14:textId="0E417F9C" w:rsidR="00F65977" w:rsidRPr="00B924EB" w:rsidRDefault="00755C5D" w:rsidP="00461BE9">
            <w:pPr>
              <w:keepNext/>
              <w:jc w:val="center"/>
              <w:rPr>
                <w:b/>
                <w:bCs/>
                <w:color w:val="000000"/>
                <w:sz w:val="20"/>
                <w:szCs w:val="20"/>
                <w:lang w:val="es-ES_tradnl" w:eastAsia="zh-CN"/>
              </w:rPr>
            </w:pPr>
            <w:r w:rsidRPr="00B924EB">
              <w:rPr>
                <w:b/>
                <w:bCs/>
                <w:color w:val="000000"/>
                <w:sz w:val="20"/>
                <w:szCs w:val="20"/>
                <w:lang w:val="es-ES_tradnl" w:eastAsia="zh-CN"/>
              </w:rPr>
              <w:t>Organismo</w:t>
            </w:r>
          </w:p>
        </w:tc>
        <w:tc>
          <w:tcPr>
            <w:tcW w:w="666" w:type="pct"/>
            <w:shd w:val="clear" w:color="auto" w:fill="auto"/>
            <w:vAlign w:val="center"/>
            <w:hideMark/>
          </w:tcPr>
          <w:p w14:paraId="20227365" w14:textId="070DA366" w:rsidR="00F65977" w:rsidRPr="00B924EB" w:rsidRDefault="0074634C" w:rsidP="00461BE9">
            <w:pPr>
              <w:keepNext/>
              <w:jc w:val="center"/>
              <w:rPr>
                <w:b/>
                <w:bCs/>
                <w:color w:val="000000"/>
                <w:sz w:val="20"/>
                <w:szCs w:val="20"/>
                <w:lang w:val="es-ES_tradnl" w:eastAsia="zh-CN"/>
              </w:rPr>
            </w:pPr>
            <w:r>
              <w:rPr>
                <w:b/>
                <w:bCs/>
                <w:color w:val="000000"/>
                <w:sz w:val="20"/>
                <w:szCs w:val="20"/>
                <w:lang w:val="es-ES_tradnl" w:eastAsia="zh-CN"/>
              </w:rPr>
              <w:t>Solicitado</w:t>
            </w:r>
            <w:r w:rsidR="00A13BEA" w:rsidRPr="00B924EB">
              <w:rPr>
                <w:b/>
                <w:bCs/>
                <w:color w:val="000000"/>
                <w:sz w:val="20"/>
                <w:szCs w:val="20"/>
                <w:lang w:val="es-ES_tradnl" w:eastAsia="zh-CN"/>
              </w:rPr>
              <w:t xml:space="preserve"> </w:t>
            </w:r>
            <w:r w:rsidR="00E26F0F" w:rsidRPr="00B924EB">
              <w:rPr>
                <w:b/>
                <w:bCs/>
                <w:color w:val="000000"/>
                <w:sz w:val="20"/>
                <w:szCs w:val="20"/>
                <w:lang w:val="es-ES_tradnl" w:eastAsia="zh-CN"/>
              </w:rPr>
              <w:t>($EUA)</w:t>
            </w:r>
          </w:p>
        </w:tc>
        <w:tc>
          <w:tcPr>
            <w:tcW w:w="578" w:type="pct"/>
          </w:tcPr>
          <w:p w14:paraId="0D20C9B6" w14:textId="47B6C7C6" w:rsidR="00F65977" w:rsidRPr="00B924EB" w:rsidRDefault="00F65977" w:rsidP="005F4BCE">
            <w:pPr>
              <w:keepNext/>
              <w:jc w:val="center"/>
              <w:rPr>
                <w:b/>
                <w:bCs/>
                <w:color w:val="000000"/>
                <w:sz w:val="20"/>
                <w:szCs w:val="20"/>
                <w:lang w:val="es-ES_tradnl" w:eastAsia="zh-CN"/>
              </w:rPr>
            </w:pPr>
            <w:r w:rsidRPr="00B924EB">
              <w:rPr>
                <w:b/>
                <w:bCs/>
                <w:color w:val="000000"/>
                <w:sz w:val="20"/>
                <w:szCs w:val="20"/>
                <w:lang w:val="es-ES_tradnl" w:eastAsia="zh-CN"/>
              </w:rPr>
              <w:t>A</w:t>
            </w:r>
            <w:r w:rsidR="005F4BCE">
              <w:rPr>
                <w:b/>
                <w:bCs/>
                <w:color w:val="000000"/>
                <w:sz w:val="20"/>
                <w:szCs w:val="20"/>
                <w:lang w:val="es-ES_tradnl" w:eastAsia="zh-CN"/>
              </w:rPr>
              <w:t>cordado</w:t>
            </w:r>
            <w:r w:rsidR="00A13BEA" w:rsidRPr="00B924EB">
              <w:rPr>
                <w:b/>
                <w:bCs/>
                <w:color w:val="000000"/>
                <w:sz w:val="20"/>
                <w:szCs w:val="20"/>
                <w:lang w:val="es-ES_tradnl" w:eastAsia="zh-CN"/>
              </w:rPr>
              <w:t xml:space="preserve"> </w:t>
            </w:r>
            <w:r w:rsidR="00E26F0F" w:rsidRPr="00B924EB">
              <w:rPr>
                <w:b/>
                <w:bCs/>
                <w:color w:val="000000"/>
                <w:sz w:val="20"/>
                <w:szCs w:val="20"/>
                <w:lang w:val="es-ES_tradnl" w:eastAsia="zh-CN"/>
              </w:rPr>
              <w:t>($EUA)</w:t>
            </w:r>
          </w:p>
        </w:tc>
      </w:tr>
      <w:tr w:rsidR="00F65977" w:rsidRPr="00B924EB" w14:paraId="41BBD978" w14:textId="77777777" w:rsidTr="00C30014">
        <w:tc>
          <w:tcPr>
            <w:tcW w:w="3091" w:type="pct"/>
            <w:shd w:val="clear" w:color="auto" w:fill="auto"/>
            <w:noWrap/>
          </w:tcPr>
          <w:p w14:paraId="60D6297E" w14:textId="6BACEBE9" w:rsidR="00F65977" w:rsidRPr="00B924EB" w:rsidRDefault="00F61BD7" w:rsidP="00811CA3">
            <w:pPr>
              <w:jc w:val="left"/>
              <w:rPr>
                <w:color w:val="000000"/>
                <w:sz w:val="20"/>
                <w:szCs w:val="20"/>
                <w:lang w:val="es-ES_tradnl" w:eastAsia="zh-CN"/>
              </w:rPr>
            </w:pPr>
            <w:r>
              <w:rPr>
                <w:sz w:val="20"/>
                <w:szCs w:val="20"/>
                <w:lang w:val="es-ES_tradnl"/>
              </w:rPr>
              <w:t xml:space="preserve">Fiscalización de </w:t>
            </w:r>
            <w:r w:rsidR="00E27D0D">
              <w:rPr>
                <w:sz w:val="20"/>
                <w:szCs w:val="20"/>
                <w:lang w:val="es-ES_tradnl"/>
              </w:rPr>
              <w:t>medidas y políticas regulatorias</w:t>
            </w:r>
            <w:r w:rsidR="00A13BEA" w:rsidRPr="00B924EB">
              <w:rPr>
                <w:sz w:val="20"/>
                <w:szCs w:val="20"/>
                <w:lang w:val="es-ES_tradnl"/>
              </w:rPr>
              <w:t xml:space="preserve"> </w:t>
            </w:r>
          </w:p>
        </w:tc>
        <w:tc>
          <w:tcPr>
            <w:tcW w:w="665" w:type="pct"/>
            <w:vAlign w:val="center"/>
          </w:tcPr>
          <w:p w14:paraId="1302BF30" w14:textId="5C4CBA62" w:rsidR="00F65977" w:rsidRPr="00B924EB" w:rsidRDefault="001A4F35" w:rsidP="00811CA3">
            <w:pPr>
              <w:jc w:val="center"/>
              <w:rPr>
                <w:color w:val="000000"/>
                <w:sz w:val="20"/>
                <w:szCs w:val="20"/>
                <w:lang w:val="es-ES_tradnl" w:eastAsia="zh-CN"/>
              </w:rPr>
            </w:pPr>
            <w:r>
              <w:rPr>
                <w:color w:val="000000"/>
                <w:sz w:val="20"/>
                <w:szCs w:val="20"/>
                <w:lang w:val="es-ES_tradnl" w:eastAsia="zh-CN"/>
              </w:rPr>
              <w:t>PNUMA</w:t>
            </w:r>
          </w:p>
        </w:tc>
        <w:tc>
          <w:tcPr>
            <w:tcW w:w="666" w:type="pct"/>
            <w:shd w:val="clear" w:color="auto" w:fill="auto"/>
            <w:tcMar>
              <w:right w:w="173" w:type="dxa"/>
            </w:tcMar>
          </w:tcPr>
          <w:p w14:paraId="6B6D43F1" w14:textId="34D18615" w:rsidR="00F65977" w:rsidRPr="00B924EB" w:rsidRDefault="00F65977" w:rsidP="00811CA3">
            <w:pPr>
              <w:jc w:val="right"/>
              <w:rPr>
                <w:color w:val="000000"/>
                <w:sz w:val="20"/>
                <w:szCs w:val="20"/>
                <w:lang w:val="es-ES_tradnl" w:eastAsia="zh-CN"/>
              </w:rPr>
            </w:pPr>
            <w:r w:rsidRPr="00B924EB">
              <w:rPr>
                <w:color w:val="000000"/>
                <w:sz w:val="20"/>
                <w:szCs w:val="20"/>
                <w:lang w:val="es-ES_tradnl" w:eastAsia="zh-CN"/>
              </w:rPr>
              <w:t>47</w:t>
            </w:r>
            <w:r w:rsidR="00755C5D" w:rsidRPr="00B924EB">
              <w:rPr>
                <w:color w:val="000000"/>
                <w:sz w:val="20"/>
                <w:szCs w:val="20"/>
                <w:lang w:val="es-ES_tradnl" w:eastAsia="zh-CN"/>
              </w:rPr>
              <w:t>0.</w:t>
            </w:r>
            <w:r w:rsidRPr="00B924EB">
              <w:rPr>
                <w:color w:val="000000"/>
                <w:sz w:val="20"/>
                <w:szCs w:val="20"/>
                <w:lang w:val="es-ES_tradnl" w:eastAsia="zh-CN"/>
              </w:rPr>
              <w:t>000</w:t>
            </w:r>
          </w:p>
        </w:tc>
        <w:tc>
          <w:tcPr>
            <w:tcW w:w="578" w:type="pct"/>
            <w:tcMar>
              <w:right w:w="173" w:type="dxa"/>
            </w:tcMar>
          </w:tcPr>
          <w:p w14:paraId="59D45488" w14:textId="734C99D9" w:rsidR="00F65977" w:rsidRPr="00B924EB" w:rsidRDefault="00F65977" w:rsidP="00F65977">
            <w:pPr>
              <w:jc w:val="right"/>
              <w:rPr>
                <w:color w:val="000000"/>
                <w:sz w:val="20"/>
                <w:szCs w:val="20"/>
                <w:lang w:val="es-ES_tradnl" w:eastAsia="zh-CN"/>
              </w:rPr>
            </w:pPr>
            <w:r w:rsidRPr="00B924EB">
              <w:rPr>
                <w:color w:val="000000"/>
                <w:sz w:val="20"/>
                <w:szCs w:val="20"/>
                <w:lang w:val="es-ES_tradnl" w:eastAsia="zh-CN"/>
              </w:rPr>
              <w:t>41</w:t>
            </w:r>
            <w:r w:rsidR="00755C5D" w:rsidRPr="00B924EB">
              <w:rPr>
                <w:color w:val="000000"/>
                <w:sz w:val="20"/>
                <w:szCs w:val="20"/>
                <w:lang w:val="es-ES_tradnl" w:eastAsia="zh-CN"/>
              </w:rPr>
              <w:t>0.</w:t>
            </w:r>
            <w:r w:rsidRPr="00B924EB">
              <w:rPr>
                <w:color w:val="000000"/>
                <w:sz w:val="20"/>
                <w:szCs w:val="20"/>
                <w:lang w:val="es-ES_tradnl" w:eastAsia="zh-CN"/>
              </w:rPr>
              <w:t>000</w:t>
            </w:r>
          </w:p>
        </w:tc>
      </w:tr>
      <w:tr w:rsidR="00F65977" w:rsidRPr="00B924EB" w14:paraId="103FBF96" w14:textId="77777777" w:rsidTr="00C30014">
        <w:tc>
          <w:tcPr>
            <w:tcW w:w="3091" w:type="pct"/>
            <w:shd w:val="clear" w:color="auto" w:fill="auto"/>
            <w:noWrap/>
          </w:tcPr>
          <w:p w14:paraId="5E92B84B" w14:textId="73B4AE69" w:rsidR="00F65977" w:rsidRPr="00B924EB" w:rsidRDefault="009374DA" w:rsidP="00B53AAF">
            <w:pPr>
              <w:jc w:val="left"/>
              <w:rPr>
                <w:color w:val="000000"/>
                <w:sz w:val="20"/>
                <w:szCs w:val="20"/>
                <w:lang w:val="es-ES_tradnl" w:eastAsia="zh-CN"/>
              </w:rPr>
            </w:pPr>
            <w:r w:rsidRPr="00B924EB">
              <w:rPr>
                <w:color w:val="000000"/>
                <w:sz w:val="20"/>
                <w:szCs w:val="20"/>
                <w:lang w:val="es-ES_tradnl" w:eastAsia="zh-CN"/>
              </w:rPr>
              <w:t>Capacitación</w:t>
            </w:r>
            <w:r w:rsidR="00F65977" w:rsidRPr="00B924EB">
              <w:rPr>
                <w:color w:val="000000"/>
                <w:sz w:val="20"/>
                <w:szCs w:val="20"/>
                <w:lang w:val="es-ES_tradnl" w:eastAsia="zh-CN"/>
              </w:rPr>
              <w:t>,</w:t>
            </w:r>
            <w:r w:rsidR="00A13BEA" w:rsidRPr="00B924EB">
              <w:rPr>
                <w:color w:val="000000"/>
                <w:sz w:val="20"/>
                <w:szCs w:val="20"/>
                <w:lang w:val="es-ES_tradnl" w:eastAsia="zh-CN"/>
              </w:rPr>
              <w:t xml:space="preserve"> </w:t>
            </w:r>
            <w:r w:rsidR="00E26F0F" w:rsidRPr="00B924EB">
              <w:rPr>
                <w:color w:val="000000"/>
                <w:sz w:val="20"/>
                <w:szCs w:val="20"/>
                <w:lang w:val="es-ES_tradnl" w:eastAsia="zh-CN"/>
              </w:rPr>
              <w:t>acreditación</w:t>
            </w:r>
            <w:r w:rsidR="00A13BEA" w:rsidRPr="00B924EB">
              <w:rPr>
                <w:color w:val="000000"/>
                <w:sz w:val="20"/>
                <w:szCs w:val="20"/>
                <w:lang w:val="es-ES_tradnl" w:eastAsia="zh-CN"/>
              </w:rPr>
              <w:t xml:space="preserve"> </w:t>
            </w:r>
            <w:r w:rsidR="00755C5D" w:rsidRPr="00B924EB">
              <w:rPr>
                <w:color w:val="000000"/>
                <w:sz w:val="20"/>
                <w:szCs w:val="20"/>
                <w:lang w:val="es-ES_tradnl" w:eastAsia="zh-CN"/>
              </w:rPr>
              <w:t>y</w:t>
            </w:r>
            <w:r w:rsidR="00A13BEA" w:rsidRPr="00B924EB">
              <w:rPr>
                <w:color w:val="000000"/>
                <w:sz w:val="20"/>
                <w:szCs w:val="20"/>
                <w:lang w:val="es-ES_tradnl" w:eastAsia="zh-CN"/>
              </w:rPr>
              <w:t xml:space="preserve"> </w:t>
            </w:r>
            <w:r w:rsidR="001A1006" w:rsidRPr="00B924EB">
              <w:rPr>
                <w:color w:val="000000"/>
                <w:sz w:val="20"/>
                <w:szCs w:val="20"/>
                <w:lang w:val="es-ES_tradnl" w:eastAsia="zh-CN"/>
              </w:rPr>
              <w:t>normalización</w:t>
            </w:r>
            <w:r w:rsidR="00A13BEA" w:rsidRPr="00B924EB">
              <w:rPr>
                <w:color w:val="000000"/>
                <w:sz w:val="20"/>
                <w:szCs w:val="20"/>
                <w:lang w:val="es-ES_tradnl" w:eastAsia="zh-CN"/>
              </w:rPr>
              <w:t xml:space="preserve"> </w:t>
            </w:r>
            <w:r w:rsidR="00F65977" w:rsidRPr="00B924EB">
              <w:rPr>
                <w:color w:val="000000"/>
                <w:sz w:val="20"/>
                <w:szCs w:val="20"/>
                <w:lang w:val="es-ES_tradnl" w:eastAsia="zh-CN"/>
              </w:rPr>
              <w:t>(</w:t>
            </w:r>
            <w:r w:rsidRPr="00B924EB">
              <w:rPr>
                <w:color w:val="000000"/>
                <w:sz w:val="20"/>
                <w:szCs w:val="20"/>
                <w:lang w:val="es-ES_tradnl" w:eastAsia="zh-CN"/>
              </w:rPr>
              <w:t>capacitación</w:t>
            </w:r>
            <w:r w:rsidR="00A13BEA" w:rsidRPr="00B924EB">
              <w:rPr>
                <w:color w:val="000000"/>
                <w:sz w:val="20"/>
                <w:szCs w:val="20"/>
                <w:lang w:val="es-ES_tradnl" w:eastAsia="zh-CN"/>
              </w:rPr>
              <w:t xml:space="preserve"> </w:t>
            </w:r>
            <w:r w:rsidR="00755C5D" w:rsidRPr="00B924EB">
              <w:rPr>
                <w:color w:val="000000"/>
                <w:sz w:val="20"/>
                <w:szCs w:val="20"/>
                <w:lang w:val="es-ES_tradnl" w:eastAsia="zh-CN"/>
              </w:rPr>
              <w:t>de</w:t>
            </w:r>
            <w:r w:rsidR="00A13BEA" w:rsidRPr="00B924EB">
              <w:rPr>
                <w:color w:val="000000"/>
                <w:sz w:val="20"/>
                <w:szCs w:val="20"/>
                <w:lang w:val="es-ES_tradnl" w:eastAsia="zh-CN"/>
              </w:rPr>
              <w:t xml:space="preserve"> </w:t>
            </w:r>
            <w:r w:rsidR="00F65977" w:rsidRPr="00B924EB">
              <w:rPr>
                <w:color w:val="000000"/>
                <w:sz w:val="20"/>
                <w:szCs w:val="20"/>
                <w:lang w:val="es-ES_tradnl" w:eastAsia="zh-CN"/>
              </w:rPr>
              <w:t>100</w:t>
            </w:r>
            <w:r w:rsidR="00A13BEA" w:rsidRPr="00B924EB">
              <w:rPr>
                <w:color w:val="000000"/>
                <w:sz w:val="20"/>
                <w:szCs w:val="20"/>
                <w:lang w:val="es-ES_tradnl" w:eastAsia="zh-CN"/>
              </w:rPr>
              <w:t xml:space="preserve"> </w:t>
            </w:r>
            <w:r w:rsidR="00E26F0F" w:rsidRPr="00B924EB">
              <w:rPr>
                <w:color w:val="000000"/>
                <w:sz w:val="20"/>
                <w:szCs w:val="20"/>
                <w:lang w:val="es-ES_tradnl" w:eastAsia="zh-CN"/>
              </w:rPr>
              <w:t>técnico</w:t>
            </w:r>
            <w:r w:rsidR="00F65977" w:rsidRPr="00B924EB">
              <w:rPr>
                <w:color w:val="000000"/>
                <w:sz w:val="20"/>
                <w:szCs w:val="20"/>
                <w:lang w:val="es-ES_tradnl" w:eastAsia="zh-CN"/>
              </w:rPr>
              <w:t>s</w:t>
            </w:r>
            <w:r w:rsidR="00272589">
              <w:rPr>
                <w:color w:val="000000"/>
                <w:sz w:val="20"/>
                <w:szCs w:val="20"/>
                <w:lang w:val="es-ES_tradnl" w:eastAsia="zh-CN"/>
              </w:rPr>
              <w:t xml:space="preserve"> </w:t>
            </w:r>
            <w:r w:rsidR="00315B0C">
              <w:rPr>
                <w:color w:val="000000"/>
                <w:sz w:val="20"/>
                <w:szCs w:val="20"/>
                <w:lang w:val="es-ES_tradnl" w:eastAsia="zh-CN"/>
              </w:rPr>
              <w:t xml:space="preserve">adicionales </w:t>
            </w:r>
            <w:r w:rsidR="00272589">
              <w:rPr>
                <w:color w:val="000000"/>
                <w:sz w:val="20"/>
                <w:szCs w:val="20"/>
                <w:lang w:val="es-ES_tradnl" w:eastAsia="zh-CN"/>
              </w:rPr>
              <w:t xml:space="preserve">con un </w:t>
            </w:r>
            <w:r w:rsidR="00272589" w:rsidRPr="00272589">
              <w:rPr>
                <w:color w:val="000000"/>
                <w:sz w:val="20"/>
                <w:szCs w:val="20"/>
                <w:lang w:val="es-ES_tradnl" w:eastAsia="zh-CN"/>
              </w:rPr>
              <w:t xml:space="preserve">total </w:t>
            </w:r>
            <w:r w:rsidR="00272589">
              <w:rPr>
                <w:color w:val="000000"/>
                <w:sz w:val="20"/>
                <w:szCs w:val="20"/>
                <w:lang w:val="es-ES_tradnl" w:eastAsia="zh-CN"/>
              </w:rPr>
              <w:t xml:space="preserve">de </w:t>
            </w:r>
            <w:r w:rsidR="00755C5D" w:rsidRPr="00B924EB">
              <w:rPr>
                <w:color w:val="000000"/>
                <w:sz w:val="20"/>
                <w:szCs w:val="20"/>
                <w:lang w:val="es-ES_tradnl" w:eastAsia="zh-CN"/>
              </w:rPr>
              <w:t>3.</w:t>
            </w:r>
            <w:r w:rsidR="001B5E4D" w:rsidRPr="00B924EB">
              <w:rPr>
                <w:color w:val="000000"/>
                <w:sz w:val="20"/>
                <w:szCs w:val="20"/>
                <w:lang w:val="es-ES_tradnl" w:eastAsia="zh-CN"/>
              </w:rPr>
              <w:t>100</w:t>
            </w:r>
            <w:r w:rsidR="00B94267">
              <w:rPr>
                <w:color w:val="000000"/>
                <w:sz w:val="20"/>
                <w:szCs w:val="20"/>
                <w:lang w:val="es-ES_tradnl" w:eastAsia="zh-CN"/>
              </w:rPr>
              <w:t xml:space="preserve"> </w:t>
            </w:r>
            <w:r w:rsidR="00230815" w:rsidRPr="00230815">
              <w:rPr>
                <w:color w:val="000000"/>
                <w:sz w:val="20"/>
                <w:szCs w:val="20"/>
                <w:lang w:val="es-ES_tradnl" w:eastAsia="zh-CN"/>
              </w:rPr>
              <w:t xml:space="preserve">técnicos </w:t>
            </w:r>
            <w:r w:rsidR="00572342">
              <w:rPr>
                <w:color w:val="000000"/>
                <w:sz w:val="20"/>
                <w:szCs w:val="20"/>
                <w:lang w:val="es-ES_tradnl" w:eastAsia="zh-CN"/>
              </w:rPr>
              <w:t xml:space="preserve">capacitados </w:t>
            </w:r>
            <w:r w:rsidR="00755C5D" w:rsidRPr="00B924EB">
              <w:rPr>
                <w:color w:val="000000"/>
                <w:sz w:val="20"/>
                <w:szCs w:val="20"/>
                <w:lang w:val="es-ES_tradnl" w:eastAsia="zh-CN"/>
              </w:rPr>
              <w:t>y</w:t>
            </w:r>
            <w:r w:rsidR="00A13BEA" w:rsidRPr="00B924EB">
              <w:rPr>
                <w:color w:val="000000"/>
                <w:sz w:val="20"/>
                <w:szCs w:val="20"/>
                <w:lang w:val="es-ES_tradnl" w:eastAsia="zh-CN"/>
              </w:rPr>
              <w:t xml:space="preserve"> </w:t>
            </w:r>
            <w:r w:rsidR="00755C5D" w:rsidRPr="00B924EB">
              <w:rPr>
                <w:color w:val="000000"/>
                <w:sz w:val="20"/>
                <w:szCs w:val="20"/>
                <w:lang w:val="es-ES_tradnl" w:eastAsia="zh-CN"/>
              </w:rPr>
              <w:t>2.</w:t>
            </w:r>
            <w:r w:rsidR="001B5E4D" w:rsidRPr="00B924EB">
              <w:rPr>
                <w:color w:val="000000"/>
                <w:sz w:val="20"/>
                <w:szCs w:val="20"/>
                <w:lang w:val="es-ES_tradnl" w:eastAsia="zh-CN"/>
              </w:rPr>
              <w:t>000</w:t>
            </w:r>
            <w:r w:rsidR="003733C4" w:rsidRPr="0083084B">
              <w:rPr>
                <w:lang w:val="es-419"/>
              </w:rPr>
              <w:t xml:space="preserve"> </w:t>
            </w:r>
            <w:r w:rsidR="006F7B23">
              <w:rPr>
                <w:color w:val="000000"/>
                <w:sz w:val="20"/>
                <w:szCs w:val="20"/>
                <w:lang w:val="es-ES_tradnl" w:eastAsia="zh-CN"/>
              </w:rPr>
              <w:t>acreditados</w:t>
            </w:r>
            <w:r w:rsidR="001B5E4D" w:rsidRPr="00B924EB">
              <w:rPr>
                <w:color w:val="000000"/>
                <w:sz w:val="20"/>
                <w:szCs w:val="20"/>
                <w:lang w:val="es-ES_tradnl" w:eastAsia="zh-CN"/>
              </w:rPr>
              <w:t>,</w:t>
            </w:r>
            <w:r w:rsidR="00A13BEA" w:rsidRPr="00B924EB">
              <w:rPr>
                <w:color w:val="000000"/>
                <w:sz w:val="20"/>
                <w:szCs w:val="20"/>
                <w:lang w:val="es-ES_tradnl" w:eastAsia="zh-CN"/>
              </w:rPr>
              <w:t xml:space="preserve"> </w:t>
            </w:r>
            <w:r w:rsidR="00E26F0F" w:rsidRPr="00B924EB">
              <w:rPr>
                <w:color w:val="000000"/>
                <w:sz w:val="20"/>
                <w:szCs w:val="20"/>
                <w:lang w:val="es-ES_tradnl" w:eastAsia="zh-CN"/>
              </w:rPr>
              <w:t>programa</w:t>
            </w:r>
            <w:r w:rsidR="00A13BEA" w:rsidRPr="00B924EB">
              <w:rPr>
                <w:color w:val="000000"/>
                <w:sz w:val="20"/>
                <w:szCs w:val="20"/>
                <w:lang w:val="es-ES_tradnl" w:eastAsia="zh-CN"/>
              </w:rPr>
              <w:t xml:space="preserve"> </w:t>
            </w:r>
            <w:r w:rsidR="00E26F0F" w:rsidRPr="00B924EB">
              <w:rPr>
                <w:color w:val="000000"/>
                <w:sz w:val="20"/>
                <w:szCs w:val="20"/>
                <w:lang w:val="es-ES_tradnl" w:eastAsia="zh-CN"/>
              </w:rPr>
              <w:t>de</w:t>
            </w:r>
            <w:r w:rsidR="00A13BEA" w:rsidRPr="00B924EB">
              <w:rPr>
                <w:color w:val="000000"/>
                <w:sz w:val="20"/>
                <w:szCs w:val="20"/>
                <w:lang w:val="es-ES_tradnl" w:eastAsia="zh-CN"/>
              </w:rPr>
              <w:t xml:space="preserve"> </w:t>
            </w:r>
            <w:r w:rsidR="00E26F0F" w:rsidRPr="00B924EB">
              <w:rPr>
                <w:color w:val="000000"/>
                <w:sz w:val="20"/>
                <w:szCs w:val="20"/>
                <w:lang w:val="es-ES_tradnl" w:eastAsia="zh-CN"/>
              </w:rPr>
              <w:t>capacitación</w:t>
            </w:r>
            <w:r w:rsidR="00A13BEA" w:rsidRPr="00B924EB">
              <w:rPr>
                <w:color w:val="000000"/>
                <w:sz w:val="20"/>
                <w:szCs w:val="20"/>
                <w:lang w:val="es-ES_tradnl" w:eastAsia="zh-CN"/>
              </w:rPr>
              <w:t xml:space="preserve"> </w:t>
            </w:r>
            <w:r w:rsidR="00DD79E5">
              <w:rPr>
                <w:color w:val="000000"/>
                <w:sz w:val="20"/>
                <w:szCs w:val="20"/>
                <w:lang w:val="es-ES_tradnl" w:eastAsia="zh-CN"/>
              </w:rPr>
              <w:t>para</w:t>
            </w:r>
            <w:r w:rsidR="00A13BEA" w:rsidRPr="00B924EB">
              <w:rPr>
                <w:color w:val="000000"/>
                <w:sz w:val="20"/>
                <w:szCs w:val="20"/>
                <w:lang w:val="es-ES_tradnl" w:eastAsia="zh-CN"/>
              </w:rPr>
              <w:t xml:space="preserve"> </w:t>
            </w:r>
            <w:r w:rsidR="00E013B4">
              <w:rPr>
                <w:color w:val="000000"/>
                <w:sz w:val="20"/>
                <w:szCs w:val="20"/>
                <w:lang w:val="es-ES_tradnl" w:eastAsia="zh-CN"/>
              </w:rPr>
              <w:t>grandes usuarios</w:t>
            </w:r>
            <w:r w:rsidR="00055F50" w:rsidRPr="00B924EB">
              <w:rPr>
                <w:color w:val="000000"/>
                <w:sz w:val="20"/>
                <w:szCs w:val="20"/>
                <w:lang w:val="es-ES_tradnl" w:eastAsia="zh-CN"/>
              </w:rPr>
              <w:t xml:space="preserve"> finales</w:t>
            </w:r>
            <w:r w:rsidR="00F65977" w:rsidRPr="00B924EB">
              <w:rPr>
                <w:color w:val="000000"/>
                <w:sz w:val="20"/>
                <w:szCs w:val="20"/>
                <w:lang w:val="es-ES_tradnl" w:eastAsia="zh-CN"/>
              </w:rPr>
              <w:t>)</w:t>
            </w:r>
          </w:p>
        </w:tc>
        <w:tc>
          <w:tcPr>
            <w:tcW w:w="665" w:type="pct"/>
          </w:tcPr>
          <w:p w14:paraId="3DB4FE12" w14:textId="706EAAEB" w:rsidR="00F65977" w:rsidRPr="00B924EB" w:rsidRDefault="001A4F35" w:rsidP="00811CA3">
            <w:pPr>
              <w:jc w:val="center"/>
              <w:rPr>
                <w:color w:val="000000"/>
                <w:sz w:val="20"/>
                <w:szCs w:val="20"/>
                <w:lang w:val="es-ES_tradnl" w:eastAsia="zh-CN"/>
              </w:rPr>
            </w:pPr>
            <w:r>
              <w:rPr>
                <w:color w:val="000000"/>
                <w:sz w:val="20"/>
                <w:szCs w:val="20"/>
                <w:lang w:val="es-ES_tradnl" w:eastAsia="zh-CN"/>
              </w:rPr>
              <w:t>PNUMA</w:t>
            </w:r>
          </w:p>
        </w:tc>
        <w:tc>
          <w:tcPr>
            <w:tcW w:w="666" w:type="pct"/>
            <w:shd w:val="clear" w:color="auto" w:fill="auto"/>
            <w:tcMar>
              <w:right w:w="173" w:type="dxa"/>
            </w:tcMar>
          </w:tcPr>
          <w:p w14:paraId="6383D6CC" w14:textId="2488EB7E" w:rsidR="00F65977" w:rsidRPr="00B924EB" w:rsidRDefault="00755C5D" w:rsidP="00811CA3">
            <w:pPr>
              <w:jc w:val="right"/>
              <w:rPr>
                <w:color w:val="000000"/>
                <w:sz w:val="20"/>
                <w:szCs w:val="20"/>
                <w:lang w:val="es-ES_tradnl" w:eastAsia="zh-CN"/>
              </w:rPr>
            </w:pPr>
            <w:r w:rsidRPr="00B924EB">
              <w:rPr>
                <w:color w:val="000000"/>
                <w:sz w:val="20"/>
                <w:szCs w:val="20"/>
                <w:lang w:val="es-ES_tradnl" w:eastAsia="zh-CN"/>
              </w:rPr>
              <w:t>1.</w:t>
            </w:r>
            <w:r w:rsidR="00F65977" w:rsidRPr="00B924EB">
              <w:rPr>
                <w:color w:val="000000"/>
                <w:sz w:val="20"/>
                <w:szCs w:val="20"/>
                <w:lang w:val="es-ES_tradnl" w:eastAsia="zh-CN"/>
              </w:rPr>
              <w:t>27</w:t>
            </w:r>
            <w:r w:rsidRPr="00B924EB">
              <w:rPr>
                <w:color w:val="000000"/>
                <w:sz w:val="20"/>
                <w:szCs w:val="20"/>
                <w:lang w:val="es-ES_tradnl" w:eastAsia="zh-CN"/>
              </w:rPr>
              <w:t>0.</w:t>
            </w:r>
            <w:r w:rsidR="00F65977" w:rsidRPr="00B924EB">
              <w:rPr>
                <w:color w:val="000000"/>
                <w:sz w:val="20"/>
                <w:szCs w:val="20"/>
                <w:lang w:val="es-ES_tradnl" w:eastAsia="zh-CN"/>
              </w:rPr>
              <w:t>000</w:t>
            </w:r>
          </w:p>
        </w:tc>
        <w:tc>
          <w:tcPr>
            <w:tcW w:w="578" w:type="pct"/>
            <w:tcMar>
              <w:right w:w="173" w:type="dxa"/>
            </w:tcMar>
          </w:tcPr>
          <w:p w14:paraId="53D43D47" w14:textId="443098EF" w:rsidR="00F65977" w:rsidRPr="00B924EB" w:rsidRDefault="00755C5D" w:rsidP="00BB7B69">
            <w:pPr>
              <w:jc w:val="right"/>
              <w:rPr>
                <w:color w:val="000000"/>
                <w:sz w:val="20"/>
                <w:szCs w:val="20"/>
                <w:lang w:val="es-ES_tradnl" w:eastAsia="zh-CN"/>
              </w:rPr>
            </w:pPr>
            <w:r w:rsidRPr="00B924EB">
              <w:rPr>
                <w:color w:val="000000"/>
                <w:sz w:val="20"/>
                <w:szCs w:val="20"/>
                <w:lang w:val="es-ES_tradnl" w:eastAsia="zh-CN"/>
              </w:rPr>
              <w:t>1.</w:t>
            </w:r>
            <w:r w:rsidR="00F65977" w:rsidRPr="00B924EB">
              <w:rPr>
                <w:color w:val="000000"/>
                <w:sz w:val="20"/>
                <w:szCs w:val="20"/>
                <w:lang w:val="es-ES_tradnl" w:eastAsia="zh-CN"/>
              </w:rPr>
              <w:t>2</w:t>
            </w:r>
            <w:r w:rsidR="00BB7B69" w:rsidRPr="00B924EB">
              <w:rPr>
                <w:color w:val="000000"/>
                <w:sz w:val="20"/>
                <w:szCs w:val="20"/>
                <w:lang w:val="es-ES_tradnl" w:eastAsia="zh-CN"/>
              </w:rPr>
              <w:t>3</w:t>
            </w:r>
            <w:r w:rsidRPr="00B924EB">
              <w:rPr>
                <w:color w:val="000000"/>
                <w:sz w:val="20"/>
                <w:szCs w:val="20"/>
                <w:lang w:val="es-ES_tradnl" w:eastAsia="zh-CN"/>
              </w:rPr>
              <w:t>0.</w:t>
            </w:r>
            <w:r w:rsidR="00F65977" w:rsidRPr="00B924EB">
              <w:rPr>
                <w:color w:val="000000"/>
                <w:sz w:val="20"/>
                <w:szCs w:val="20"/>
                <w:lang w:val="es-ES_tradnl" w:eastAsia="zh-CN"/>
              </w:rPr>
              <w:t>000</w:t>
            </w:r>
          </w:p>
        </w:tc>
      </w:tr>
      <w:tr w:rsidR="00F65977" w:rsidRPr="00B924EB" w14:paraId="442E81FB" w14:textId="77777777" w:rsidTr="00C30014">
        <w:tc>
          <w:tcPr>
            <w:tcW w:w="3091" w:type="pct"/>
            <w:shd w:val="clear" w:color="auto" w:fill="auto"/>
            <w:noWrap/>
          </w:tcPr>
          <w:p w14:paraId="0449B9AA" w14:textId="6363145B" w:rsidR="00F65977" w:rsidRPr="00B924EB" w:rsidRDefault="00C3546E" w:rsidP="002F3986">
            <w:pPr>
              <w:jc w:val="left"/>
              <w:rPr>
                <w:color w:val="000000"/>
                <w:sz w:val="20"/>
                <w:szCs w:val="20"/>
                <w:lang w:val="es-ES_tradnl" w:eastAsia="zh-CN"/>
              </w:rPr>
            </w:pPr>
            <w:r>
              <w:rPr>
                <w:sz w:val="20"/>
                <w:szCs w:val="20"/>
                <w:lang w:val="es-ES_tradnl"/>
              </w:rPr>
              <w:t>Asistencia al sector servicio técnico</w:t>
            </w:r>
            <w:r w:rsidR="00A13BEA" w:rsidRPr="00B924EB">
              <w:rPr>
                <w:sz w:val="20"/>
                <w:szCs w:val="20"/>
                <w:lang w:val="es-ES_tradnl"/>
              </w:rPr>
              <w:t xml:space="preserve"> </w:t>
            </w:r>
            <w:r w:rsidR="00755C5D" w:rsidRPr="00B924EB">
              <w:rPr>
                <w:sz w:val="20"/>
                <w:szCs w:val="20"/>
                <w:lang w:val="es-ES_tradnl"/>
              </w:rPr>
              <w:t>de</w:t>
            </w:r>
            <w:r w:rsidR="00A13BEA" w:rsidRPr="00B924EB">
              <w:rPr>
                <w:sz w:val="20"/>
                <w:szCs w:val="20"/>
                <w:lang w:val="es-ES_tradnl"/>
              </w:rPr>
              <w:t xml:space="preserve"> </w:t>
            </w:r>
            <w:r w:rsidR="00755C5D" w:rsidRPr="00B924EB">
              <w:rPr>
                <w:sz w:val="20"/>
                <w:szCs w:val="20"/>
                <w:lang w:val="es-ES_tradnl"/>
              </w:rPr>
              <w:t>equipos</w:t>
            </w:r>
            <w:r w:rsidR="00A13BEA" w:rsidRPr="00B924EB">
              <w:rPr>
                <w:sz w:val="20"/>
                <w:szCs w:val="20"/>
                <w:lang w:val="es-ES_tradnl"/>
              </w:rPr>
              <w:t xml:space="preserve"> </w:t>
            </w:r>
            <w:r w:rsidR="00755C5D" w:rsidRPr="00B924EB">
              <w:rPr>
                <w:sz w:val="20"/>
                <w:szCs w:val="20"/>
                <w:lang w:val="es-ES_tradnl"/>
              </w:rPr>
              <w:t>de</w:t>
            </w:r>
            <w:r w:rsidR="00A13BEA" w:rsidRPr="00B924EB">
              <w:rPr>
                <w:sz w:val="20"/>
                <w:szCs w:val="20"/>
                <w:lang w:val="es-ES_tradnl"/>
              </w:rPr>
              <w:t xml:space="preserve"> </w:t>
            </w:r>
            <w:r w:rsidR="00755C5D" w:rsidRPr="00B924EB">
              <w:rPr>
                <w:sz w:val="20"/>
                <w:szCs w:val="20"/>
                <w:lang w:val="es-ES_tradnl"/>
              </w:rPr>
              <w:t>refrigeración</w:t>
            </w:r>
            <w:r w:rsidR="001B296F">
              <w:rPr>
                <w:sz w:val="20"/>
                <w:szCs w:val="20"/>
                <w:lang w:val="es-ES_tradnl"/>
              </w:rPr>
              <w:t xml:space="preserve"> </w:t>
            </w:r>
            <w:r w:rsidR="00F65977" w:rsidRPr="00B924EB">
              <w:rPr>
                <w:sz w:val="20"/>
                <w:szCs w:val="20"/>
                <w:lang w:val="es-ES_tradnl"/>
              </w:rPr>
              <w:t>(100</w:t>
            </w:r>
            <w:r w:rsidR="00A13BEA" w:rsidRPr="00B924EB">
              <w:rPr>
                <w:sz w:val="20"/>
                <w:szCs w:val="20"/>
                <w:lang w:val="es-ES_tradnl"/>
              </w:rPr>
              <w:t xml:space="preserve"> </w:t>
            </w:r>
            <w:r w:rsidR="00D86771">
              <w:rPr>
                <w:sz w:val="20"/>
                <w:szCs w:val="20"/>
                <w:lang w:val="es-ES_tradnl"/>
              </w:rPr>
              <w:t xml:space="preserve">juegos </w:t>
            </w:r>
            <w:r w:rsidR="00067823" w:rsidRPr="00067823">
              <w:rPr>
                <w:sz w:val="20"/>
                <w:szCs w:val="20"/>
                <w:lang w:val="es-ES_tradnl"/>
              </w:rPr>
              <w:t>a</w:t>
            </w:r>
            <w:r w:rsidR="00067823">
              <w:rPr>
                <w:sz w:val="20"/>
                <w:szCs w:val="20"/>
                <w:lang w:val="es-ES_tradnl"/>
              </w:rPr>
              <w:t xml:space="preserve">dicionales </w:t>
            </w:r>
            <w:r w:rsidR="00D86771">
              <w:rPr>
                <w:sz w:val="20"/>
                <w:szCs w:val="20"/>
                <w:lang w:val="es-ES_tradnl"/>
              </w:rPr>
              <w:t>de herramientas</w:t>
            </w:r>
            <w:r w:rsidR="00B720B9">
              <w:rPr>
                <w:sz w:val="20"/>
                <w:szCs w:val="20"/>
                <w:lang w:val="es-ES_tradnl"/>
              </w:rPr>
              <w:t>,</w:t>
            </w:r>
            <w:r w:rsidR="00A13BEA" w:rsidRPr="00B924EB">
              <w:rPr>
                <w:sz w:val="20"/>
                <w:szCs w:val="20"/>
                <w:lang w:val="es-ES_tradnl"/>
              </w:rPr>
              <w:t xml:space="preserve"> </w:t>
            </w:r>
            <w:r w:rsidR="001B5E4D" w:rsidRPr="00B924EB">
              <w:rPr>
                <w:sz w:val="20"/>
                <w:szCs w:val="20"/>
                <w:lang w:val="es-ES_tradnl"/>
              </w:rPr>
              <w:t>750</w:t>
            </w:r>
            <w:r w:rsidR="002F3986">
              <w:rPr>
                <w:sz w:val="20"/>
                <w:szCs w:val="20"/>
                <w:lang w:val="es-ES_tradnl"/>
              </w:rPr>
              <w:t xml:space="preserve"> en </w:t>
            </w:r>
            <w:r w:rsidR="002F3986" w:rsidRPr="002F3986">
              <w:rPr>
                <w:sz w:val="20"/>
                <w:szCs w:val="20"/>
                <w:lang w:val="es-ES_tradnl"/>
              </w:rPr>
              <w:t>total</w:t>
            </w:r>
            <w:r w:rsidR="00F65977" w:rsidRPr="00B924EB">
              <w:rPr>
                <w:sz w:val="20"/>
                <w:szCs w:val="20"/>
                <w:lang w:val="es-ES_tradnl"/>
              </w:rPr>
              <w:t>)</w:t>
            </w:r>
          </w:p>
        </w:tc>
        <w:tc>
          <w:tcPr>
            <w:tcW w:w="665" w:type="pct"/>
          </w:tcPr>
          <w:p w14:paraId="1B646070" w14:textId="561D1106" w:rsidR="00F65977" w:rsidRPr="00B924EB" w:rsidRDefault="001A4F35" w:rsidP="00811CA3">
            <w:pPr>
              <w:jc w:val="center"/>
              <w:rPr>
                <w:color w:val="000000"/>
                <w:sz w:val="20"/>
                <w:szCs w:val="20"/>
                <w:lang w:val="es-ES_tradnl" w:eastAsia="zh-CN"/>
              </w:rPr>
            </w:pPr>
            <w:r>
              <w:rPr>
                <w:color w:val="000000"/>
                <w:sz w:val="20"/>
                <w:szCs w:val="20"/>
                <w:lang w:val="es-ES_tradnl" w:eastAsia="zh-CN"/>
              </w:rPr>
              <w:t>ONUDI</w:t>
            </w:r>
          </w:p>
        </w:tc>
        <w:tc>
          <w:tcPr>
            <w:tcW w:w="666" w:type="pct"/>
            <w:shd w:val="clear" w:color="auto" w:fill="auto"/>
            <w:tcMar>
              <w:right w:w="173" w:type="dxa"/>
            </w:tcMar>
          </w:tcPr>
          <w:p w14:paraId="74D46C92" w14:textId="396D203D" w:rsidR="00F65977" w:rsidRPr="00B924EB" w:rsidRDefault="00F65977" w:rsidP="00811CA3">
            <w:pPr>
              <w:jc w:val="right"/>
              <w:rPr>
                <w:color w:val="000000"/>
                <w:sz w:val="20"/>
                <w:szCs w:val="20"/>
                <w:lang w:val="es-ES_tradnl" w:eastAsia="zh-CN"/>
              </w:rPr>
            </w:pPr>
            <w:r w:rsidRPr="00B924EB">
              <w:rPr>
                <w:color w:val="000000"/>
                <w:sz w:val="20"/>
                <w:szCs w:val="20"/>
                <w:lang w:val="es-ES_tradnl" w:eastAsia="zh-CN"/>
              </w:rPr>
              <w:t>82</w:t>
            </w:r>
            <w:r w:rsidR="00755C5D" w:rsidRPr="00B924EB">
              <w:rPr>
                <w:color w:val="000000"/>
                <w:sz w:val="20"/>
                <w:szCs w:val="20"/>
                <w:lang w:val="es-ES_tradnl" w:eastAsia="zh-CN"/>
              </w:rPr>
              <w:t>0.</w:t>
            </w:r>
            <w:r w:rsidRPr="00B924EB">
              <w:rPr>
                <w:color w:val="000000"/>
                <w:sz w:val="20"/>
                <w:szCs w:val="20"/>
                <w:lang w:val="es-ES_tradnl" w:eastAsia="zh-CN"/>
              </w:rPr>
              <w:t>000</w:t>
            </w:r>
          </w:p>
        </w:tc>
        <w:tc>
          <w:tcPr>
            <w:tcW w:w="578" w:type="pct"/>
            <w:tcMar>
              <w:right w:w="173" w:type="dxa"/>
            </w:tcMar>
          </w:tcPr>
          <w:p w14:paraId="14560C9C" w14:textId="3A68B610" w:rsidR="00F65977" w:rsidRPr="00B924EB" w:rsidRDefault="00F65977" w:rsidP="00F65977">
            <w:pPr>
              <w:jc w:val="right"/>
              <w:rPr>
                <w:color w:val="000000"/>
                <w:sz w:val="20"/>
                <w:szCs w:val="20"/>
                <w:lang w:val="es-ES_tradnl" w:eastAsia="zh-CN"/>
              </w:rPr>
            </w:pPr>
            <w:r w:rsidRPr="00B924EB">
              <w:rPr>
                <w:color w:val="000000"/>
                <w:sz w:val="20"/>
                <w:szCs w:val="20"/>
                <w:lang w:val="es-ES_tradnl" w:eastAsia="zh-CN"/>
              </w:rPr>
              <w:t>91</w:t>
            </w:r>
            <w:r w:rsidR="00755C5D" w:rsidRPr="00B924EB">
              <w:rPr>
                <w:color w:val="000000"/>
                <w:sz w:val="20"/>
                <w:szCs w:val="20"/>
                <w:lang w:val="es-ES_tradnl" w:eastAsia="zh-CN"/>
              </w:rPr>
              <w:t>0.</w:t>
            </w:r>
            <w:r w:rsidRPr="00B924EB">
              <w:rPr>
                <w:color w:val="000000"/>
                <w:sz w:val="20"/>
                <w:szCs w:val="20"/>
                <w:lang w:val="es-ES_tradnl" w:eastAsia="zh-CN"/>
              </w:rPr>
              <w:t>000</w:t>
            </w:r>
          </w:p>
        </w:tc>
      </w:tr>
      <w:tr w:rsidR="00F65977" w:rsidRPr="00B924EB" w14:paraId="459BE3EB" w14:textId="77777777" w:rsidTr="00C30014">
        <w:trPr>
          <w:trHeight w:val="188"/>
        </w:trPr>
        <w:tc>
          <w:tcPr>
            <w:tcW w:w="3091" w:type="pct"/>
            <w:shd w:val="clear" w:color="auto" w:fill="auto"/>
            <w:noWrap/>
          </w:tcPr>
          <w:p w14:paraId="473D54B2" w14:textId="04EA689F" w:rsidR="00F65977" w:rsidRPr="00B924EB" w:rsidRDefault="00AD1F9F" w:rsidP="00811CA3">
            <w:pPr>
              <w:tabs>
                <w:tab w:val="left" w:pos="360"/>
              </w:tabs>
              <w:jc w:val="left"/>
              <w:rPr>
                <w:color w:val="000000"/>
                <w:sz w:val="20"/>
                <w:szCs w:val="20"/>
                <w:lang w:val="es-ES_tradnl" w:eastAsia="zh-CN"/>
              </w:rPr>
            </w:pPr>
            <w:r>
              <w:rPr>
                <w:color w:val="000000"/>
                <w:sz w:val="20"/>
                <w:szCs w:val="20"/>
                <w:lang w:val="es-ES_tradnl" w:eastAsia="zh-CN"/>
              </w:rPr>
              <w:t>Supervisión e informes</w:t>
            </w:r>
          </w:p>
        </w:tc>
        <w:tc>
          <w:tcPr>
            <w:tcW w:w="665" w:type="pct"/>
          </w:tcPr>
          <w:p w14:paraId="16E71AB1" w14:textId="723C64E8" w:rsidR="00F65977" w:rsidRPr="00B924EB" w:rsidRDefault="001A4F35" w:rsidP="001B5E4D">
            <w:pPr>
              <w:ind w:right="-17"/>
              <w:jc w:val="center"/>
              <w:rPr>
                <w:color w:val="000000"/>
                <w:sz w:val="20"/>
                <w:szCs w:val="20"/>
                <w:lang w:val="es-ES_tradnl" w:eastAsia="zh-CN"/>
              </w:rPr>
            </w:pPr>
            <w:r>
              <w:rPr>
                <w:color w:val="000000"/>
                <w:sz w:val="20"/>
                <w:szCs w:val="20"/>
                <w:lang w:val="es-ES_tradnl" w:eastAsia="zh-CN"/>
              </w:rPr>
              <w:t>PNUMA</w:t>
            </w:r>
          </w:p>
        </w:tc>
        <w:tc>
          <w:tcPr>
            <w:tcW w:w="666" w:type="pct"/>
            <w:shd w:val="clear" w:color="auto" w:fill="auto"/>
            <w:noWrap/>
            <w:tcMar>
              <w:left w:w="115" w:type="dxa"/>
              <w:right w:w="173" w:type="dxa"/>
            </w:tcMar>
          </w:tcPr>
          <w:p w14:paraId="3AF7AC9A" w14:textId="1D83E139" w:rsidR="00F65977" w:rsidRPr="00B924EB" w:rsidRDefault="00F65977" w:rsidP="00991C29">
            <w:pPr>
              <w:ind w:right="10"/>
              <w:jc w:val="right"/>
              <w:rPr>
                <w:color w:val="000000"/>
                <w:sz w:val="20"/>
                <w:szCs w:val="20"/>
                <w:lang w:val="es-ES_tradnl" w:eastAsia="zh-CN"/>
              </w:rPr>
            </w:pPr>
            <w:r w:rsidRPr="00B924EB">
              <w:rPr>
                <w:color w:val="000000"/>
                <w:sz w:val="20"/>
                <w:szCs w:val="20"/>
                <w:lang w:val="es-ES_tradnl" w:eastAsia="zh-CN"/>
              </w:rPr>
              <w:t>28</w:t>
            </w:r>
            <w:r w:rsidR="009374DA" w:rsidRPr="00B924EB">
              <w:rPr>
                <w:color w:val="000000"/>
                <w:sz w:val="20"/>
                <w:szCs w:val="20"/>
                <w:lang w:val="es-ES_tradnl" w:eastAsia="zh-CN"/>
              </w:rPr>
              <w:t>5.</w:t>
            </w:r>
            <w:r w:rsidRPr="00B924EB">
              <w:rPr>
                <w:color w:val="000000"/>
                <w:sz w:val="20"/>
                <w:szCs w:val="20"/>
                <w:lang w:val="es-ES_tradnl" w:eastAsia="zh-CN"/>
              </w:rPr>
              <w:t>000</w:t>
            </w:r>
          </w:p>
        </w:tc>
        <w:tc>
          <w:tcPr>
            <w:tcW w:w="578" w:type="pct"/>
            <w:tcMar>
              <w:right w:w="173" w:type="dxa"/>
            </w:tcMar>
          </w:tcPr>
          <w:p w14:paraId="4AA5618B" w14:textId="28F4B1F4" w:rsidR="00F65977" w:rsidRPr="00B924EB" w:rsidRDefault="00BB7B69" w:rsidP="00BB7B69">
            <w:pPr>
              <w:ind w:right="-19"/>
              <w:jc w:val="right"/>
              <w:rPr>
                <w:color w:val="000000"/>
                <w:sz w:val="20"/>
                <w:szCs w:val="20"/>
                <w:lang w:val="es-ES_tradnl" w:eastAsia="zh-CN"/>
              </w:rPr>
            </w:pPr>
            <w:r w:rsidRPr="00B924EB">
              <w:rPr>
                <w:color w:val="000000"/>
                <w:sz w:val="20"/>
                <w:szCs w:val="20"/>
                <w:lang w:val="es-ES_tradnl" w:eastAsia="zh-CN"/>
              </w:rPr>
              <w:t>20</w:t>
            </w:r>
            <w:r w:rsidR="00755C5D" w:rsidRPr="00B924EB">
              <w:rPr>
                <w:color w:val="000000"/>
                <w:sz w:val="20"/>
                <w:szCs w:val="20"/>
                <w:lang w:val="es-ES_tradnl" w:eastAsia="zh-CN"/>
              </w:rPr>
              <w:t>0.</w:t>
            </w:r>
            <w:r w:rsidR="00F65977" w:rsidRPr="00B924EB">
              <w:rPr>
                <w:color w:val="000000"/>
                <w:sz w:val="20"/>
                <w:szCs w:val="20"/>
                <w:lang w:val="es-ES_tradnl" w:eastAsia="zh-CN"/>
              </w:rPr>
              <w:t>000</w:t>
            </w:r>
          </w:p>
        </w:tc>
      </w:tr>
      <w:tr w:rsidR="00F65977" w:rsidRPr="00B924EB" w14:paraId="1A701BE3" w14:textId="77777777" w:rsidTr="00C30014">
        <w:trPr>
          <w:trHeight w:val="43"/>
        </w:trPr>
        <w:tc>
          <w:tcPr>
            <w:tcW w:w="3091" w:type="pct"/>
            <w:shd w:val="clear" w:color="auto" w:fill="auto"/>
            <w:noWrap/>
            <w:vAlign w:val="center"/>
            <w:hideMark/>
          </w:tcPr>
          <w:p w14:paraId="088380B9" w14:textId="3C004B8B" w:rsidR="00F65977" w:rsidRPr="00B924EB" w:rsidRDefault="00F65977" w:rsidP="00811CA3">
            <w:pPr>
              <w:jc w:val="left"/>
              <w:rPr>
                <w:b/>
                <w:bCs/>
                <w:color w:val="000000"/>
                <w:sz w:val="20"/>
                <w:szCs w:val="20"/>
                <w:lang w:val="es-ES_tradnl" w:eastAsia="zh-CN"/>
              </w:rPr>
            </w:pPr>
            <w:r w:rsidRPr="00B924EB">
              <w:rPr>
                <w:b/>
                <w:bCs/>
                <w:color w:val="000000"/>
                <w:sz w:val="20"/>
                <w:szCs w:val="20"/>
                <w:lang w:val="es-ES_tradnl" w:eastAsia="zh-CN"/>
              </w:rPr>
              <w:t>Total</w:t>
            </w:r>
            <w:r w:rsidR="00A13BEA" w:rsidRPr="00B924EB">
              <w:rPr>
                <w:b/>
                <w:bCs/>
                <w:color w:val="000000"/>
                <w:sz w:val="20"/>
                <w:szCs w:val="20"/>
                <w:lang w:val="es-ES_tradnl" w:eastAsia="zh-CN"/>
              </w:rPr>
              <w:t xml:space="preserve"> </w:t>
            </w:r>
          </w:p>
        </w:tc>
        <w:tc>
          <w:tcPr>
            <w:tcW w:w="665" w:type="pct"/>
          </w:tcPr>
          <w:p w14:paraId="37EDDE39" w14:textId="77777777" w:rsidR="00F65977" w:rsidRPr="00B924EB" w:rsidRDefault="00F65977" w:rsidP="00811CA3">
            <w:pPr>
              <w:ind w:right="-297"/>
              <w:jc w:val="center"/>
              <w:rPr>
                <w:b/>
                <w:bCs/>
                <w:color w:val="000000"/>
                <w:sz w:val="20"/>
                <w:szCs w:val="20"/>
                <w:lang w:val="es-ES_tradnl" w:eastAsia="zh-CN"/>
              </w:rPr>
            </w:pPr>
          </w:p>
        </w:tc>
        <w:tc>
          <w:tcPr>
            <w:tcW w:w="666" w:type="pct"/>
            <w:shd w:val="clear" w:color="auto" w:fill="auto"/>
            <w:tcMar>
              <w:left w:w="115" w:type="dxa"/>
              <w:right w:w="173" w:type="dxa"/>
            </w:tcMar>
            <w:hideMark/>
          </w:tcPr>
          <w:p w14:paraId="3B730035" w14:textId="05C9DC28" w:rsidR="00F65977" w:rsidRPr="00B924EB" w:rsidRDefault="00755C5D" w:rsidP="00076A89">
            <w:pPr>
              <w:ind w:right="10"/>
              <w:jc w:val="right"/>
              <w:rPr>
                <w:b/>
                <w:bCs/>
                <w:color w:val="000000"/>
                <w:sz w:val="20"/>
                <w:szCs w:val="20"/>
                <w:lang w:val="es-ES_tradnl" w:eastAsia="zh-CN"/>
              </w:rPr>
            </w:pPr>
            <w:r w:rsidRPr="00B924EB">
              <w:rPr>
                <w:b/>
                <w:bCs/>
                <w:color w:val="000000"/>
                <w:sz w:val="20"/>
                <w:szCs w:val="20"/>
                <w:lang w:val="es-ES_tradnl" w:eastAsia="zh-CN"/>
              </w:rPr>
              <w:t>2.</w:t>
            </w:r>
            <w:r w:rsidR="00F65977" w:rsidRPr="00B924EB">
              <w:rPr>
                <w:b/>
                <w:bCs/>
                <w:color w:val="000000"/>
                <w:sz w:val="20"/>
                <w:szCs w:val="20"/>
                <w:lang w:val="es-ES_tradnl" w:eastAsia="zh-CN"/>
              </w:rPr>
              <w:t>87</w:t>
            </w:r>
            <w:r w:rsidR="009374DA" w:rsidRPr="00B924EB">
              <w:rPr>
                <w:b/>
                <w:bCs/>
                <w:color w:val="000000"/>
                <w:sz w:val="20"/>
                <w:szCs w:val="20"/>
                <w:lang w:val="es-ES_tradnl" w:eastAsia="zh-CN"/>
              </w:rPr>
              <w:t>5.</w:t>
            </w:r>
            <w:r w:rsidR="00F65977" w:rsidRPr="00B924EB">
              <w:rPr>
                <w:b/>
                <w:bCs/>
                <w:color w:val="000000"/>
                <w:sz w:val="20"/>
                <w:szCs w:val="20"/>
                <w:lang w:val="es-ES_tradnl" w:eastAsia="zh-CN"/>
              </w:rPr>
              <w:t>000</w:t>
            </w:r>
          </w:p>
        </w:tc>
        <w:tc>
          <w:tcPr>
            <w:tcW w:w="578" w:type="pct"/>
            <w:tcMar>
              <w:right w:w="173" w:type="dxa"/>
            </w:tcMar>
          </w:tcPr>
          <w:p w14:paraId="45DBC061" w14:textId="5997DD8B" w:rsidR="00F65977" w:rsidRPr="00B924EB" w:rsidRDefault="00755C5D" w:rsidP="00F65977">
            <w:pPr>
              <w:ind w:right="-19"/>
              <w:jc w:val="right"/>
              <w:rPr>
                <w:b/>
                <w:bCs/>
                <w:color w:val="000000"/>
                <w:sz w:val="20"/>
                <w:szCs w:val="20"/>
                <w:lang w:val="es-ES_tradnl" w:eastAsia="zh-CN"/>
              </w:rPr>
            </w:pPr>
            <w:r w:rsidRPr="00B924EB">
              <w:rPr>
                <w:b/>
                <w:bCs/>
                <w:color w:val="000000"/>
                <w:sz w:val="20"/>
                <w:szCs w:val="20"/>
                <w:lang w:val="es-ES_tradnl" w:eastAsia="zh-CN"/>
              </w:rPr>
              <w:t>2.</w:t>
            </w:r>
            <w:r w:rsidR="00F65977" w:rsidRPr="00B924EB">
              <w:rPr>
                <w:b/>
                <w:bCs/>
                <w:color w:val="000000"/>
                <w:sz w:val="20"/>
                <w:szCs w:val="20"/>
                <w:lang w:val="es-ES_tradnl" w:eastAsia="zh-CN"/>
              </w:rPr>
              <w:t>75</w:t>
            </w:r>
            <w:r w:rsidRPr="00B924EB">
              <w:rPr>
                <w:b/>
                <w:bCs/>
                <w:color w:val="000000"/>
                <w:sz w:val="20"/>
                <w:szCs w:val="20"/>
                <w:lang w:val="es-ES_tradnl" w:eastAsia="zh-CN"/>
              </w:rPr>
              <w:t>0.</w:t>
            </w:r>
            <w:r w:rsidR="00F65977" w:rsidRPr="00B924EB">
              <w:rPr>
                <w:b/>
                <w:bCs/>
                <w:color w:val="000000"/>
                <w:sz w:val="20"/>
                <w:szCs w:val="20"/>
                <w:lang w:val="es-ES_tradnl" w:eastAsia="zh-CN"/>
              </w:rPr>
              <w:t>000</w:t>
            </w:r>
          </w:p>
        </w:tc>
      </w:tr>
    </w:tbl>
    <w:p w14:paraId="59EA945A" w14:textId="77777777" w:rsidR="00F65977" w:rsidRPr="00B924EB" w:rsidRDefault="00F65977" w:rsidP="00F65977">
      <w:pPr>
        <w:rPr>
          <w:lang w:val="es-ES_tradnl"/>
        </w:rPr>
      </w:pPr>
    </w:p>
    <w:p w14:paraId="174A2613" w14:textId="3FB2632E" w:rsidR="00C679D6" w:rsidRPr="00B924EB" w:rsidRDefault="00E26F0F" w:rsidP="00C679D6">
      <w:pPr>
        <w:keepNext/>
        <w:spacing w:after="240"/>
        <w:rPr>
          <w:u w:val="single"/>
          <w:lang w:val="es-ES_tradnl"/>
        </w:rPr>
      </w:pPr>
      <w:r w:rsidRPr="00B924EB">
        <w:rPr>
          <w:u w:val="single"/>
          <w:lang w:val="es-ES_tradnl"/>
        </w:rPr>
        <w:t>Impacto</w:t>
      </w:r>
      <w:r w:rsidR="00A13BEA" w:rsidRPr="00B924EB">
        <w:rPr>
          <w:u w:val="single"/>
          <w:lang w:val="es-ES_tradnl"/>
        </w:rPr>
        <w:t xml:space="preserve"> </w:t>
      </w:r>
      <w:r w:rsidRPr="00B924EB">
        <w:rPr>
          <w:u w:val="single"/>
          <w:lang w:val="es-ES_tradnl"/>
        </w:rPr>
        <w:t>climático</w:t>
      </w:r>
    </w:p>
    <w:p w14:paraId="12A37787" w14:textId="2AFD9D03" w:rsidR="00C679D6" w:rsidRPr="00B924EB" w:rsidRDefault="00B058D5" w:rsidP="00461BE9">
      <w:pPr>
        <w:pStyle w:val="Heading1"/>
        <w:rPr>
          <w:lang w:val="es-ES_tradnl"/>
        </w:rPr>
      </w:pPr>
      <w:r w:rsidRPr="003F55E7">
        <w:rPr>
          <w:lang w:val="es-ES_tradnl"/>
        </w:rPr>
        <w:t xml:space="preserve">Las actividades propuestas para el sector de servicio técnico, entre ellas optimizar la contención de refrigerantes a través de </w:t>
      </w:r>
      <w:r w:rsidR="00EC3C0A">
        <w:rPr>
          <w:lang w:val="es-ES_tradnl"/>
        </w:rPr>
        <w:t xml:space="preserve">la </w:t>
      </w:r>
      <w:r w:rsidRPr="003F55E7">
        <w:rPr>
          <w:lang w:val="es-ES_tradnl"/>
        </w:rPr>
        <w:t>c</w:t>
      </w:r>
      <w:r w:rsidR="00E70EA0">
        <w:rPr>
          <w:lang w:val="es-ES_tradnl"/>
        </w:rPr>
        <w:t xml:space="preserve">apacitación y </w:t>
      </w:r>
      <w:r w:rsidR="00EC3C0A">
        <w:rPr>
          <w:lang w:val="es-ES_tradnl"/>
        </w:rPr>
        <w:t xml:space="preserve">la </w:t>
      </w:r>
      <w:r w:rsidR="00E70EA0">
        <w:rPr>
          <w:lang w:val="es-ES_tradnl"/>
        </w:rPr>
        <w:t>entrega de equipamiento</w:t>
      </w:r>
      <w:r w:rsidRPr="003F55E7">
        <w:rPr>
          <w:lang w:val="es-ES_tradnl"/>
        </w:rPr>
        <w:t xml:space="preserve">, permitirán reducir el volumen de HCFC-22 utilizado en el sector. Cada kilo de HCFC-22 que no se </w:t>
      </w:r>
      <w:r>
        <w:rPr>
          <w:lang w:val="es-ES_tradnl"/>
        </w:rPr>
        <w:t>descarga a la atmósfera</w:t>
      </w:r>
      <w:r w:rsidRPr="003F55E7">
        <w:rPr>
          <w:lang w:val="es-ES_tradnl"/>
        </w:rPr>
        <w:t xml:space="preserve"> gracias a </w:t>
      </w:r>
      <w:r>
        <w:rPr>
          <w:lang w:val="es-ES_tradnl"/>
        </w:rPr>
        <w:t>buenas prácticas</w:t>
      </w:r>
      <w:r w:rsidRPr="003F55E7">
        <w:rPr>
          <w:lang w:val="es-ES_tradnl"/>
        </w:rPr>
        <w:t xml:space="preserve"> de refrigeración ahorra alrededor de 1.8 toneladas de </w:t>
      </w:r>
      <w:r w:rsidRPr="003F55E7">
        <w:rPr>
          <w:rFonts w:eastAsia="MS Mincho"/>
          <w:lang w:val="es-ES_tradnl"/>
        </w:rPr>
        <w:t>CO</w:t>
      </w:r>
      <w:r w:rsidRPr="003F55E7">
        <w:rPr>
          <w:rFonts w:eastAsia="MS Mincho"/>
          <w:vertAlign w:val="subscript"/>
          <w:lang w:val="es-ES_tradnl"/>
        </w:rPr>
        <w:t>2</w:t>
      </w:r>
      <w:r w:rsidRPr="003F55E7">
        <w:rPr>
          <w:lang w:val="es-ES_tradnl"/>
        </w:rPr>
        <w:t xml:space="preserve"> equivalente. Si bien el PGEH no hace un cálculo del impacto climático, las actividades previstas para</w:t>
      </w:r>
      <w:r>
        <w:rPr>
          <w:lang w:val="es-ES_tradnl"/>
        </w:rPr>
        <w:t xml:space="preserve"> </w:t>
      </w:r>
      <w:r w:rsidR="00BB184A" w:rsidRPr="00B924EB">
        <w:rPr>
          <w:lang w:val="es-ES_tradnl"/>
        </w:rPr>
        <w:t>Iraq</w:t>
      </w:r>
      <w:r w:rsidR="00C679D6" w:rsidRPr="00B924EB">
        <w:rPr>
          <w:lang w:val="es-ES_tradnl"/>
        </w:rPr>
        <w:t>,</w:t>
      </w:r>
      <w:r w:rsidR="00A13BEA" w:rsidRPr="00B924EB">
        <w:rPr>
          <w:lang w:val="es-ES_tradnl"/>
        </w:rPr>
        <w:t xml:space="preserve"> </w:t>
      </w:r>
      <w:r w:rsidR="00F4274C">
        <w:rPr>
          <w:lang w:val="es-ES_tradnl"/>
        </w:rPr>
        <w:t xml:space="preserve">en particular </w:t>
      </w:r>
      <w:r w:rsidR="00F4274C" w:rsidRPr="00F4274C">
        <w:rPr>
          <w:lang w:val="es-ES_tradnl"/>
        </w:rPr>
        <w:t>la promoción de tecnologías alternativas de bajo PCA y la recuperación</w:t>
      </w:r>
      <w:r w:rsidR="001B1761">
        <w:rPr>
          <w:lang w:val="es-ES_tradnl"/>
        </w:rPr>
        <w:t xml:space="preserve">, </w:t>
      </w:r>
      <w:r w:rsidR="001B1761" w:rsidRPr="001B1761">
        <w:rPr>
          <w:lang w:val="es-ES_tradnl"/>
        </w:rPr>
        <w:t>reutilización</w:t>
      </w:r>
      <w:r w:rsidR="00F4274C" w:rsidRPr="00F4274C">
        <w:rPr>
          <w:lang w:val="es-ES_tradnl"/>
        </w:rPr>
        <w:t xml:space="preserve"> y reciclaje de refrigerantes, permiten proyectar que el PGEH efectivamente logrará reducir la descarga de refrigerantes a la atmósfera, generando así beneficios climáticos</w:t>
      </w:r>
      <w:r w:rsidR="00C679D6" w:rsidRPr="00B924EB">
        <w:rPr>
          <w:lang w:val="es-ES_tradnl"/>
        </w:rPr>
        <w:t>.</w:t>
      </w:r>
    </w:p>
    <w:p w14:paraId="242D3A9B" w14:textId="2B29E91F" w:rsidR="00C679D6" w:rsidRPr="00B924EB" w:rsidRDefault="00452F79" w:rsidP="00C679D6">
      <w:pPr>
        <w:pStyle w:val="Heading1"/>
        <w:keepNext/>
        <w:numPr>
          <w:ilvl w:val="0"/>
          <w:numId w:val="0"/>
        </w:numPr>
        <w:rPr>
          <w:b/>
          <w:lang w:val="es-ES_tradnl"/>
        </w:rPr>
      </w:pPr>
      <w:r w:rsidRPr="00B924EB">
        <w:rPr>
          <w:b/>
          <w:lang w:val="es-ES_tradnl"/>
        </w:rPr>
        <w:t>Cofinanciamiento</w:t>
      </w:r>
    </w:p>
    <w:p w14:paraId="762E0780" w14:textId="405CDC90" w:rsidR="00C679D6" w:rsidRPr="00B924EB" w:rsidRDefault="0052106D" w:rsidP="009B2ED9">
      <w:pPr>
        <w:pStyle w:val="Heading1"/>
        <w:rPr>
          <w:lang w:val="es-ES_tradnl"/>
        </w:rPr>
      </w:pPr>
      <w:r>
        <w:rPr>
          <w:lang w:val="es-ES_tradnl"/>
        </w:rPr>
        <w:t xml:space="preserve">Al postergarse </w:t>
      </w:r>
      <w:r w:rsidR="003208A7" w:rsidRPr="00B924EB">
        <w:rPr>
          <w:lang w:val="es-ES_tradnl"/>
        </w:rPr>
        <w:t>la</w:t>
      </w:r>
      <w:r w:rsidR="00A13BEA" w:rsidRPr="00B924EB">
        <w:rPr>
          <w:lang w:val="es-ES_tradnl"/>
        </w:rPr>
        <w:t xml:space="preserve"> </w:t>
      </w:r>
      <w:r w:rsidR="003208A7" w:rsidRPr="00B924EB">
        <w:rPr>
          <w:lang w:val="es-ES_tradnl"/>
        </w:rPr>
        <w:t>etapa</w:t>
      </w:r>
      <w:r w:rsidR="00A13BEA" w:rsidRPr="00B924EB">
        <w:rPr>
          <w:lang w:val="es-ES_tradnl"/>
        </w:rPr>
        <w:t xml:space="preserve"> </w:t>
      </w:r>
      <w:r w:rsidR="003208A7" w:rsidRPr="00B924EB">
        <w:rPr>
          <w:lang w:val="es-ES_tradnl"/>
        </w:rPr>
        <w:t>I</w:t>
      </w:r>
      <w:r w:rsidR="00A13BEA" w:rsidRPr="00B924EB">
        <w:rPr>
          <w:lang w:val="es-ES_tradnl"/>
        </w:rPr>
        <w:t xml:space="preserve"> </w:t>
      </w:r>
      <w:r w:rsidR="00755C5D" w:rsidRPr="00B924EB">
        <w:rPr>
          <w:lang w:val="es-ES_tradnl"/>
        </w:rPr>
        <w:t>del</w:t>
      </w:r>
      <w:r w:rsidR="00A13BEA" w:rsidRPr="00B924EB">
        <w:rPr>
          <w:lang w:val="es-ES_tradnl"/>
        </w:rPr>
        <w:t xml:space="preserve"> </w:t>
      </w:r>
      <w:r w:rsidR="00755C5D" w:rsidRPr="00B924EB">
        <w:rPr>
          <w:lang w:val="es-ES_tradnl"/>
        </w:rPr>
        <w:t>PGEH</w:t>
      </w:r>
      <w:r w:rsidR="00A13BEA" w:rsidRPr="00B924EB">
        <w:rPr>
          <w:lang w:val="es-ES_tradnl"/>
        </w:rPr>
        <w:t xml:space="preserve"> </w:t>
      </w:r>
      <w:r>
        <w:rPr>
          <w:lang w:val="es-ES_tradnl"/>
        </w:rPr>
        <w:t xml:space="preserve">para después del </w:t>
      </w:r>
      <w:r w:rsidR="009B2ED9" w:rsidRPr="00B924EB">
        <w:rPr>
          <w:lang w:val="es-ES_tradnl"/>
        </w:rPr>
        <w:t>202</w:t>
      </w:r>
      <w:r w:rsidR="00755C5D" w:rsidRPr="00B924EB">
        <w:rPr>
          <w:lang w:val="es-ES_tradnl"/>
        </w:rPr>
        <w:t>0</w:t>
      </w:r>
      <w:r w:rsidR="00AA6575">
        <w:rPr>
          <w:lang w:val="es-ES_tradnl"/>
        </w:rPr>
        <w:t>, e</w:t>
      </w:r>
      <w:r w:rsidR="003E2B7A">
        <w:rPr>
          <w:lang w:val="es-ES_tradnl"/>
        </w:rPr>
        <w:t xml:space="preserve">l </w:t>
      </w:r>
      <w:r w:rsidR="00755C5D" w:rsidRPr="00B924EB">
        <w:rPr>
          <w:lang w:val="es-ES_tradnl"/>
        </w:rPr>
        <w:t>Gobierno</w:t>
      </w:r>
      <w:r w:rsidR="00A13BEA" w:rsidRPr="00B924EB">
        <w:rPr>
          <w:lang w:val="es-ES_tradnl"/>
        </w:rPr>
        <w:t xml:space="preserve"> </w:t>
      </w:r>
      <w:r w:rsidR="00755C5D" w:rsidRPr="00B924EB">
        <w:rPr>
          <w:lang w:val="es-ES_tradnl"/>
        </w:rPr>
        <w:t>de</w:t>
      </w:r>
      <w:r w:rsidR="00A13BEA" w:rsidRPr="00B924EB">
        <w:rPr>
          <w:lang w:val="es-ES_tradnl"/>
        </w:rPr>
        <w:t xml:space="preserve"> </w:t>
      </w:r>
      <w:r w:rsidR="00596727">
        <w:rPr>
          <w:lang w:val="es-ES_tradnl"/>
        </w:rPr>
        <w:t>Iraq</w:t>
      </w:r>
      <w:r w:rsidR="000D5FAB">
        <w:rPr>
          <w:lang w:val="es-ES_tradnl"/>
        </w:rPr>
        <w:t xml:space="preserve">, </w:t>
      </w:r>
      <w:r w:rsidR="008F61EA">
        <w:rPr>
          <w:lang w:val="es-ES_tradnl"/>
        </w:rPr>
        <w:t xml:space="preserve">a fin de </w:t>
      </w:r>
      <w:r w:rsidR="00964CD4">
        <w:rPr>
          <w:lang w:val="es-ES_tradnl"/>
        </w:rPr>
        <w:t>mantener</w:t>
      </w:r>
      <w:r w:rsidR="000D5FAB" w:rsidRPr="000D5FAB">
        <w:rPr>
          <w:lang w:val="es-ES_tradnl"/>
        </w:rPr>
        <w:t xml:space="preserve"> la meta de reducción del 35 por ciento</w:t>
      </w:r>
      <w:r w:rsidR="000D5FAB">
        <w:rPr>
          <w:lang w:val="es-ES_tradnl"/>
        </w:rPr>
        <w:t xml:space="preserve">, </w:t>
      </w:r>
      <w:r w:rsidR="009F07A2">
        <w:rPr>
          <w:lang w:val="es-ES_tradnl"/>
        </w:rPr>
        <w:t xml:space="preserve">eliminó </w:t>
      </w:r>
      <w:r w:rsidR="009B2ED9" w:rsidRPr="00B924EB">
        <w:rPr>
          <w:lang w:val="es-ES_tradnl"/>
        </w:rPr>
        <w:t>27.01</w:t>
      </w:r>
      <w:r w:rsidR="00A13BEA" w:rsidRPr="00B924EB">
        <w:rPr>
          <w:lang w:val="es-ES_tradnl"/>
        </w:rPr>
        <w:t xml:space="preserve"> </w:t>
      </w:r>
      <w:r w:rsidR="00755C5D" w:rsidRPr="00B924EB">
        <w:rPr>
          <w:lang w:val="es-ES_tradnl"/>
        </w:rPr>
        <w:t>toneladas</w:t>
      </w:r>
      <w:r w:rsidR="00A13BEA" w:rsidRPr="00B924EB">
        <w:rPr>
          <w:lang w:val="es-ES_tradnl"/>
        </w:rPr>
        <w:t xml:space="preserve"> </w:t>
      </w:r>
      <w:r w:rsidR="00755C5D" w:rsidRPr="00B924EB">
        <w:rPr>
          <w:lang w:val="es-ES_tradnl"/>
        </w:rPr>
        <w:t>PAO</w:t>
      </w:r>
      <w:r w:rsidR="00A13BEA" w:rsidRPr="00B924EB">
        <w:rPr>
          <w:lang w:val="es-ES_tradnl"/>
        </w:rPr>
        <w:t xml:space="preserve"> </w:t>
      </w:r>
      <w:r w:rsidR="009374DA" w:rsidRPr="00B924EB">
        <w:rPr>
          <w:lang w:val="es-ES_tradnl"/>
        </w:rPr>
        <w:t>sin</w:t>
      </w:r>
      <w:r w:rsidR="00A13BEA" w:rsidRPr="00B924EB">
        <w:rPr>
          <w:lang w:val="es-ES_tradnl"/>
        </w:rPr>
        <w:t xml:space="preserve"> </w:t>
      </w:r>
      <w:r w:rsidR="00363607" w:rsidRPr="00B924EB">
        <w:rPr>
          <w:lang w:val="es-ES_tradnl"/>
        </w:rPr>
        <w:t>asistencia</w:t>
      </w:r>
      <w:r w:rsidR="00A13BEA" w:rsidRPr="00B924EB">
        <w:rPr>
          <w:lang w:val="es-ES_tradnl"/>
        </w:rPr>
        <w:t xml:space="preserve"> </w:t>
      </w:r>
      <w:r w:rsidR="00363607" w:rsidRPr="00B924EB">
        <w:rPr>
          <w:lang w:val="es-ES_tradnl"/>
        </w:rPr>
        <w:t>del</w:t>
      </w:r>
      <w:r w:rsidR="00A13BEA" w:rsidRPr="00B924EB">
        <w:rPr>
          <w:lang w:val="es-ES_tradnl"/>
        </w:rPr>
        <w:t xml:space="preserve"> </w:t>
      </w:r>
      <w:r w:rsidR="00363607" w:rsidRPr="00B924EB">
        <w:rPr>
          <w:lang w:val="es-ES_tradnl"/>
        </w:rPr>
        <w:t>Fondo</w:t>
      </w:r>
      <w:r w:rsidR="00A13BEA" w:rsidRPr="00B924EB">
        <w:rPr>
          <w:lang w:val="es-ES_tradnl"/>
        </w:rPr>
        <w:t xml:space="preserve"> </w:t>
      </w:r>
      <w:r w:rsidR="00363607" w:rsidRPr="00B924EB">
        <w:rPr>
          <w:lang w:val="es-ES_tradnl"/>
        </w:rPr>
        <w:t>Multilateral</w:t>
      </w:r>
      <w:r w:rsidR="009B2ED9" w:rsidRPr="00B924EB">
        <w:rPr>
          <w:lang w:val="es-ES_tradnl"/>
        </w:rPr>
        <w:t>.</w:t>
      </w:r>
      <w:r w:rsidR="00A13BEA" w:rsidRPr="00B924EB">
        <w:rPr>
          <w:lang w:val="es-ES_tradnl"/>
        </w:rPr>
        <w:t xml:space="preserve"> </w:t>
      </w:r>
      <w:r w:rsidR="005F07C1">
        <w:rPr>
          <w:lang w:val="es-ES_tradnl"/>
        </w:rPr>
        <w:t xml:space="preserve">Esto </w:t>
      </w:r>
      <w:r w:rsidR="0027655F">
        <w:rPr>
          <w:lang w:val="es-ES_tradnl"/>
        </w:rPr>
        <w:t>equivale</w:t>
      </w:r>
      <w:r w:rsidR="005F07C1">
        <w:rPr>
          <w:lang w:val="es-ES_tradnl"/>
        </w:rPr>
        <w:t xml:space="preserve"> a </w:t>
      </w:r>
      <w:r w:rsidR="00E26F0F" w:rsidRPr="00B924EB">
        <w:rPr>
          <w:lang w:val="es-ES_tradnl"/>
        </w:rPr>
        <w:t>cerca</w:t>
      </w:r>
      <w:r w:rsidR="00A13BEA" w:rsidRPr="00B924EB">
        <w:rPr>
          <w:lang w:val="es-ES_tradnl"/>
        </w:rPr>
        <w:t xml:space="preserve"> </w:t>
      </w:r>
      <w:r w:rsidR="00E26F0F" w:rsidRPr="00B924EB">
        <w:rPr>
          <w:lang w:val="es-ES_tradnl"/>
        </w:rPr>
        <w:t>de</w:t>
      </w:r>
      <w:r w:rsidR="00A13BEA" w:rsidRPr="00B924EB">
        <w:rPr>
          <w:lang w:val="es-ES_tradnl"/>
        </w:rPr>
        <w:t xml:space="preserve"> </w:t>
      </w:r>
      <w:r w:rsidR="009B2ED9" w:rsidRPr="00B924EB">
        <w:rPr>
          <w:lang w:val="es-ES_tradnl"/>
        </w:rPr>
        <w:t>2.4</w:t>
      </w:r>
      <w:r w:rsidR="00A13BEA" w:rsidRPr="00B924EB">
        <w:rPr>
          <w:lang w:val="es-ES_tradnl"/>
        </w:rPr>
        <w:t xml:space="preserve"> </w:t>
      </w:r>
      <w:r w:rsidR="00E26F0F" w:rsidRPr="00B924EB">
        <w:rPr>
          <w:lang w:val="es-ES_tradnl"/>
        </w:rPr>
        <w:t>millones</w:t>
      </w:r>
      <w:r w:rsidR="00A13BEA" w:rsidRPr="00B924EB">
        <w:rPr>
          <w:lang w:val="es-ES_tradnl"/>
        </w:rPr>
        <w:t xml:space="preserve"> </w:t>
      </w:r>
      <w:r w:rsidR="00E26F0F" w:rsidRPr="00B924EB">
        <w:rPr>
          <w:lang w:val="es-ES_tradnl"/>
        </w:rPr>
        <w:t>de</w:t>
      </w:r>
      <w:r w:rsidR="00A13BEA" w:rsidRPr="00B924EB">
        <w:rPr>
          <w:lang w:val="es-ES_tradnl"/>
        </w:rPr>
        <w:t xml:space="preserve"> </w:t>
      </w:r>
      <w:r w:rsidR="00B01E25" w:rsidRPr="00B01E25">
        <w:rPr>
          <w:lang w:val="es-ES_tradnl"/>
        </w:rPr>
        <w:t xml:space="preserve">$EUA </w:t>
      </w:r>
      <w:r w:rsidR="0027655F">
        <w:rPr>
          <w:lang w:val="es-ES_tradnl"/>
        </w:rPr>
        <w:t xml:space="preserve">que no </w:t>
      </w:r>
      <w:r w:rsidR="00015DD2">
        <w:rPr>
          <w:lang w:val="es-ES_tradnl"/>
        </w:rPr>
        <w:t>se solicitaron</w:t>
      </w:r>
      <w:r w:rsidR="00A13BEA" w:rsidRPr="00B924EB">
        <w:rPr>
          <w:lang w:val="es-ES_tradnl"/>
        </w:rPr>
        <w:t xml:space="preserve"> </w:t>
      </w:r>
      <w:r w:rsidR="0027655F">
        <w:rPr>
          <w:lang w:val="es-ES_tradnl"/>
        </w:rPr>
        <w:t xml:space="preserve">al </w:t>
      </w:r>
      <w:r w:rsidR="00452F79" w:rsidRPr="00B924EB">
        <w:rPr>
          <w:lang w:val="es-ES_tradnl"/>
        </w:rPr>
        <w:t>Fondo</w:t>
      </w:r>
      <w:r w:rsidR="009B2ED9" w:rsidRPr="00B924EB">
        <w:rPr>
          <w:lang w:val="es-ES_tradnl"/>
        </w:rPr>
        <w:t>.</w:t>
      </w:r>
    </w:p>
    <w:p w14:paraId="0D3AEA4B" w14:textId="592E3EB8" w:rsidR="000521A3" w:rsidRPr="00B924EB" w:rsidRDefault="00E75D30" w:rsidP="00C679D6">
      <w:pPr>
        <w:pStyle w:val="Heading1"/>
        <w:keepNext/>
        <w:widowControl w:val="0"/>
        <w:numPr>
          <w:ilvl w:val="0"/>
          <w:numId w:val="0"/>
        </w:numPr>
        <w:rPr>
          <w:b/>
          <w:lang w:val="es-ES_tradnl"/>
        </w:rPr>
      </w:pPr>
      <w:r w:rsidRPr="00E75D30">
        <w:rPr>
          <w:b/>
          <w:lang w:val="es-ES_tradnl"/>
        </w:rPr>
        <w:t xml:space="preserve">Propuesta de plan administrativo </w:t>
      </w:r>
      <w:r w:rsidR="00C679D6" w:rsidRPr="00B924EB">
        <w:rPr>
          <w:b/>
          <w:lang w:val="es-ES_tradnl"/>
        </w:rPr>
        <w:t>202</w:t>
      </w:r>
      <w:r w:rsidR="00A45EE3" w:rsidRPr="00B924EB">
        <w:rPr>
          <w:b/>
          <w:lang w:val="es-ES_tradnl"/>
        </w:rPr>
        <w:t>1</w:t>
      </w:r>
      <w:r w:rsidR="00755C5D" w:rsidRPr="00B924EB">
        <w:rPr>
          <w:b/>
          <w:lang w:val="es-ES_tradnl"/>
        </w:rPr>
        <w:t>-</w:t>
      </w:r>
      <w:r w:rsidR="00C679D6" w:rsidRPr="00B924EB">
        <w:rPr>
          <w:b/>
          <w:lang w:val="es-ES_tradnl"/>
        </w:rPr>
        <w:t>202</w:t>
      </w:r>
      <w:r w:rsidR="00A45EE3" w:rsidRPr="00B924EB">
        <w:rPr>
          <w:b/>
          <w:lang w:val="es-ES_tradnl"/>
        </w:rPr>
        <w:t>3</w:t>
      </w:r>
      <w:r w:rsidR="00A13BEA" w:rsidRPr="00B924EB">
        <w:rPr>
          <w:b/>
          <w:lang w:val="es-ES_tradnl"/>
        </w:rPr>
        <w:t xml:space="preserve"> </w:t>
      </w:r>
      <w:r w:rsidR="00E26F0F" w:rsidRPr="00B924EB">
        <w:rPr>
          <w:b/>
          <w:lang w:val="es-ES_tradnl"/>
        </w:rPr>
        <w:t>del</w:t>
      </w:r>
      <w:r w:rsidR="00A13BEA" w:rsidRPr="00B924EB">
        <w:rPr>
          <w:b/>
          <w:lang w:val="es-ES_tradnl"/>
        </w:rPr>
        <w:t xml:space="preserve"> </w:t>
      </w:r>
      <w:r w:rsidR="00755C5D" w:rsidRPr="00B924EB">
        <w:rPr>
          <w:b/>
          <w:lang w:val="es-ES_tradnl"/>
        </w:rPr>
        <w:t>Fondo</w:t>
      </w:r>
      <w:r w:rsidR="00A13BEA" w:rsidRPr="00B924EB">
        <w:rPr>
          <w:b/>
          <w:lang w:val="es-ES_tradnl"/>
        </w:rPr>
        <w:t xml:space="preserve"> </w:t>
      </w:r>
      <w:r w:rsidR="00755C5D" w:rsidRPr="00B924EB">
        <w:rPr>
          <w:b/>
          <w:lang w:val="es-ES_tradnl"/>
        </w:rPr>
        <w:t>Multilateral</w:t>
      </w:r>
    </w:p>
    <w:p w14:paraId="38156181" w14:textId="37658AB7" w:rsidR="007937FE" w:rsidRPr="00B924EB" w:rsidRDefault="00C12430" w:rsidP="00BB184A">
      <w:pPr>
        <w:pStyle w:val="Heading1"/>
        <w:rPr>
          <w:lang w:val="es-ES_tradnl"/>
        </w:rPr>
      </w:pPr>
      <w:r w:rsidRPr="00C12430">
        <w:rPr>
          <w:lang w:val="es-ES_tradnl"/>
        </w:rPr>
        <w:t xml:space="preserve">Para la ejecución de la etapa II del PGEH para </w:t>
      </w:r>
      <w:r w:rsidR="00596727">
        <w:rPr>
          <w:lang w:val="es-ES_tradnl"/>
        </w:rPr>
        <w:t>Iraq</w:t>
      </w:r>
      <w:r>
        <w:rPr>
          <w:lang w:val="es-ES_tradnl"/>
        </w:rPr>
        <w:t>, e</w:t>
      </w:r>
      <w:r w:rsidR="00755C5D" w:rsidRPr="00B924EB">
        <w:rPr>
          <w:lang w:val="es-ES_tradnl"/>
        </w:rPr>
        <w:t>l</w:t>
      </w:r>
      <w:r w:rsidR="00C03ABC">
        <w:rPr>
          <w:lang w:val="es-ES_tradnl"/>
        </w:rPr>
        <w:t xml:space="preserve"> </w:t>
      </w:r>
      <w:r w:rsidR="00755C5D" w:rsidRPr="00B924EB">
        <w:rPr>
          <w:lang w:val="es-ES_tradnl"/>
        </w:rPr>
        <w:t>PNUMA</w:t>
      </w:r>
      <w:r w:rsidR="00A13BEA" w:rsidRPr="00B924EB">
        <w:rPr>
          <w:lang w:val="es-ES_tradnl"/>
        </w:rPr>
        <w:t xml:space="preserve"> </w:t>
      </w:r>
      <w:r w:rsidR="00755C5D" w:rsidRPr="00B924EB">
        <w:rPr>
          <w:lang w:val="es-ES_tradnl"/>
        </w:rPr>
        <w:t>y</w:t>
      </w:r>
      <w:r w:rsidR="00A13BEA" w:rsidRPr="00B924EB">
        <w:rPr>
          <w:lang w:val="es-ES_tradnl"/>
        </w:rPr>
        <w:t xml:space="preserve"> </w:t>
      </w:r>
      <w:r w:rsidR="00755C5D" w:rsidRPr="00B924EB">
        <w:rPr>
          <w:lang w:val="es-ES_tradnl"/>
        </w:rPr>
        <w:t>la</w:t>
      </w:r>
      <w:r w:rsidR="00A13BEA" w:rsidRPr="00B924EB">
        <w:rPr>
          <w:lang w:val="es-ES_tradnl"/>
        </w:rPr>
        <w:t xml:space="preserve"> </w:t>
      </w:r>
      <w:r w:rsidR="00755C5D" w:rsidRPr="00B924EB">
        <w:rPr>
          <w:lang w:val="es-ES_tradnl"/>
        </w:rPr>
        <w:t>ONUDI</w:t>
      </w:r>
      <w:r w:rsidR="00A13BEA" w:rsidRPr="00B924EB">
        <w:rPr>
          <w:lang w:val="es-ES_tradnl"/>
        </w:rPr>
        <w:t xml:space="preserve"> </w:t>
      </w:r>
      <w:r w:rsidR="003208A7" w:rsidRPr="00B924EB">
        <w:rPr>
          <w:lang w:val="es-ES_tradnl"/>
        </w:rPr>
        <w:t>solicitan</w:t>
      </w:r>
      <w:r w:rsidR="00A13BEA" w:rsidRPr="00B924EB">
        <w:rPr>
          <w:lang w:val="es-ES_tradnl"/>
        </w:rPr>
        <w:t xml:space="preserve"> </w:t>
      </w:r>
      <w:r w:rsidR="0012186D">
        <w:rPr>
          <w:lang w:val="es-ES_tradnl"/>
        </w:rPr>
        <w:t xml:space="preserve">la suma de </w:t>
      </w:r>
      <w:r w:rsidR="00755C5D" w:rsidRPr="00B924EB">
        <w:rPr>
          <w:lang w:val="es-ES_tradnl"/>
        </w:rPr>
        <w:t>2.</w:t>
      </w:r>
      <w:r w:rsidR="00F65977" w:rsidRPr="00B924EB">
        <w:rPr>
          <w:lang w:val="es-ES_tradnl"/>
        </w:rPr>
        <w:t>75</w:t>
      </w:r>
      <w:r w:rsidR="00755C5D" w:rsidRPr="00B924EB">
        <w:rPr>
          <w:lang w:val="es-ES_tradnl"/>
        </w:rPr>
        <w:t>0.</w:t>
      </w:r>
      <w:r w:rsidR="00F65977" w:rsidRPr="00B924EB">
        <w:rPr>
          <w:lang w:val="es-ES_tradnl"/>
        </w:rPr>
        <w:t>00</w:t>
      </w:r>
      <w:r w:rsidR="00755C5D" w:rsidRPr="00B924EB">
        <w:rPr>
          <w:lang w:val="es-ES_tradnl"/>
        </w:rPr>
        <w:t>0</w:t>
      </w:r>
      <w:r w:rsidR="00A13BEA" w:rsidRPr="00B924EB">
        <w:rPr>
          <w:lang w:val="es-ES_tradnl"/>
        </w:rPr>
        <w:t xml:space="preserve"> </w:t>
      </w:r>
      <w:r w:rsidR="00DB3D7B" w:rsidRPr="00B924EB">
        <w:rPr>
          <w:lang w:val="es-ES_tradnl"/>
        </w:rPr>
        <w:t>$EUA</w:t>
      </w:r>
      <w:r w:rsidR="002F6B0A">
        <w:rPr>
          <w:lang w:val="es-ES_tradnl"/>
        </w:rPr>
        <w:t xml:space="preserve"> </w:t>
      </w:r>
      <w:r w:rsidR="00DB3D7B" w:rsidRPr="00B924EB">
        <w:rPr>
          <w:lang w:val="es-ES_tradnl"/>
        </w:rPr>
        <w:t>más</w:t>
      </w:r>
      <w:r w:rsidR="00A13BEA" w:rsidRPr="00B924EB">
        <w:rPr>
          <w:lang w:val="es-ES_tradnl"/>
        </w:rPr>
        <w:t xml:space="preserve"> </w:t>
      </w:r>
      <w:r w:rsidR="00DB3D7B" w:rsidRPr="00B924EB">
        <w:rPr>
          <w:lang w:val="es-ES_tradnl"/>
        </w:rPr>
        <w:t>gastos</w:t>
      </w:r>
      <w:r w:rsidR="00A13BEA" w:rsidRPr="00B924EB">
        <w:rPr>
          <w:lang w:val="es-ES_tradnl"/>
        </w:rPr>
        <w:t xml:space="preserve"> </w:t>
      </w:r>
      <w:r w:rsidR="00DB3D7B" w:rsidRPr="00B924EB">
        <w:rPr>
          <w:lang w:val="es-ES_tradnl"/>
        </w:rPr>
        <w:t>de</w:t>
      </w:r>
      <w:r w:rsidR="00A13BEA" w:rsidRPr="00B924EB">
        <w:rPr>
          <w:lang w:val="es-ES_tradnl"/>
        </w:rPr>
        <w:t xml:space="preserve"> </w:t>
      </w:r>
      <w:r w:rsidR="00DB3D7B" w:rsidRPr="00B924EB">
        <w:rPr>
          <w:lang w:val="es-ES_tradnl"/>
        </w:rPr>
        <w:t>apoyo</w:t>
      </w:r>
      <w:r w:rsidR="007937FE" w:rsidRPr="00B924EB">
        <w:rPr>
          <w:lang w:val="es-ES_tradnl"/>
        </w:rPr>
        <w:t>.</w:t>
      </w:r>
      <w:r w:rsidR="00A13BEA" w:rsidRPr="00B924EB">
        <w:rPr>
          <w:lang w:val="es-ES_tradnl"/>
        </w:rPr>
        <w:t xml:space="preserve"> </w:t>
      </w:r>
      <w:r w:rsidR="00C268F1">
        <w:rPr>
          <w:lang w:val="es-ES_tradnl"/>
        </w:rPr>
        <w:t xml:space="preserve">Para </w:t>
      </w:r>
      <w:r w:rsidR="00C268F1" w:rsidRPr="00C268F1">
        <w:rPr>
          <w:lang w:val="es-ES_tradnl"/>
        </w:rPr>
        <w:t>el período 2021-2023</w:t>
      </w:r>
      <w:r w:rsidR="00C268F1">
        <w:rPr>
          <w:lang w:val="es-ES_tradnl"/>
        </w:rPr>
        <w:t xml:space="preserve"> se </w:t>
      </w:r>
      <w:r w:rsidR="00FF4ED1">
        <w:rPr>
          <w:lang w:val="es-ES_tradnl"/>
        </w:rPr>
        <w:t>solicita</w:t>
      </w:r>
      <w:r w:rsidR="00A13BEA" w:rsidRPr="00B924EB">
        <w:rPr>
          <w:lang w:val="es-ES_tradnl"/>
        </w:rPr>
        <w:t xml:space="preserve"> </w:t>
      </w:r>
      <w:r w:rsidR="00C268F1">
        <w:rPr>
          <w:lang w:val="es-ES_tradnl"/>
        </w:rPr>
        <w:t xml:space="preserve">un </w:t>
      </w:r>
      <w:r w:rsidR="00C268F1" w:rsidRPr="00C268F1">
        <w:rPr>
          <w:lang w:val="es-ES_tradnl"/>
        </w:rPr>
        <w:t xml:space="preserve">total </w:t>
      </w:r>
      <w:r w:rsidR="00755C5D" w:rsidRPr="00B924EB">
        <w:rPr>
          <w:lang w:val="es-ES_tradnl"/>
        </w:rPr>
        <w:t>de</w:t>
      </w:r>
      <w:r w:rsidR="00A13BEA" w:rsidRPr="00B924EB">
        <w:rPr>
          <w:lang w:val="es-ES_tradnl"/>
        </w:rPr>
        <w:t xml:space="preserve"> </w:t>
      </w:r>
      <w:r w:rsidR="00755C5D" w:rsidRPr="00B924EB">
        <w:rPr>
          <w:lang w:val="es-ES_tradnl"/>
        </w:rPr>
        <w:t>2.</w:t>
      </w:r>
      <w:r w:rsidR="00DD64BE" w:rsidRPr="00B924EB">
        <w:rPr>
          <w:lang w:val="es-ES_tradnl"/>
        </w:rPr>
        <w:t>50</w:t>
      </w:r>
      <w:r w:rsidR="009374DA" w:rsidRPr="00B924EB">
        <w:rPr>
          <w:lang w:val="es-ES_tradnl"/>
        </w:rPr>
        <w:t>5.</w:t>
      </w:r>
      <w:r w:rsidR="00DD64BE" w:rsidRPr="00B924EB">
        <w:rPr>
          <w:lang w:val="es-ES_tradnl"/>
        </w:rPr>
        <w:t>81</w:t>
      </w:r>
      <w:r w:rsidR="00755C5D" w:rsidRPr="00B924EB">
        <w:rPr>
          <w:lang w:val="es-ES_tradnl"/>
        </w:rPr>
        <w:t>0</w:t>
      </w:r>
      <w:r w:rsidR="00C03ABC" w:rsidRPr="00C03ABC">
        <w:rPr>
          <w:lang w:val="es-ES_tradnl"/>
        </w:rPr>
        <w:t xml:space="preserve"> $EUA</w:t>
      </w:r>
      <w:r w:rsidR="00C03ABC">
        <w:rPr>
          <w:lang w:val="es-ES_tradnl"/>
        </w:rPr>
        <w:t>,</w:t>
      </w:r>
      <w:r w:rsidR="00A13BEA" w:rsidRPr="00B924EB">
        <w:rPr>
          <w:lang w:val="es-ES_tradnl"/>
        </w:rPr>
        <w:t xml:space="preserve"> </w:t>
      </w:r>
      <w:r w:rsidR="00E26F0F" w:rsidRPr="00B924EB">
        <w:rPr>
          <w:lang w:val="es-ES_tradnl"/>
        </w:rPr>
        <w:t>incluyendo</w:t>
      </w:r>
      <w:r w:rsidR="00A13BEA" w:rsidRPr="00B924EB">
        <w:rPr>
          <w:lang w:val="es-ES_tradnl"/>
        </w:rPr>
        <w:t xml:space="preserve"> </w:t>
      </w:r>
      <w:r w:rsidR="000521A3" w:rsidRPr="00B924EB">
        <w:rPr>
          <w:lang w:val="es-ES_tradnl"/>
        </w:rPr>
        <w:t>gastos</w:t>
      </w:r>
      <w:r w:rsidR="00A13BEA" w:rsidRPr="00B924EB">
        <w:rPr>
          <w:lang w:val="es-ES_tradnl"/>
        </w:rPr>
        <w:t xml:space="preserve"> </w:t>
      </w:r>
      <w:r w:rsidR="000521A3" w:rsidRPr="00B924EB">
        <w:rPr>
          <w:lang w:val="es-ES_tradnl"/>
        </w:rPr>
        <w:t>de</w:t>
      </w:r>
      <w:r w:rsidR="00A13BEA" w:rsidRPr="00B924EB">
        <w:rPr>
          <w:lang w:val="es-ES_tradnl"/>
        </w:rPr>
        <w:t xml:space="preserve"> </w:t>
      </w:r>
      <w:r w:rsidR="000521A3" w:rsidRPr="00B924EB">
        <w:rPr>
          <w:lang w:val="es-ES_tradnl"/>
        </w:rPr>
        <w:t>apoyo</w:t>
      </w:r>
      <w:r w:rsidR="000D4150">
        <w:rPr>
          <w:lang w:val="es-ES_tradnl"/>
        </w:rPr>
        <w:t>, cifra</w:t>
      </w:r>
      <w:r w:rsidR="00A13BEA" w:rsidRPr="00B924EB">
        <w:rPr>
          <w:lang w:val="es-ES_tradnl"/>
        </w:rPr>
        <w:t xml:space="preserve"> </w:t>
      </w:r>
      <w:r w:rsidR="009E47D9" w:rsidRPr="00B924EB">
        <w:rPr>
          <w:lang w:val="es-ES_tradnl"/>
        </w:rPr>
        <w:t>50</w:t>
      </w:r>
      <w:r w:rsidR="009374DA" w:rsidRPr="00B924EB">
        <w:rPr>
          <w:lang w:val="es-ES_tradnl"/>
        </w:rPr>
        <w:t>8.</w:t>
      </w:r>
      <w:r w:rsidR="009E47D9" w:rsidRPr="00B924EB">
        <w:rPr>
          <w:lang w:val="es-ES_tradnl"/>
        </w:rPr>
        <w:t>010</w:t>
      </w:r>
      <w:r w:rsidR="00CF325D" w:rsidRPr="00CF325D">
        <w:rPr>
          <w:lang w:val="es-ES_tradnl"/>
        </w:rPr>
        <w:t xml:space="preserve"> $EUA</w:t>
      </w:r>
      <w:r w:rsidR="00A13BEA" w:rsidRPr="00B924EB">
        <w:rPr>
          <w:lang w:val="es-ES_tradnl"/>
        </w:rPr>
        <w:t xml:space="preserve"> </w:t>
      </w:r>
      <w:r w:rsidR="003E2CB9">
        <w:rPr>
          <w:lang w:val="es-ES_tradnl"/>
        </w:rPr>
        <w:t xml:space="preserve">superior a lo contemplado </w:t>
      </w:r>
      <w:r w:rsidR="009374DA" w:rsidRPr="00B924EB">
        <w:rPr>
          <w:lang w:val="es-ES_tradnl"/>
        </w:rPr>
        <w:t>en</w:t>
      </w:r>
      <w:r w:rsidR="00A13BEA" w:rsidRPr="00B924EB">
        <w:rPr>
          <w:lang w:val="es-ES_tradnl"/>
        </w:rPr>
        <w:t xml:space="preserve"> </w:t>
      </w:r>
      <w:r w:rsidR="004135A5" w:rsidRPr="00B924EB">
        <w:rPr>
          <w:lang w:val="es-ES_tradnl"/>
        </w:rPr>
        <w:t>el plan administrativo</w:t>
      </w:r>
      <w:r w:rsidR="00BE7865" w:rsidRPr="00B924EB">
        <w:rPr>
          <w:lang w:val="es-ES_tradnl"/>
        </w:rPr>
        <w:t>.</w:t>
      </w:r>
    </w:p>
    <w:p w14:paraId="79D4857C" w14:textId="4E701976" w:rsidR="000521A3" w:rsidRPr="00B924EB" w:rsidRDefault="001A1006" w:rsidP="00C679D6">
      <w:pPr>
        <w:pStyle w:val="Heading1"/>
        <w:numPr>
          <w:ilvl w:val="0"/>
          <w:numId w:val="0"/>
        </w:numPr>
        <w:rPr>
          <w:b/>
          <w:lang w:val="es-ES_tradnl"/>
        </w:rPr>
      </w:pPr>
      <w:r w:rsidRPr="00B924EB">
        <w:rPr>
          <w:b/>
          <w:lang w:val="es-ES_tradnl"/>
        </w:rPr>
        <w:t>Proyecto</w:t>
      </w:r>
      <w:r w:rsidR="00A13BEA" w:rsidRPr="00B924EB">
        <w:rPr>
          <w:b/>
          <w:lang w:val="es-ES_tradnl"/>
        </w:rPr>
        <w:t xml:space="preserve"> </w:t>
      </w:r>
      <w:r w:rsidRPr="00B924EB">
        <w:rPr>
          <w:b/>
          <w:lang w:val="es-ES_tradnl"/>
        </w:rPr>
        <w:t>de</w:t>
      </w:r>
      <w:r w:rsidR="00A13BEA" w:rsidRPr="00B924EB">
        <w:rPr>
          <w:b/>
          <w:lang w:val="es-ES_tradnl"/>
        </w:rPr>
        <w:t xml:space="preserve"> </w:t>
      </w:r>
      <w:r w:rsidRPr="00B924EB">
        <w:rPr>
          <w:b/>
          <w:lang w:val="es-ES_tradnl"/>
        </w:rPr>
        <w:t>acuerdo</w:t>
      </w:r>
    </w:p>
    <w:p w14:paraId="6C6911B1" w14:textId="4F71D6F9" w:rsidR="00366801" w:rsidRPr="00B924EB" w:rsidRDefault="00B72E7B" w:rsidP="00366801">
      <w:pPr>
        <w:pStyle w:val="Heading1"/>
        <w:tabs>
          <w:tab w:val="clear" w:pos="0"/>
        </w:tabs>
        <w:rPr>
          <w:lang w:val="es-ES_tradnl"/>
        </w:rPr>
      </w:pPr>
      <w:r w:rsidRPr="00EF73E8">
        <w:rPr>
          <w:lang w:val="es-ES_tradnl"/>
        </w:rPr>
        <w:t xml:space="preserve">El proyecto de acuerdo entre el Gobierno de </w:t>
      </w:r>
      <w:r w:rsidRPr="00B72E7B">
        <w:rPr>
          <w:lang w:val="es-ES_tradnl"/>
        </w:rPr>
        <w:t xml:space="preserve">Iraq </w:t>
      </w:r>
      <w:r w:rsidRPr="00EF73E8">
        <w:rPr>
          <w:lang w:val="es-ES_tradnl"/>
        </w:rPr>
        <w:t>y el Comité Ejecutivo para la eliminación de HCFC en la etapa II del PGEH</w:t>
      </w:r>
      <w:r w:rsidRPr="007F2F6A">
        <w:rPr>
          <w:lang w:val="es-AR"/>
        </w:rPr>
        <w:t xml:space="preserve"> </w:t>
      </w:r>
      <w:r w:rsidRPr="00EF73E8">
        <w:rPr>
          <w:lang w:val="es-ES_tradnl"/>
        </w:rPr>
        <w:t>se presenta en el Anexo I al presente documento.</w:t>
      </w:r>
    </w:p>
    <w:p w14:paraId="318B7A4E" w14:textId="71E46F81" w:rsidR="00252A55" w:rsidRPr="00055144" w:rsidRDefault="00755C5D" w:rsidP="00C679D6">
      <w:pPr>
        <w:pStyle w:val="Heading1"/>
        <w:keepNext/>
        <w:numPr>
          <w:ilvl w:val="0"/>
          <w:numId w:val="0"/>
        </w:numPr>
        <w:autoSpaceDE w:val="0"/>
        <w:autoSpaceDN w:val="0"/>
        <w:adjustRightInd w:val="0"/>
        <w:rPr>
          <w:b/>
          <w:lang w:val="es-ES_tradnl"/>
        </w:rPr>
      </w:pPr>
      <w:r w:rsidRPr="00055144">
        <w:rPr>
          <w:b/>
          <w:lang w:val="es-ES_tradnl"/>
        </w:rPr>
        <w:lastRenderedPageBreak/>
        <w:t>RECOMENDACIÓN</w:t>
      </w:r>
    </w:p>
    <w:p w14:paraId="4EDFC59F" w14:textId="156300A5" w:rsidR="00297F4D" w:rsidRPr="00055144" w:rsidRDefault="009374DA" w:rsidP="00BB184A">
      <w:pPr>
        <w:pStyle w:val="Heading1"/>
        <w:rPr>
          <w:b/>
          <w:lang w:val="es-ES_tradnl"/>
        </w:rPr>
      </w:pPr>
      <w:r w:rsidRPr="00055144">
        <w:rPr>
          <w:lang w:val="es-ES_tradnl"/>
        </w:rPr>
        <w:t>El</w:t>
      </w:r>
      <w:r w:rsidR="00A13BEA" w:rsidRPr="00055144">
        <w:rPr>
          <w:lang w:val="es-ES_tradnl"/>
        </w:rPr>
        <w:t xml:space="preserve"> </w:t>
      </w:r>
      <w:r w:rsidRPr="00055144">
        <w:rPr>
          <w:lang w:val="es-ES_tradnl"/>
        </w:rPr>
        <w:t>Comité</w:t>
      </w:r>
      <w:r w:rsidR="00A13BEA" w:rsidRPr="00055144">
        <w:rPr>
          <w:lang w:val="es-ES_tradnl"/>
        </w:rPr>
        <w:t xml:space="preserve"> </w:t>
      </w:r>
      <w:r w:rsidR="00755C5D" w:rsidRPr="00055144">
        <w:rPr>
          <w:lang w:val="es-ES_tradnl"/>
        </w:rPr>
        <w:t>Ejecutivo</w:t>
      </w:r>
      <w:r w:rsidR="00A13BEA" w:rsidRPr="00055144">
        <w:rPr>
          <w:lang w:val="es-ES_tradnl"/>
        </w:rPr>
        <w:t xml:space="preserve"> </w:t>
      </w:r>
      <w:r w:rsidR="003208A7" w:rsidRPr="00055144">
        <w:rPr>
          <w:lang w:val="es-ES_tradnl"/>
        </w:rPr>
        <w:t>podrá</w:t>
      </w:r>
      <w:r w:rsidR="00A13BEA" w:rsidRPr="00055144">
        <w:rPr>
          <w:lang w:val="es-ES_tradnl"/>
        </w:rPr>
        <w:t xml:space="preserve"> </w:t>
      </w:r>
      <w:r w:rsidR="003208A7" w:rsidRPr="00055144">
        <w:rPr>
          <w:lang w:val="es-ES_tradnl"/>
        </w:rPr>
        <w:t>estimar</w:t>
      </w:r>
      <w:r w:rsidR="00A13BEA" w:rsidRPr="00055144">
        <w:rPr>
          <w:lang w:val="es-ES_tradnl"/>
        </w:rPr>
        <w:t xml:space="preserve"> </w:t>
      </w:r>
      <w:r w:rsidR="003208A7" w:rsidRPr="00055144">
        <w:rPr>
          <w:lang w:val="es-ES_tradnl"/>
        </w:rPr>
        <w:t>oportuno:</w:t>
      </w:r>
    </w:p>
    <w:p w14:paraId="79AD42F2" w14:textId="2F67A123" w:rsidR="00297F4D" w:rsidRPr="00055144" w:rsidRDefault="008C74F1" w:rsidP="00BB184A">
      <w:pPr>
        <w:pStyle w:val="Heading2"/>
        <w:numPr>
          <w:ilvl w:val="1"/>
          <w:numId w:val="23"/>
        </w:numPr>
        <w:rPr>
          <w:lang w:val="es-ES_tradnl"/>
        </w:rPr>
      </w:pPr>
      <w:r w:rsidRPr="00055144">
        <w:rPr>
          <w:lang w:val="es-ES_tradnl"/>
        </w:rPr>
        <w:t>Aprobar</w:t>
      </w:r>
      <w:r w:rsidR="00A13BEA" w:rsidRPr="00055144">
        <w:rPr>
          <w:lang w:val="es-ES_tradnl"/>
        </w:rPr>
        <w:t xml:space="preserve"> </w:t>
      </w:r>
      <w:r w:rsidR="00755C5D" w:rsidRPr="00055144">
        <w:rPr>
          <w:lang w:val="es-ES_tradnl"/>
        </w:rPr>
        <w:t>en</w:t>
      </w:r>
      <w:r w:rsidR="00A13BEA" w:rsidRPr="00055144">
        <w:rPr>
          <w:lang w:val="es-ES_tradnl"/>
        </w:rPr>
        <w:t xml:space="preserve"> </w:t>
      </w:r>
      <w:r w:rsidR="00755C5D" w:rsidRPr="00055144">
        <w:rPr>
          <w:lang w:val="es-ES_tradnl"/>
        </w:rPr>
        <w:t>principio</w:t>
      </w:r>
      <w:r w:rsidR="00A13BEA" w:rsidRPr="00055144">
        <w:rPr>
          <w:lang w:val="es-ES_tradnl"/>
        </w:rPr>
        <w:t xml:space="preserve"> </w:t>
      </w:r>
      <w:r w:rsidR="003208A7" w:rsidRPr="00055144">
        <w:rPr>
          <w:lang w:val="es-ES_tradnl"/>
        </w:rPr>
        <w:t>la</w:t>
      </w:r>
      <w:r w:rsidR="00A13BEA" w:rsidRPr="00055144">
        <w:rPr>
          <w:lang w:val="es-ES_tradnl"/>
        </w:rPr>
        <w:t xml:space="preserve"> </w:t>
      </w:r>
      <w:r w:rsidR="003208A7" w:rsidRPr="00055144">
        <w:rPr>
          <w:lang w:val="es-ES_tradnl"/>
        </w:rPr>
        <w:t>etapa</w:t>
      </w:r>
      <w:r w:rsidR="00A13BEA" w:rsidRPr="00055144">
        <w:rPr>
          <w:lang w:val="es-ES_tradnl"/>
        </w:rPr>
        <w:t xml:space="preserve"> </w:t>
      </w:r>
      <w:r w:rsidR="003208A7" w:rsidRPr="00055144">
        <w:rPr>
          <w:lang w:val="es-ES_tradnl"/>
        </w:rPr>
        <w:t>I</w:t>
      </w:r>
      <w:r w:rsidR="00297F4D" w:rsidRPr="00055144">
        <w:rPr>
          <w:lang w:val="es-ES_tradnl"/>
        </w:rPr>
        <w:t>I</w:t>
      </w:r>
      <w:r w:rsidR="00A13BEA" w:rsidRPr="00055144">
        <w:rPr>
          <w:lang w:val="es-ES_tradnl"/>
        </w:rPr>
        <w:t xml:space="preserve"> </w:t>
      </w:r>
      <w:r w:rsidR="000521A3" w:rsidRPr="00055144">
        <w:rPr>
          <w:lang w:val="es-ES_tradnl"/>
        </w:rPr>
        <w:t>del</w:t>
      </w:r>
      <w:r w:rsidR="00A13BEA" w:rsidRPr="00055144">
        <w:rPr>
          <w:lang w:val="es-ES_tradnl"/>
        </w:rPr>
        <w:t xml:space="preserve"> </w:t>
      </w:r>
      <w:r w:rsidR="00AB36CA" w:rsidRPr="00055144">
        <w:rPr>
          <w:lang w:val="es-ES_tradnl"/>
        </w:rPr>
        <w:t>PGEH</w:t>
      </w:r>
      <w:r w:rsidR="00A13BEA" w:rsidRPr="00055144">
        <w:rPr>
          <w:lang w:val="es-ES_tradnl"/>
        </w:rPr>
        <w:t xml:space="preserve"> </w:t>
      </w:r>
      <w:r w:rsidR="0019174E" w:rsidRPr="00055144">
        <w:rPr>
          <w:lang w:val="es-ES_tradnl"/>
        </w:rPr>
        <w:t xml:space="preserve">de </w:t>
      </w:r>
      <w:r w:rsidR="00BB184A" w:rsidRPr="00055144">
        <w:rPr>
          <w:lang w:val="es-ES_tradnl"/>
        </w:rPr>
        <w:t>Iraq</w:t>
      </w:r>
      <w:r w:rsidR="00A13BEA" w:rsidRPr="00055144">
        <w:rPr>
          <w:lang w:val="es-ES_tradnl"/>
        </w:rPr>
        <w:t xml:space="preserve"> </w:t>
      </w:r>
      <w:r w:rsidR="00CF71EF">
        <w:rPr>
          <w:lang w:val="es-ES_tradnl"/>
        </w:rPr>
        <w:t xml:space="preserve">para </w:t>
      </w:r>
      <w:r w:rsidR="00842B80">
        <w:rPr>
          <w:lang w:val="es-ES_tradnl"/>
        </w:rPr>
        <w:t>reducir</w:t>
      </w:r>
      <w:r w:rsidR="00864CB5" w:rsidRPr="00055144">
        <w:rPr>
          <w:lang w:val="es-ES_tradnl"/>
        </w:rPr>
        <w:t xml:space="preserve"> </w:t>
      </w:r>
      <w:r w:rsidR="004E0EBF" w:rsidRPr="00055144">
        <w:rPr>
          <w:lang w:val="es-ES_tradnl"/>
        </w:rPr>
        <w:t>en el período 2021-2025</w:t>
      </w:r>
      <w:r w:rsidR="00022173" w:rsidRPr="00055144">
        <w:rPr>
          <w:lang w:val="es-ES_tradnl"/>
        </w:rPr>
        <w:t xml:space="preserve"> </w:t>
      </w:r>
      <w:r w:rsidR="008D5B84" w:rsidRPr="00055144">
        <w:rPr>
          <w:lang w:val="es-ES_tradnl"/>
        </w:rPr>
        <w:t xml:space="preserve">el 69 por ciento </w:t>
      </w:r>
      <w:r w:rsidR="00A927D6" w:rsidRPr="00055144">
        <w:rPr>
          <w:lang w:val="es-ES_tradnl"/>
        </w:rPr>
        <w:t xml:space="preserve">del </w:t>
      </w:r>
      <w:r w:rsidR="00755C5D" w:rsidRPr="00055144">
        <w:rPr>
          <w:lang w:val="es-ES_tradnl"/>
        </w:rPr>
        <w:t>consumo</w:t>
      </w:r>
      <w:r w:rsidR="00A13BEA" w:rsidRPr="00055144">
        <w:rPr>
          <w:lang w:val="es-ES_tradnl"/>
        </w:rPr>
        <w:t xml:space="preserve"> </w:t>
      </w:r>
      <w:r w:rsidR="00755C5D" w:rsidRPr="00055144">
        <w:rPr>
          <w:lang w:val="es-ES_tradnl"/>
        </w:rPr>
        <w:t>de</w:t>
      </w:r>
      <w:r w:rsidR="00A13BEA" w:rsidRPr="00055144">
        <w:rPr>
          <w:lang w:val="es-ES_tradnl"/>
        </w:rPr>
        <w:t xml:space="preserve"> </w:t>
      </w:r>
      <w:r w:rsidR="00755C5D" w:rsidRPr="00055144">
        <w:rPr>
          <w:lang w:val="es-ES_tradnl"/>
        </w:rPr>
        <w:t>HCFC</w:t>
      </w:r>
      <w:r w:rsidR="00A13BEA" w:rsidRPr="00055144">
        <w:rPr>
          <w:lang w:val="es-ES_tradnl"/>
        </w:rPr>
        <w:t xml:space="preserve"> </w:t>
      </w:r>
      <w:r w:rsidR="00A927D6" w:rsidRPr="00055144">
        <w:rPr>
          <w:lang w:val="es-ES_tradnl"/>
        </w:rPr>
        <w:t xml:space="preserve">respecto de la </w:t>
      </w:r>
      <w:r w:rsidR="000521A3" w:rsidRPr="00055144">
        <w:rPr>
          <w:lang w:val="es-ES_tradnl"/>
        </w:rPr>
        <w:t>base</w:t>
      </w:r>
      <w:r w:rsidR="00A13BEA" w:rsidRPr="00055144">
        <w:rPr>
          <w:lang w:val="es-ES_tradnl"/>
        </w:rPr>
        <w:t xml:space="preserve"> </w:t>
      </w:r>
      <w:r w:rsidR="000521A3" w:rsidRPr="00055144">
        <w:rPr>
          <w:lang w:val="es-ES_tradnl"/>
        </w:rPr>
        <w:t>de</w:t>
      </w:r>
      <w:r w:rsidR="00A13BEA" w:rsidRPr="00055144">
        <w:rPr>
          <w:lang w:val="es-ES_tradnl"/>
        </w:rPr>
        <w:t xml:space="preserve"> </w:t>
      </w:r>
      <w:r w:rsidR="000521A3" w:rsidRPr="00055144">
        <w:rPr>
          <w:lang w:val="es-ES_tradnl"/>
        </w:rPr>
        <w:t>comparación</w:t>
      </w:r>
      <w:r w:rsidR="00297F4D" w:rsidRPr="00055144">
        <w:rPr>
          <w:lang w:val="es-ES_tradnl"/>
        </w:rPr>
        <w:t>,</w:t>
      </w:r>
      <w:r w:rsidR="00A13BEA" w:rsidRPr="00055144">
        <w:rPr>
          <w:lang w:val="es-ES_tradnl"/>
        </w:rPr>
        <w:t xml:space="preserve"> </w:t>
      </w:r>
      <w:r w:rsidR="009374DA" w:rsidRPr="00055144">
        <w:rPr>
          <w:lang w:val="es-ES_tradnl"/>
        </w:rPr>
        <w:t>en</w:t>
      </w:r>
      <w:r w:rsidR="00A13BEA" w:rsidRPr="00055144">
        <w:rPr>
          <w:lang w:val="es-ES_tradnl"/>
        </w:rPr>
        <w:t xml:space="preserve"> </w:t>
      </w:r>
      <w:r w:rsidR="0079224B" w:rsidRPr="00055144">
        <w:rPr>
          <w:lang w:val="es-ES_tradnl"/>
        </w:rPr>
        <w:t xml:space="preserve">la suma </w:t>
      </w:r>
      <w:r w:rsidR="00A13BEA" w:rsidRPr="00055144">
        <w:rPr>
          <w:lang w:val="es-ES_tradnl"/>
        </w:rPr>
        <w:t xml:space="preserve">de </w:t>
      </w:r>
      <w:r w:rsidR="00755C5D" w:rsidRPr="00055144">
        <w:rPr>
          <w:lang w:val="es-ES_tradnl"/>
        </w:rPr>
        <w:t>3.</w:t>
      </w:r>
      <w:r w:rsidR="00B556B1" w:rsidRPr="00055144">
        <w:rPr>
          <w:lang w:val="es-ES_tradnl"/>
        </w:rPr>
        <w:t>02</w:t>
      </w:r>
      <w:r w:rsidR="009374DA" w:rsidRPr="00055144">
        <w:rPr>
          <w:lang w:val="es-ES_tradnl"/>
        </w:rPr>
        <w:t>6.</w:t>
      </w:r>
      <w:r w:rsidR="00B556B1" w:rsidRPr="00055144">
        <w:rPr>
          <w:lang w:val="es-ES_tradnl"/>
        </w:rPr>
        <w:t>10</w:t>
      </w:r>
      <w:r w:rsidR="00755C5D" w:rsidRPr="00055144">
        <w:rPr>
          <w:lang w:val="es-ES_tradnl"/>
        </w:rPr>
        <w:t>0</w:t>
      </w:r>
      <w:r w:rsidR="00A13BEA" w:rsidRPr="00055144">
        <w:rPr>
          <w:lang w:val="es-ES_tradnl"/>
        </w:rPr>
        <w:t xml:space="preserve"> </w:t>
      </w:r>
      <w:r w:rsidR="00E26F0F" w:rsidRPr="00055144">
        <w:rPr>
          <w:lang w:val="es-ES_tradnl"/>
        </w:rPr>
        <w:t>$EUA,</w:t>
      </w:r>
      <w:r w:rsidR="00A13BEA" w:rsidRPr="00055144">
        <w:rPr>
          <w:lang w:val="es-ES_tradnl"/>
        </w:rPr>
        <w:t xml:space="preserve"> </w:t>
      </w:r>
      <w:r w:rsidR="00E26F0F" w:rsidRPr="00055144">
        <w:rPr>
          <w:lang w:val="es-ES_tradnl"/>
        </w:rPr>
        <w:t>cifra</w:t>
      </w:r>
      <w:r w:rsidR="00A13BEA" w:rsidRPr="00055144">
        <w:rPr>
          <w:lang w:val="es-ES_tradnl"/>
        </w:rPr>
        <w:t xml:space="preserve"> </w:t>
      </w:r>
      <w:r w:rsidR="00E26F0F" w:rsidRPr="00055144">
        <w:rPr>
          <w:lang w:val="es-ES_tradnl"/>
        </w:rPr>
        <w:t>consistente</w:t>
      </w:r>
      <w:r w:rsidR="00A13BEA" w:rsidRPr="00055144">
        <w:rPr>
          <w:lang w:val="es-ES_tradnl"/>
        </w:rPr>
        <w:t xml:space="preserve"> </w:t>
      </w:r>
      <w:r w:rsidR="00E26F0F" w:rsidRPr="00055144">
        <w:rPr>
          <w:lang w:val="es-ES_tradnl"/>
        </w:rPr>
        <w:t>en</w:t>
      </w:r>
      <w:r w:rsidR="00A13BEA" w:rsidRPr="00055144">
        <w:rPr>
          <w:lang w:val="es-ES_tradnl"/>
        </w:rPr>
        <w:t xml:space="preserve"> </w:t>
      </w:r>
      <w:r w:rsidR="00755C5D" w:rsidRPr="00055144">
        <w:rPr>
          <w:lang w:val="es-ES_tradnl"/>
        </w:rPr>
        <w:t>1.</w:t>
      </w:r>
      <w:r w:rsidR="00B556B1" w:rsidRPr="00055144">
        <w:rPr>
          <w:lang w:val="es-ES_tradnl"/>
        </w:rPr>
        <w:t>84</w:t>
      </w:r>
      <w:r w:rsidR="00755C5D" w:rsidRPr="00055144">
        <w:rPr>
          <w:lang w:val="es-ES_tradnl"/>
        </w:rPr>
        <w:t>0.</w:t>
      </w:r>
      <w:r w:rsidR="00B556B1" w:rsidRPr="00055144">
        <w:rPr>
          <w:lang w:val="es-ES_tradnl"/>
        </w:rPr>
        <w:t>00</w:t>
      </w:r>
      <w:r w:rsidR="00755C5D" w:rsidRPr="00055144">
        <w:rPr>
          <w:lang w:val="es-ES_tradnl"/>
        </w:rPr>
        <w:t>0</w:t>
      </w:r>
      <w:r w:rsidR="00A13BEA" w:rsidRPr="00055144">
        <w:rPr>
          <w:lang w:val="es-ES_tradnl"/>
        </w:rPr>
        <w:t xml:space="preserve"> </w:t>
      </w:r>
      <w:r w:rsidR="00DB3D7B" w:rsidRPr="00055144">
        <w:rPr>
          <w:lang w:val="es-ES_tradnl"/>
        </w:rPr>
        <w:t>$EUA</w:t>
      </w:r>
      <w:r w:rsidR="00A13BEA" w:rsidRPr="00055144">
        <w:rPr>
          <w:lang w:val="es-ES_tradnl"/>
        </w:rPr>
        <w:t xml:space="preserve"> </w:t>
      </w:r>
      <w:r w:rsidR="00DB3D7B" w:rsidRPr="00055144">
        <w:rPr>
          <w:lang w:val="es-ES_tradnl"/>
        </w:rPr>
        <w:t>más</w:t>
      </w:r>
      <w:r w:rsidR="00A13BEA" w:rsidRPr="00055144">
        <w:rPr>
          <w:lang w:val="es-ES_tradnl"/>
        </w:rPr>
        <w:t xml:space="preserve"> </w:t>
      </w:r>
      <w:r w:rsidR="004135A5" w:rsidRPr="00055144">
        <w:rPr>
          <w:lang w:val="es-ES_tradnl"/>
        </w:rPr>
        <w:t>gastos de apoyo de</w:t>
      </w:r>
      <w:r w:rsidR="00A13BEA" w:rsidRPr="00055144">
        <w:rPr>
          <w:lang w:val="es-ES_tradnl"/>
        </w:rPr>
        <w:t xml:space="preserve"> </w:t>
      </w:r>
      <w:r w:rsidR="00B556B1" w:rsidRPr="00055144">
        <w:rPr>
          <w:lang w:val="es-ES_tradnl"/>
        </w:rPr>
        <w:t>21</w:t>
      </w:r>
      <w:r w:rsidR="00755C5D" w:rsidRPr="00055144">
        <w:rPr>
          <w:lang w:val="es-ES_tradnl"/>
        </w:rPr>
        <w:t>2.</w:t>
      </w:r>
      <w:r w:rsidR="00B556B1" w:rsidRPr="00055144">
        <w:rPr>
          <w:lang w:val="es-ES_tradnl"/>
        </w:rPr>
        <w:t>400</w:t>
      </w:r>
      <w:r w:rsidR="00A13BEA" w:rsidRPr="00055144">
        <w:rPr>
          <w:lang w:val="es-ES_tradnl"/>
        </w:rPr>
        <w:t xml:space="preserve"> </w:t>
      </w:r>
      <w:r w:rsidR="000F0F55" w:rsidRPr="000F0F55">
        <w:rPr>
          <w:lang w:val="es-ES_tradnl"/>
        </w:rPr>
        <w:t xml:space="preserve">$EUA </w:t>
      </w:r>
      <w:r w:rsidR="00E26F0F" w:rsidRPr="00055144">
        <w:rPr>
          <w:lang w:val="es-ES_tradnl"/>
        </w:rPr>
        <w:t>para</w:t>
      </w:r>
      <w:r w:rsidR="00A13BEA" w:rsidRPr="00055144">
        <w:rPr>
          <w:lang w:val="es-ES_tradnl"/>
        </w:rPr>
        <w:t xml:space="preserve"> </w:t>
      </w:r>
      <w:r w:rsidR="00E26F0F" w:rsidRPr="00055144">
        <w:rPr>
          <w:lang w:val="es-ES_tradnl"/>
        </w:rPr>
        <w:t>el</w:t>
      </w:r>
      <w:r w:rsidR="00A13BEA" w:rsidRPr="00055144">
        <w:rPr>
          <w:lang w:val="es-ES_tradnl"/>
        </w:rPr>
        <w:t xml:space="preserve"> </w:t>
      </w:r>
      <w:r w:rsidR="00755C5D" w:rsidRPr="00055144">
        <w:rPr>
          <w:lang w:val="es-ES_tradnl"/>
        </w:rPr>
        <w:t>PNUMA</w:t>
      </w:r>
      <w:r w:rsidR="00A13BEA" w:rsidRPr="00055144">
        <w:rPr>
          <w:lang w:val="es-ES_tradnl"/>
        </w:rPr>
        <w:t xml:space="preserve"> </w:t>
      </w:r>
      <w:r w:rsidR="00755C5D" w:rsidRPr="00055144">
        <w:rPr>
          <w:lang w:val="es-ES_tradnl"/>
        </w:rPr>
        <w:t>y</w:t>
      </w:r>
      <w:r w:rsidR="00A13BEA" w:rsidRPr="00055144">
        <w:rPr>
          <w:lang w:val="es-ES_tradnl"/>
        </w:rPr>
        <w:t xml:space="preserve"> </w:t>
      </w:r>
      <w:r w:rsidR="00B556B1" w:rsidRPr="00055144">
        <w:rPr>
          <w:lang w:val="es-ES_tradnl"/>
        </w:rPr>
        <w:t>91</w:t>
      </w:r>
      <w:r w:rsidR="00755C5D" w:rsidRPr="00055144">
        <w:rPr>
          <w:lang w:val="es-ES_tradnl"/>
        </w:rPr>
        <w:t>0.</w:t>
      </w:r>
      <w:r w:rsidR="00B556B1" w:rsidRPr="00055144">
        <w:rPr>
          <w:lang w:val="es-ES_tradnl"/>
        </w:rPr>
        <w:t>00</w:t>
      </w:r>
      <w:r w:rsidR="00755C5D" w:rsidRPr="00055144">
        <w:rPr>
          <w:lang w:val="es-ES_tradnl"/>
        </w:rPr>
        <w:t>0</w:t>
      </w:r>
      <w:r w:rsidR="00A13BEA" w:rsidRPr="00055144">
        <w:rPr>
          <w:lang w:val="es-ES_tradnl"/>
        </w:rPr>
        <w:t xml:space="preserve"> </w:t>
      </w:r>
      <w:r w:rsidR="00DB3D7B" w:rsidRPr="00055144">
        <w:rPr>
          <w:lang w:val="es-ES_tradnl"/>
        </w:rPr>
        <w:t>$EUA</w:t>
      </w:r>
      <w:r w:rsidR="00A13BEA" w:rsidRPr="00055144">
        <w:rPr>
          <w:lang w:val="es-ES_tradnl"/>
        </w:rPr>
        <w:t xml:space="preserve"> </w:t>
      </w:r>
      <w:r w:rsidR="00DB3D7B" w:rsidRPr="00055144">
        <w:rPr>
          <w:lang w:val="es-ES_tradnl"/>
        </w:rPr>
        <w:t>más</w:t>
      </w:r>
      <w:r w:rsidR="00A13BEA" w:rsidRPr="00055144">
        <w:rPr>
          <w:lang w:val="es-ES_tradnl"/>
        </w:rPr>
        <w:t xml:space="preserve"> </w:t>
      </w:r>
      <w:r w:rsidR="004135A5" w:rsidRPr="00055144">
        <w:rPr>
          <w:lang w:val="es-ES_tradnl"/>
        </w:rPr>
        <w:t>gastos de apoyo de</w:t>
      </w:r>
      <w:r w:rsidR="00A13BEA" w:rsidRPr="00055144">
        <w:rPr>
          <w:lang w:val="es-ES_tradnl"/>
        </w:rPr>
        <w:t xml:space="preserve"> </w:t>
      </w:r>
      <w:r w:rsidR="00B556B1" w:rsidRPr="00055144">
        <w:rPr>
          <w:lang w:val="es-ES_tradnl"/>
        </w:rPr>
        <w:t>6</w:t>
      </w:r>
      <w:r w:rsidR="00755C5D" w:rsidRPr="00055144">
        <w:rPr>
          <w:lang w:val="es-ES_tradnl"/>
        </w:rPr>
        <w:t>3.</w:t>
      </w:r>
      <w:r w:rsidR="00B556B1" w:rsidRPr="00055144">
        <w:rPr>
          <w:lang w:val="es-ES_tradnl"/>
        </w:rPr>
        <w:t>700</w:t>
      </w:r>
      <w:r w:rsidR="00A13BEA" w:rsidRPr="00055144">
        <w:rPr>
          <w:lang w:val="es-ES_tradnl"/>
        </w:rPr>
        <w:t xml:space="preserve"> </w:t>
      </w:r>
      <w:r w:rsidR="004A6E7D" w:rsidRPr="004A6E7D">
        <w:rPr>
          <w:lang w:val="es-ES_tradnl"/>
        </w:rPr>
        <w:t xml:space="preserve">$EUA </w:t>
      </w:r>
      <w:r w:rsidR="000521A3" w:rsidRPr="00055144">
        <w:rPr>
          <w:lang w:val="es-ES_tradnl"/>
        </w:rPr>
        <w:t>para</w:t>
      </w:r>
      <w:r w:rsidR="00A13BEA" w:rsidRPr="00055144">
        <w:rPr>
          <w:lang w:val="es-ES_tradnl"/>
        </w:rPr>
        <w:t xml:space="preserve"> </w:t>
      </w:r>
      <w:r w:rsidR="000521A3" w:rsidRPr="00055144">
        <w:rPr>
          <w:lang w:val="es-ES_tradnl"/>
        </w:rPr>
        <w:t>la</w:t>
      </w:r>
      <w:r w:rsidR="00A13BEA" w:rsidRPr="00055144">
        <w:rPr>
          <w:lang w:val="es-ES_tradnl"/>
        </w:rPr>
        <w:t xml:space="preserve"> </w:t>
      </w:r>
      <w:r w:rsidR="00755C5D" w:rsidRPr="00055144">
        <w:rPr>
          <w:lang w:val="es-ES_tradnl"/>
        </w:rPr>
        <w:t>ONUDI</w:t>
      </w:r>
      <w:r w:rsidR="00F24270" w:rsidRPr="00055144">
        <w:rPr>
          <w:lang w:val="es-ES_tradnl"/>
        </w:rPr>
        <w:t>;</w:t>
      </w:r>
    </w:p>
    <w:p w14:paraId="06EE241F" w14:textId="71C194E7" w:rsidR="00F24270" w:rsidRPr="00055144" w:rsidRDefault="002E3686" w:rsidP="00D13264">
      <w:pPr>
        <w:pStyle w:val="Heading2"/>
        <w:rPr>
          <w:lang w:val="es-ES_tradnl"/>
        </w:rPr>
      </w:pPr>
      <w:r w:rsidRPr="00055144">
        <w:rPr>
          <w:lang w:val="es-ES_tradnl"/>
        </w:rPr>
        <w:t>Tomar</w:t>
      </w:r>
      <w:r w:rsidR="004135A5" w:rsidRPr="00055144">
        <w:rPr>
          <w:lang w:val="es-ES_tradnl"/>
        </w:rPr>
        <w:t xml:space="preserve"> nota</w:t>
      </w:r>
      <w:r w:rsidR="00365156" w:rsidRPr="00055144">
        <w:rPr>
          <w:lang w:val="es-ES_tradnl"/>
        </w:rPr>
        <w:t xml:space="preserve"> del </w:t>
      </w:r>
      <w:r w:rsidR="00E26F0F" w:rsidRPr="00055144">
        <w:rPr>
          <w:lang w:val="es-ES_tradnl"/>
        </w:rPr>
        <w:t>compromiso</w:t>
      </w:r>
      <w:r w:rsidR="00A13BEA" w:rsidRPr="00055144">
        <w:rPr>
          <w:lang w:val="es-ES_tradnl"/>
        </w:rPr>
        <w:t xml:space="preserve"> </w:t>
      </w:r>
      <w:r w:rsidR="000521A3" w:rsidRPr="00055144">
        <w:rPr>
          <w:lang w:val="es-ES_tradnl"/>
        </w:rPr>
        <w:t>del</w:t>
      </w:r>
      <w:r w:rsidR="00A13BEA" w:rsidRPr="00055144">
        <w:rPr>
          <w:lang w:val="es-ES_tradnl"/>
        </w:rPr>
        <w:t xml:space="preserve"> </w:t>
      </w:r>
      <w:r w:rsidR="00755C5D" w:rsidRPr="00055144">
        <w:rPr>
          <w:lang w:val="es-ES_tradnl"/>
        </w:rPr>
        <w:t>Gobierno</w:t>
      </w:r>
      <w:r w:rsidR="00A13BEA" w:rsidRPr="00055144">
        <w:rPr>
          <w:lang w:val="es-ES_tradnl"/>
        </w:rPr>
        <w:t xml:space="preserve"> </w:t>
      </w:r>
      <w:r w:rsidR="00755C5D" w:rsidRPr="00055144">
        <w:rPr>
          <w:lang w:val="es-ES_tradnl"/>
        </w:rPr>
        <w:t>de</w:t>
      </w:r>
      <w:r w:rsidR="00A13BEA" w:rsidRPr="00055144">
        <w:rPr>
          <w:lang w:val="es-ES_tradnl"/>
        </w:rPr>
        <w:t xml:space="preserve"> </w:t>
      </w:r>
      <w:r w:rsidR="00596727">
        <w:rPr>
          <w:lang w:val="es-ES_tradnl"/>
        </w:rPr>
        <w:t>Iraq</w:t>
      </w:r>
      <w:r w:rsidR="007D3D8F" w:rsidRPr="00055144">
        <w:rPr>
          <w:lang w:val="es-ES_tradnl"/>
        </w:rPr>
        <w:t xml:space="preserve"> en el sentido de</w:t>
      </w:r>
      <w:r w:rsidR="00F24270" w:rsidRPr="00055144">
        <w:rPr>
          <w:lang w:val="es-ES_tradnl"/>
        </w:rPr>
        <w:t>:</w:t>
      </w:r>
    </w:p>
    <w:p w14:paraId="78EC6371" w14:textId="5F09948C" w:rsidR="00F24270" w:rsidRPr="00055144" w:rsidRDefault="007E3D82" w:rsidP="00F24270">
      <w:pPr>
        <w:pStyle w:val="Heading3"/>
        <w:rPr>
          <w:lang w:val="es-ES_tradnl"/>
        </w:rPr>
      </w:pPr>
      <w:r w:rsidRPr="00055144">
        <w:rPr>
          <w:lang w:val="es-ES_tradnl"/>
        </w:rPr>
        <w:t xml:space="preserve">Reducir el </w:t>
      </w:r>
      <w:r w:rsidR="00755C5D" w:rsidRPr="00055144">
        <w:rPr>
          <w:lang w:val="es-ES_tradnl"/>
        </w:rPr>
        <w:t>consumo</w:t>
      </w:r>
      <w:r w:rsidR="00A13BEA" w:rsidRPr="00055144">
        <w:rPr>
          <w:lang w:val="es-ES_tradnl"/>
        </w:rPr>
        <w:t xml:space="preserve"> </w:t>
      </w:r>
      <w:r w:rsidR="00755C5D" w:rsidRPr="00055144">
        <w:rPr>
          <w:lang w:val="es-ES_tradnl"/>
        </w:rPr>
        <w:t>de</w:t>
      </w:r>
      <w:r w:rsidR="00A13BEA" w:rsidRPr="00055144">
        <w:rPr>
          <w:lang w:val="es-ES_tradnl"/>
        </w:rPr>
        <w:t xml:space="preserve"> </w:t>
      </w:r>
      <w:r w:rsidR="00755C5D" w:rsidRPr="00055144">
        <w:rPr>
          <w:lang w:val="es-ES_tradnl"/>
        </w:rPr>
        <w:t>HCFC</w:t>
      </w:r>
      <w:r w:rsidR="00A13BEA" w:rsidRPr="00055144">
        <w:rPr>
          <w:lang w:val="es-ES_tradnl"/>
        </w:rPr>
        <w:t xml:space="preserve"> </w:t>
      </w:r>
      <w:r w:rsidR="00F46FC1" w:rsidRPr="00055144">
        <w:rPr>
          <w:lang w:val="es-ES_tradnl"/>
        </w:rPr>
        <w:t xml:space="preserve">en un </w:t>
      </w:r>
      <w:r w:rsidR="00F65977" w:rsidRPr="00055144">
        <w:rPr>
          <w:lang w:val="es-ES_tradnl"/>
        </w:rPr>
        <w:t>69</w:t>
      </w:r>
      <w:r w:rsidR="00A13BEA" w:rsidRPr="00055144">
        <w:rPr>
          <w:lang w:val="es-ES_tradnl"/>
        </w:rPr>
        <w:t xml:space="preserve"> </w:t>
      </w:r>
      <w:r w:rsidR="00755C5D" w:rsidRPr="00055144">
        <w:rPr>
          <w:lang w:val="es-ES_tradnl"/>
        </w:rPr>
        <w:t>por</w:t>
      </w:r>
      <w:r w:rsidR="00A13BEA" w:rsidRPr="00055144">
        <w:rPr>
          <w:lang w:val="es-ES_tradnl"/>
        </w:rPr>
        <w:t xml:space="preserve"> </w:t>
      </w:r>
      <w:r w:rsidR="00755C5D" w:rsidRPr="00055144">
        <w:rPr>
          <w:lang w:val="es-ES_tradnl"/>
        </w:rPr>
        <w:t>ciento</w:t>
      </w:r>
      <w:r w:rsidR="00A13BEA" w:rsidRPr="00055144">
        <w:rPr>
          <w:lang w:val="es-ES_tradnl"/>
        </w:rPr>
        <w:t xml:space="preserve"> </w:t>
      </w:r>
      <w:r w:rsidR="003C17F7">
        <w:rPr>
          <w:lang w:val="es-ES_tradnl"/>
        </w:rPr>
        <w:t xml:space="preserve">respecto </w:t>
      </w:r>
      <w:r w:rsidR="005310DA" w:rsidRPr="00055144">
        <w:rPr>
          <w:lang w:val="es-ES_tradnl"/>
        </w:rPr>
        <w:t xml:space="preserve">de la </w:t>
      </w:r>
      <w:r w:rsidR="000521A3" w:rsidRPr="00055144">
        <w:rPr>
          <w:lang w:val="es-ES_tradnl"/>
        </w:rPr>
        <w:t>base</w:t>
      </w:r>
      <w:r w:rsidR="00A13BEA" w:rsidRPr="00055144">
        <w:rPr>
          <w:lang w:val="es-ES_tradnl"/>
        </w:rPr>
        <w:t xml:space="preserve"> </w:t>
      </w:r>
      <w:r w:rsidR="000521A3" w:rsidRPr="00055144">
        <w:rPr>
          <w:lang w:val="es-ES_tradnl"/>
        </w:rPr>
        <w:t>de</w:t>
      </w:r>
      <w:r w:rsidR="00A13BEA" w:rsidRPr="00055144">
        <w:rPr>
          <w:lang w:val="es-ES_tradnl"/>
        </w:rPr>
        <w:t xml:space="preserve"> </w:t>
      </w:r>
      <w:r w:rsidR="000521A3" w:rsidRPr="00055144">
        <w:rPr>
          <w:lang w:val="es-ES_tradnl"/>
        </w:rPr>
        <w:t>comparación</w:t>
      </w:r>
      <w:r w:rsidR="00A13BEA" w:rsidRPr="00055144">
        <w:rPr>
          <w:lang w:val="es-ES_tradnl"/>
        </w:rPr>
        <w:t xml:space="preserve"> </w:t>
      </w:r>
      <w:r w:rsidR="005310DA" w:rsidRPr="00055144">
        <w:rPr>
          <w:lang w:val="es-ES_tradnl"/>
        </w:rPr>
        <w:t xml:space="preserve">del país </w:t>
      </w:r>
      <w:r w:rsidR="009374D8">
        <w:rPr>
          <w:lang w:val="es-ES_tradnl"/>
        </w:rPr>
        <w:t>a</w:t>
      </w:r>
      <w:r w:rsidR="00960E2D" w:rsidRPr="00055144">
        <w:rPr>
          <w:lang w:val="es-ES_tradnl"/>
        </w:rPr>
        <w:t xml:space="preserve"> </w:t>
      </w:r>
      <w:r w:rsidR="009374D8">
        <w:rPr>
          <w:lang w:val="es-ES_tradnl"/>
        </w:rPr>
        <w:t xml:space="preserve">más tardar el </w:t>
      </w:r>
      <w:r w:rsidR="00960E2D" w:rsidRPr="00055144">
        <w:rPr>
          <w:lang w:val="es-ES_tradnl"/>
        </w:rPr>
        <w:t xml:space="preserve">año </w:t>
      </w:r>
      <w:r w:rsidR="009374DA" w:rsidRPr="00055144">
        <w:rPr>
          <w:lang w:val="es-ES_tradnl"/>
        </w:rPr>
        <w:t>202</w:t>
      </w:r>
      <w:r w:rsidR="00F24270" w:rsidRPr="00055144">
        <w:rPr>
          <w:lang w:val="es-ES_tradnl"/>
        </w:rPr>
        <w:t>5;</w:t>
      </w:r>
    </w:p>
    <w:p w14:paraId="1FAFF05F" w14:textId="17DC702C" w:rsidR="00F24270" w:rsidRPr="00055144" w:rsidRDefault="00EC36ED" w:rsidP="00F24270">
      <w:pPr>
        <w:pStyle w:val="Heading3"/>
        <w:rPr>
          <w:color w:val="000000" w:themeColor="text1"/>
          <w:lang w:val="es-ES_tradnl"/>
        </w:rPr>
      </w:pPr>
      <w:r>
        <w:rPr>
          <w:color w:val="000000" w:themeColor="text1"/>
          <w:lang w:val="es-ES_tradnl"/>
        </w:rPr>
        <w:t xml:space="preserve">A </w:t>
      </w:r>
      <w:r w:rsidR="008350A5" w:rsidRPr="008350A5">
        <w:rPr>
          <w:color w:val="000000" w:themeColor="text1"/>
          <w:lang w:val="es-ES_tradnl"/>
        </w:rPr>
        <w:t xml:space="preserve">más tardar </w:t>
      </w:r>
      <w:r w:rsidR="005C5574">
        <w:rPr>
          <w:color w:val="000000" w:themeColor="text1"/>
          <w:lang w:val="es-ES_tradnl"/>
        </w:rPr>
        <w:t xml:space="preserve">el </w:t>
      </w:r>
      <w:r w:rsidR="00703426" w:rsidRPr="00055144">
        <w:rPr>
          <w:color w:val="000000" w:themeColor="text1"/>
          <w:lang w:val="es-ES_tradnl"/>
        </w:rPr>
        <w:t>31 de diciembre de 2022</w:t>
      </w:r>
      <w:r>
        <w:rPr>
          <w:color w:val="000000" w:themeColor="text1"/>
          <w:lang w:val="es-ES_tradnl"/>
        </w:rPr>
        <w:t xml:space="preserve">, </w:t>
      </w:r>
      <w:r w:rsidRPr="00EC36ED">
        <w:rPr>
          <w:color w:val="000000" w:themeColor="text1"/>
          <w:lang w:val="es-ES_tradnl"/>
        </w:rPr>
        <w:t xml:space="preserve">establecer </w:t>
      </w:r>
      <w:r w:rsidR="00452F79" w:rsidRPr="00055144">
        <w:rPr>
          <w:color w:val="000000" w:themeColor="text1"/>
          <w:lang w:val="es-ES_tradnl"/>
        </w:rPr>
        <w:t>medidas</w:t>
      </w:r>
      <w:r w:rsidR="00A13BEA" w:rsidRPr="00055144">
        <w:rPr>
          <w:color w:val="000000" w:themeColor="text1"/>
          <w:lang w:val="es-ES_tradnl"/>
        </w:rPr>
        <w:t xml:space="preserve"> </w:t>
      </w:r>
      <w:r w:rsidR="002C26A5" w:rsidRPr="00055144">
        <w:rPr>
          <w:color w:val="000000" w:themeColor="text1"/>
          <w:lang w:val="es-ES_tradnl"/>
        </w:rPr>
        <w:t xml:space="preserve">de </w:t>
      </w:r>
      <w:r w:rsidR="00F24270" w:rsidRPr="00055144">
        <w:rPr>
          <w:color w:val="000000" w:themeColor="text1"/>
          <w:lang w:val="es-ES_tradnl"/>
        </w:rPr>
        <w:t>control</w:t>
      </w:r>
      <w:r w:rsidR="00A13BEA" w:rsidRPr="00055144">
        <w:rPr>
          <w:color w:val="000000" w:themeColor="text1"/>
          <w:lang w:val="es-ES_tradnl"/>
        </w:rPr>
        <w:t xml:space="preserve"> </w:t>
      </w:r>
      <w:r w:rsidR="00F11FF2">
        <w:rPr>
          <w:color w:val="000000" w:themeColor="text1"/>
          <w:lang w:val="es-ES_tradnl"/>
        </w:rPr>
        <w:t>de la</w:t>
      </w:r>
      <w:r w:rsidR="00775FAD" w:rsidRPr="00055144">
        <w:rPr>
          <w:color w:val="000000" w:themeColor="text1"/>
          <w:lang w:val="es-ES_tradnl"/>
        </w:rPr>
        <w:t xml:space="preserve"> </w:t>
      </w:r>
      <w:r w:rsidR="00F11FF2">
        <w:rPr>
          <w:color w:val="000000" w:themeColor="text1"/>
          <w:lang w:val="es-ES_tradnl"/>
        </w:rPr>
        <w:t xml:space="preserve">emisión </w:t>
      </w:r>
      <w:r w:rsidR="00755C5D" w:rsidRPr="00055144">
        <w:rPr>
          <w:color w:val="000000" w:themeColor="text1"/>
          <w:lang w:val="es-ES_tradnl"/>
        </w:rPr>
        <w:t>de</w:t>
      </w:r>
      <w:r w:rsidR="00A13BEA" w:rsidRPr="00055144">
        <w:rPr>
          <w:color w:val="000000" w:themeColor="text1"/>
          <w:lang w:val="es-ES_tradnl"/>
        </w:rPr>
        <w:t xml:space="preserve"> </w:t>
      </w:r>
      <w:r w:rsidR="00E26F0F" w:rsidRPr="00055144">
        <w:rPr>
          <w:color w:val="000000" w:themeColor="text1"/>
          <w:lang w:val="es-ES_tradnl"/>
        </w:rPr>
        <w:t>refrigerante</w:t>
      </w:r>
      <w:r w:rsidR="00D931F4">
        <w:rPr>
          <w:color w:val="000000" w:themeColor="text1"/>
          <w:lang w:val="es-ES_tradnl"/>
        </w:rPr>
        <w:t>s</w:t>
      </w:r>
      <w:r w:rsidR="00A13BEA" w:rsidRPr="00055144">
        <w:rPr>
          <w:color w:val="000000" w:themeColor="text1"/>
          <w:lang w:val="es-ES_tradnl"/>
        </w:rPr>
        <w:t xml:space="preserve"> </w:t>
      </w:r>
      <w:r w:rsidR="00E26F0F" w:rsidRPr="00055144">
        <w:rPr>
          <w:color w:val="000000" w:themeColor="text1"/>
          <w:lang w:val="es-ES_tradnl"/>
        </w:rPr>
        <w:t>durante</w:t>
      </w:r>
      <w:r w:rsidR="00A13BEA" w:rsidRPr="00055144">
        <w:rPr>
          <w:color w:val="000000" w:themeColor="text1"/>
          <w:lang w:val="es-ES_tradnl"/>
        </w:rPr>
        <w:t xml:space="preserve"> </w:t>
      </w:r>
      <w:r w:rsidR="00841A78" w:rsidRPr="00055144">
        <w:rPr>
          <w:color w:val="000000" w:themeColor="text1"/>
          <w:lang w:val="es-ES_tradnl"/>
        </w:rPr>
        <w:t xml:space="preserve">la </w:t>
      </w:r>
      <w:r w:rsidR="00D01DC2" w:rsidRPr="00055144">
        <w:rPr>
          <w:color w:val="000000" w:themeColor="text1"/>
          <w:lang w:val="es-ES_tradnl"/>
        </w:rPr>
        <w:t>instalación</w:t>
      </w:r>
      <w:r w:rsidR="00F24270" w:rsidRPr="00055144">
        <w:rPr>
          <w:color w:val="000000" w:themeColor="text1"/>
          <w:lang w:val="es-ES_tradnl"/>
        </w:rPr>
        <w:t>,</w:t>
      </w:r>
      <w:r w:rsidR="00A13BEA" w:rsidRPr="00055144">
        <w:rPr>
          <w:color w:val="000000" w:themeColor="text1"/>
          <w:lang w:val="es-ES_tradnl"/>
        </w:rPr>
        <w:t xml:space="preserve"> </w:t>
      </w:r>
      <w:r w:rsidR="00755C5D" w:rsidRPr="00055144">
        <w:rPr>
          <w:color w:val="000000" w:themeColor="text1"/>
          <w:lang w:val="es-ES_tradnl"/>
        </w:rPr>
        <w:t>servicio</w:t>
      </w:r>
      <w:r w:rsidR="00A13BEA" w:rsidRPr="00055144">
        <w:rPr>
          <w:color w:val="000000" w:themeColor="text1"/>
          <w:lang w:val="es-ES_tradnl"/>
        </w:rPr>
        <w:t xml:space="preserve"> </w:t>
      </w:r>
      <w:r w:rsidR="00755C5D" w:rsidRPr="00055144">
        <w:rPr>
          <w:color w:val="000000" w:themeColor="text1"/>
          <w:lang w:val="es-ES_tradnl"/>
        </w:rPr>
        <w:t>técnico</w:t>
      </w:r>
      <w:r w:rsidR="00A13BEA" w:rsidRPr="00055144">
        <w:rPr>
          <w:color w:val="000000" w:themeColor="text1"/>
          <w:lang w:val="es-ES_tradnl"/>
        </w:rPr>
        <w:t xml:space="preserve"> </w:t>
      </w:r>
      <w:r w:rsidR="00755C5D" w:rsidRPr="00055144">
        <w:rPr>
          <w:color w:val="000000" w:themeColor="text1"/>
          <w:lang w:val="es-ES_tradnl"/>
        </w:rPr>
        <w:t>y</w:t>
      </w:r>
      <w:r w:rsidR="00A13BEA" w:rsidRPr="00055144">
        <w:rPr>
          <w:color w:val="000000" w:themeColor="text1"/>
          <w:lang w:val="es-ES_tradnl"/>
        </w:rPr>
        <w:t xml:space="preserve"> </w:t>
      </w:r>
      <w:r w:rsidR="00471F9F" w:rsidRPr="00055144">
        <w:rPr>
          <w:color w:val="000000" w:themeColor="text1"/>
          <w:lang w:val="es-ES_tradnl"/>
        </w:rPr>
        <w:t>desguace</w:t>
      </w:r>
      <w:r w:rsidR="00EE5796" w:rsidRPr="00055144">
        <w:rPr>
          <w:color w:val="000000" w:themeColor="text1"/>
          <w:lang w:val="es-ES_tradnl"/>
        </w:rPr>
        <w:t xml:space="preserve"> de equipos</w:t>
      </w:r>
      <w:r w:rsidR="00F24270" w:rsidRPr="00055144">
        <w:rPr>
          <w:color w:val="000000" w:themeColor="text1"/>
          <w:lang w:val="es-ES_tradnl"/>
        </w:rPr>
        <w:t>;</w:t>
      </w:r>
    </w:p>
    <w:p w14:paraId="5D59E045" w14:textId="4A3B1908" w:rsidR="00C644D2" w:rsidRPr="00055144" w:rsidRDefault="00A20757" w:rsidP="00F24270">
      <w:pPr>
        <w:pStyle w:val="Heading2"/>
        <w:rPr>
          <w:lang w:val="es-ES_tradnl"/>
        </w:rPr>
      </w:pPr>
      <w:r>
        <w:rPr>
          <w:lang w:val="es-ES_tradnl"/>
        </w:rPr>
        <w:t xml:space="preserve">Considerar </w:t>
      </w:r>
      <w:r w:rsidR="00986C22">
        <w:rPr>
          <w:lang w:val="es-ES_tradnl"/>
        </w:rPr>
        <w:t>q</w:t>
      </w:r>
      <w:r w:rsidR="00CC529B" w:rsidRPr="00055144">
        <w:rPr>
          <w:lang w:val="es-ES_tradnl"/>
        </w:rPr>
        <w:t>ue</w:t>
      </w:r>
      <w:r w:rsidR="000734F9" w:rsidRPr="00055144">
        <w:rPr>
          <w:lang w:val="es-ES_tradnl"/>
        </w:rPr>
        <w:t>,</w:t>
      </w:r>
      <w:r w:rsidR="00A13BEA" w:rsidRPr="00055144">
        <w:rPr>
          <w:lang w:val="es-ES_tradnl"/>
        </w:rPr>
        <w:t xml:space="preserve"> </w:t>
      </w:r>
      <w:r w:rsidR="00D209DB" w:rsidRPr="00055144">
        <w:rPr>
          <w:lang w:val="es-ES_tradnl"/>
        </w:rPr>
        <w:t xml:space="preserve">para </w:t>
      </w:r>
      <w:r w:rsidR="00311547">
        <w:rPr>
          <w:lang w:val="es-ES_tradnl"/>
        </w:rPr>
        <w:t xml:space="preserve">que </w:t>
      </w:r>
      <w:r w:rsidR="00E26F0F" w:rsidRPr="00055144">
        <w:rPr>
          <w:lang w:val="es-ES_tradnl"/>
        </w:rPr>
        <w:t>el</w:t>
      </w:r>
      <w:r w:rsidR="00A13BEA" w:rsidRPr="00055144">
        <w:rPr>
          <w:lang w:val="es-ES_tradnl"/>
        </w:rPr>
        <w:t xml:space="preserve"> </w:t>
      </w:r>
      <w:r w:rsidR="00755C5D" w:rsidRPr="00055144">
        <w:rPr>
          <w:lang w:val="es-ES_tradnl"/>
        </w:rPr>
        <w:t>segundo</w:t>
      </w:r>
      <w:r w:rsidR="00A13BEA" w:rsidRPr="00055144">
        <w:rPr>
          <w:lang w:val="es-ES_tradnl"/>
        </w:rPr>
        <w:t xml:space="preserve"> </w:t>
      </w:r>
      <w:r w:rsidR="00755C5D" w:rsidRPr="00055144">
        <w:rPr>
          <w:lang w:val="es-ES_tradnl"/>
        </w:rPr>
        <w:t>tramo</w:t>
      </w:r>
      <w:r w:rsidR="00A13BEA" w:rsidRPr="00055144">
        <w:rPr>
          <w:lang w:val="es-ES_tradnl"/>
        </w:rPr>
        <w:t xml:space="preserve"> </w:t>
      </w:r>
      <w:r w:rsidR="009374DA" w:rsidRPr="00055144">
        <w:rPr>
          <w:lang w:val="es-ES_tradnl"/>
        </w:rPr>
        <w:t>de</w:t>
      </w:r>
      <w:r w:rsidR="00A13BEA" w:rsidRPr="00055144">
        <w:rPr>
          <w:lang w:val="es-ES_tradnl"/>
        </w:rPr>
        <w:t xml:space="preserve"> </w:t>
      </w:r>
      <w:r w:rsidR="003208A7" w:rsidRPr="00055144">
        <w:rPr>
          <w:lang w:val="es-ES_tradnl"/>
        </w:rPr>
        <w:t>la</w:t>
      </w:r>
      <w:r w:rsidR="00A13BEA" w:rsidRPr="00055144">
        <w:rPr>
          <w:lang w:val="es-ES_tradnl"/>
        </w:rPr>
        <w:t xml:space="preserve"> </w:t>
      </w:r>
      <w:r w:rsidR="003208A7" w:rsidRPr="00055144">
        <w:rPr>
          <w:lang w:val="es-ES_tradnl"/>
        </w:rPr>
        <w:t>etapa</w:t>
      </w:r>
      <w:r w:rsidR="00A13BEA" w:rsidRPr="00055144">
        <w:rPr>
          <w:lang w:val="es-ES_tradnl"/>
        </w:rPr>
        <w:t xml:space="preserve"> </w:t>
      </w:r>
      <w:r w:rsidR="003208A7" w:rsidRPr="00055144">
        <w:rPr>
          <w:lang w:val="es-ES_tradnl"/>
        </w:rPr>
        <w:t>I</w:t>
      </w:r>
      <w:r w:rsidR="00C644D2" w:rsidRPr="00055144">
        <w:rPr>
          <w:lang w:val="es-ES_tradnl"/>
        </w:rPr>
        <w:t>I</w:t>
      </w:r>
      <w:r w:rsidR="00A13BEA" w:rsidRPr="00055144">
        <w:rPr>
          <w:lang w:val="es-ES_tradnl"/>
        </w:rPr>
        <w:t xml:space="preserve"> </w:t>
      </w:r>
      <w:r w:rsidR="00755C5D" w:rsidRPr="00055144">
        <w:rPr>
          <w:lang w:val="es-ES_tradnl"/>
        </w:rPr>
        <w:t>del</w:t>
      </w:r>
      <w:r w:rsidR="00A13BEA" w:rsidRPr="00055144">
        <w:rPr>
          <w:lang w:val="es-ES_tradnl"/>
        </w:rPr>
        <w:t xml:space="preserve"> </w:t>
      </w:r>
      <w:r w:rsidR="00286DA1">
        <w:rPr>
          <w:lang w:val="es-ES_tradnl"/>
        </w:rPr>
        <w:t xml:space="preserve">PGEH </w:t>
      </w:r>
      <w:r w:rsidR="009F6B0E">
        <w:rPr>
          <w:lang w:val="es-ES_tradnl"/>
        </w:rPr>
        <w:t>pueda</w:t>
      </w:r>
      <w:r w:rsidR="00286DA1">
        <w:rPr>
          <w:lang w:val="es-ES_tradnl"/>
        </w:rPr>
        <w:t xml:space="preserve"> ser sometido a </w:t>
      </w:r>
      <w:r w:rsidR="00286DA1" w:rsidRPr="00286DA1">
        <w:rPr>
          <w:lang w:val="es-ES_tradnl"/>
        </w:rPr>
        <w:t>consideración</w:t>
      </w:r>
      <w:r w:rsidR="00C644D2" w:rsidRPr="00055144">
        <w:rPr>
          <w:lang w:val="es-ES_tradnl"/>
        </w:rPr>
        <w:t>:</w:t>
      </w:r>
    </w:p>
    <w:p w14:paraId="58901724" w14:textId="562D55B2" w:rsidR="00C644D2" w:rsidRPr="00055144" w:rsidRDefault="00EA1980" w:rsidP="00C644D2">
      <w:pPr>
        <w:pStyle w:val="Heading3"/>
        <w:rPr>
          <w:lang w:val="es-ES_tradnl"/>
        </w:rPr>
      </w:pPr>
      <w:r w:rsidRPr="00055144">
        <w:rPr>
          <w:lang w:val="es-ES_tradnl"/>
        </w:rPr>
        <w:t>E</w:t>
      </w:r>
      <w:r w:rsidR="00755C5D" w:rsidRPr="00055144">
        <w:rPr>
          <w:lang w:val="es-ES_tradnl"/>
        </w:rPr>
        <w:t>l</w:t>
      </w:r>
      <w:r w:rsidRPr="00055144">
        <w:rPr>
          <w:lang w:val="es-ES_tradnl"/>
        </w:rPr>
        <w:t xml:space="preserve"> </w:t>
      </w:r>
      <w:r w:rsidR="00755C5D" w:rsidRPr="00055144">
        <w:rPr>
          <w:lang w:val="es-ES_tradnl"/>
        </w:rPr>
        <w:t>PNUMA</w:t>
      </w:r>
      <w:r w:rsidR="00A13BEA" w:rsidRPr="00055144">
        <w:rPr>
          <w:lang w:val="es-ES_tradnl"/>
        </w:rPr>
        <w:t xml:space="preserve"> </w:t>
      </w:r>
      <w:r w:rsidR="00755C5D" w:rsidRPr="00055144">
        <w:rPr>
          <w:lang w:val="es-ES_tradnl"/>
        </w:rPr>
        <w:t>y</w:t>
      </w:r>
      <w:r w:rsidR="00A13BEA" w:rsidRPr="00055144">
        <w:rPr>
          <w:lang w:val="es-ES_tradnl"/>
        </w:rPr>
        <w:t xml:space="preserve"> </w:t>
      </w:r>
      <w:r w:rsidR="00755C5D" w:rsidRPr="00055144">
        <w:rPr>
          <w:lang w:val="es-ES_tradnl"/>
        </w:rPr>
        <w:t>la</w:t>
      </w:r>
      <w:r w:rsidR="00A13BEA" w:rsidRPr="00055144">
        <w:rPr>
          <w:lang w:val="es-ES_tradnl"/>
        </w:rPr>
        <w:t xml:space="preserve"> </w:t>
      </w:r>
      <w:r w:rsidR="00755C5D" w:rsidRPr="00055144">
        <w:rPr>
          <w:lang w:val="es-ES_tradnl"/>
        </w:rPr>
        <w:t>ONUDI</w:t>
      </w:r>
      <w:r w:rsidR="00A13BEA" w:rsidRPr="00055144">
        <w:rPr>
          <w:lang w:val="es-ES_tradnl"/>
        </w:rPr>
        <w:t xml:space="preserve"> </w:t>
      </w:r>
      <w:r w:rsidR="005D164B" w:rsidRPr="00055144">
        <w:rPr>
          <w:lang w:val="es-ES_tradnl"/>
        </w:rPr>
        <w:t xml:space="preserve">deberán confirmar el </w:t>
      </w:r>
      <w:r w:rsidR="00A13BEA" w:rsidRPr="00055144">
        <w:rPr>
          <w:lang w:val="es-ES_tradnl"/>
        </w:rPr>
        <w:t xml:space="preserve">término </w:t>
      </w:r>
      <w:r w:rsidR="009374DA" w:rsidRPr="00055144">
        <w:rPr>
          <w:lang w:val="es-ES_tradnl"/>
        </w:rPr>
        <w:t>de</w:t>
      </w:r>
      <w:r w:rsidR="00A13BEA" w:rsidRPr="00055144">
        <w:rPr>
          <w:lang w:val="es-ES_tradnl"/>
        </w:rPr>
        <w:t xml:space="preserve"> </w:t>
      </w:r>
      <w:r w:rsidR="003208A7" w:rsidRPr="00055144">
        <w:rPr>
          <w:lang w:val="es-ES_tradnl"/>
        </w:rPr>
        <w:t>la</w:t>
      </w:r>
      <w:r w:rsidR="00A13BEA" w:rsidRPr="00055144">
        <w:rPr>
          <w:lang w:val="es-ES_tradnl"/>
        </w:rPr>
        <w:t xml:space="preserve"> </w:t>
      </w:r>
      <w:r w:rsidR="003208A7" w:rsidRPr="00055144">
        <w:rPr>
          <w:lang w:val="es-ES_tradnl"/>
        </w:rPr>
        <w:t>etapa</w:t>
      </w:r>
      <w:r w:rsidR="00A13BEA" w:rsidRPr="00055144">
        <w:rPr>
          <w:lang w:val="es-ES_tradnl"/>
        </w:rPr>
        <w:t xml:space="preserve"> </w:t>
      </w:r>
      <w:r w:rsidR="003208A7" w:rsidRPr="00055144">
        <w:rPr>
          <w:lang w:val="es-ES_tradnl"/>
        </w:rPr>
        <w:t>I</w:t>
      </w:r>
      <w:r w:rsidR="00A13BEA" w:rsidRPr="00055144">
        <w:rPr>
          <w:lang w:val="es-ES_tradnl"/>
        </w:rPr>
        <w:t xml:space="preserve"> </w:t>
      </w:r>
      <w:r w:rsidR="00755C5D" w:rsidRPr="00055144">
        <w:rPr>
          <w:lang w:val="es-ES_tradnl"/>
        </w:rPr>
        <w:t>del</w:t>
      </w:r>
      <w:r w:rsidR="00A13BEA" w:rsidRPr="00055144">
        <w:rPr>
          <w:lang w:val="es-ES_tradnl"/>
        </w:rPr>
        <w:t xml:space="preserve"> </w:t>
      </w:r>
      <w:r w:rsidR="00755C5D" w:rsidRPr="00055144">
        <w:rPr>
          <w:lang w:val="es-ES_tradnl"/>
        </w:rPr>
        <w:t>PGEH</w:t>
      </w:r>
      <w:r w:rsidR="00464C20" w:rsidRPr="00055144">
        <w:rPr>
          <w:lang w:val="es-ES_tradnl"/>
        </w:rPr>
        <w:t>,</w:t>
      </w:r>
      <w:r w:rsidR="00A13BEA" w:rsidRPr="00055144">
        <w:rPr>
          <w:lang w:val="es-ES_tradnl"/>
        </w:rPr>
        <w:t xml:space="preserve"> </w:t>
      </w:r>
      <w:r w:rsidR="00543D73" w:rsidRPr="00055144">
        <w:rPr>
          <w:lang w:val="es-ES_tradnl"/>
        </w:rPr>
        <w:t xml:space="preserve">presentar </w:t>
      </w:r>
      <w:r w:rsidR="009A5093" w:rsidRPr="00055144">
        <w:rPr>
          <w:lang w:val="es-ES_tradnl"/>
        </w:rPr>
        <w:t xml:space="preserve">los </w:t>
      </w:r>
      <w:r w:rsidR="001A1006" w:rsidRPr="00055144">
        <w:rPr>
          <w:lang w:val="es-ES_tradnl"/>
        </w:rPr>
        <w:t>informe</w:t>
      </w:r>
      <w:r w:rsidR="00363607" w:rsidRPr="00055144">
        <w:rPr>
          <w:lang w:val="es-ES_tradnl"/>
        </w:rPr>
        <w:t>s</w:t>
      </w:r>
      <w:r w:rsidR="00A13BEA" w:rsidRPr="00055144">
        <w:rPr>
          <w:lang w:val="es-ES_tradnl"/>
        </w:rPr>
        <w:t xml:space="preserve"> </w:t>
      </w:r>
      <w:r w:rsidR="00363607" w:rsidRPr="00055144">
        <w:rPr>
          <w:lang w:val="es-ES_tradnl"/>
        </w:rPr>
        <w:t>de</w:t>
      </w:r>
      <w:r w:rsidR="00A13BEA" w:rsidRPr="00055144">
        <w:rPr>
          <w:lang w:val="es-ES_tradnl"/>
        </w:rPr>
        <w:t xml:space="preserve"> </w:t>
      </w:r>
      <w:r w:rsidR="00363607" w:rsidRPr="00055144">
        <w:rPr>
          <w:lang w:val="es-ES_tradnl"/>
        </w:rPr>
        <w:t>finalización</w:t>
      </w:r>
      <w:r w:rsidR="00A13BEA" w:rsidRPr="00055144">
        <w:rPr>
          <w:lang w:val="es-ES_tradnl"/>
        </w:rPr>
        <w:t xml:space="preserve"> </w:t>
      </w:r>
      <w:r w:rsidR="00363607" w:rsidRPr="00055144">
        <w:rPr>
          <w:lang w:val="es-ES_tradnl"/>
        </w:rPr>
        <w:t>de</w:t>
      </w:r>
      <w:r w:rsidR="00A13BEA" w:rsidRPr="00055144">
        <w:rPr>
          <w:lang w:val="es-ES_tradnl"/>
        </w:rPr>
        <w:t xml:space="preserve"> </w:t>
      </w:r>
      <w:r w:rsidR="00363607" w:rsidRPr="00055144">
        <w:rPr>
          <w:lang w:val="es-ES_tradnl"/>
        </w:rPr>
        <w:t>proyecto</w:t>
      </w:r>
      <w:r w:rsidR="00A13BEA" w:rsidRPr="00055144">
        <w:rPr>
          <w:lang w:val="es-ES_tradnl"/>
        </w:rPr>
        <w:t xml:space="preserve"> </w:t>
      </w:r>
      <w:r w:rsidR="00755C5D" w:rsidRPr="00055144">
        <w:rPr>
          <w:lang w:val="es-ES_tradnl"/>
        </w:rPr>
        <w:t>y</w:t>
      </w:r>
      <w:r w:rsidR="00A13BEA" w:rsidRPr="00055144">
        <w:rPr>
          <w:lang w:val="es-ES_tradnl"/>
        </w:rPr>
        <w:t xml:space="preserve"> </w:t>
      </w:r>
      <w:r w:rsidR="003915AF" w:rsidRPr="00055144">
        <w:rPr>
          <w:lang w:val="es-ES_tradnl"/>
        </w:rPr>
        <w:t xml:space="preserve">reintegrar </w:t>
      </w:r>
      <w:r w:rsidR="00147E6F" w:rsidRPr="00055144">
        <w:rPr>
          <w:lang w:val="es-ES_tradnl"/>
        </w:rPr>
        <w:t xml:space="preserve">al Fondo </w:t>
      </w:r>
      <w:r w:rsidR="00AB7D80" w:rsidRPr="00055144">
        <w:rPr>
          <w:lang w:val="es-ES_tradnl"/>
        </w:rPr>
        <w:t xml:space="preserve">todo </w:t>
      </w:r>
      <w:r w:rsidR="004135A5" w:rsidRPr="00055144">
        <w:rPr>
          <w:lang w:val="es-ES_tradnl"/>
        </w:rPr>
        <w:t>saldo</w:t>
      </w:r>
      <w:r w:rsidR="00A13BEA" w:rsidRPr="00055144">
        <w:rPr>
          <w:lang w:val="es-ES_tradnl"/>
        </w:rPr>
        <w:t xml:space="preserve"> </w:t>
      </w:r>
      <w:r w:rsidR="006D36DC">
        <w:rPr>
          <w:lang w:val="es-ES_tradnl"/>
        </w:rPr>
        <w:t>restante</w:t>
      </w:r>
      <w:r w:rsidR="00C644D2" w:rsidRPr="00055144">
        <w:rPr>
          <w:lang w:val="es-ES_tradnl"/>
        </w:rPr>
        <w:t>;</w:t>
      </w:r>
      <w:r w:rsidR="00A13BEA" w:rsidRPr="00055144">
        <w:rPr>
          <w:lang w:val="es-ES_tradnl"/>
        </w:rPr>
        <w:t xml:space="preserve"> </w:t>
      </w:r>
      <w:r w:rsidR="00755C5D" w:rsidRPr="00055144">
        <w:rPr>
          <w:lang w:val="es-ES_tradnl"/>
        </w:rPr>
        <w:t>y</w:t>
      </w:r>
    </w:p>
    <w:p w14:paraId="2A8BC6FA" w14:textId="5339F20A" w:rsidR="00B77BF9" w:rsidRPr="00055144" w:rsidRDefault="00D9064E" w:rsidP="00EA2ADA">
      <w:pPr>
        <w:pStyle w:val="Heading3"/>
        <w:rPr>
          <w:lang w:val="es-ES_tradnl"/>
        </w:rPr>
      </w:pPr>
      <w:r w:rsidRPr="00055144">
        <w:rPr>
          <w:lang w:val="es-ES_tradnl"/>
        </w:rPr>
        <w:t>L</w:t>
      </w:r>
      <w:r w:rsidR="00755C5D" w:rsidRPr="00055144">
        <w:rPr>
          <w:lang w:val="es-ES_tradnl"/>
        </w:rPr>
        <w:t>a</w:t>
      </w:r>
      <w:r w:rsidRPr="00055144">
        <w:rPr>
          <w:lang w:val="es-ES_tradnl"/>
        </w:rPr>
        <w:t xml:space="preserve"> </w:t>
      </w:r>
      <w:r w:rsidR="00755C5D" w:rsidRPr="00055144">
        <w:rPr>
          <w:lang w:val="es-ES_tradnl"/>
        </w:rPr>
        <w:t>ONUDI</w:t>
      </w:r>
      <w:r w:rsidR="00A13BEA" w:rsidRPr="00055144">
        <w:rPr>
          <w:lang w:val="es-ES_tradnl"/>
        </w:rPr>
        <w:t xml:space="preserve"> </w:t>
      </w:r>
      <w:r w:rsidRPr="00055144">
        <w:rPr>
          <w:lang w:val="es-ES_tradnl"/>
        </w:rPr>
        <w:t xml:space="preserve">deberá además </w:t>
      </w:r>
      <w:r w:rsidR="00185E79" w:rsidRPr="00055144">
        <w:rPr>
          <w:lang w:val="es-ES_tradnl"/>
        </w:rPr>
        <w:t>confirmar</w:t>
      </w:r>
      <w:r w:rsidR="00B919EB" w:rsidRPr="00055144">
        <w:rPr>
          <w:lang w:val="es-ES_tradnl"/>
        </w:rPr>
        <w:t xml:space="preserve"> el </w:t>
      </w:r>
      <w:r w:rsidR="00A13BEA" w:rsidRPr="00055144">
        <w:rPr>
          <w:lang w:val="es-ES_tradnl"/>
        </w:rPr>
        <w:t xml:space="preserve">término </w:t>
      </w:r>
      <w:r w:rsidR="00E26F0F" w:rsidRPr="00055144">
        <w:rPr>
          <w:lang w:val="es-ES_tradnl"/>
        </w:rPr>
        <w:t>del</w:t>
      </w:r>
      <w:r w:rsidR="00A13BEA" w:rsidRPr="00055144">
        <w:rPr>
          <w:lang w:val="es-ES_tradnl"/>
        </w:rPr>
        <w:t xml:space="preserve"> </w:t>
      </w:r>
      <w:r w:rsidR="00E74272" w:rsidRPr="00055144">
        <w:rPr>
          <w:lang w:val="es-ES_tradnl"/>
        </w:rPr>
        <w:t>plan</w:t>
      </w:r>
      <w:r w:rsidR="00A13BEA" w:rsidRPr="00055144">
        <w:rPr>
          <w:lang w:val="es-ES_tradnl"/>
        </w:rPr>
        <w:t xml:space="preserve"> </w:t>
      </w:r>
      <w:r w:rsidR="00185E79" w:rsidRPr="00055144">
        <w:rPr>
          <w:lang w:val="es-ES_tradnl"/>
        </w:rPr>
        <w:t xml:space="preserve">nacional </w:t>
      </w:r>
      <w:r w:rsidR="00E74272" w:rsidRPr="00055144">
        <w:rPr>
          <w:lang w:val="es-ES_tradnl"/>
        </w:rPr>
        <w:t>de</w:t>
      </w:r>
      <w:r w:rsidR="00A13BEA" w:rsidRPr="00055144">
        <w:rPr>
          <w:lang w:val="es-ES_tradnl"/>
        </w:rPr>
        <w:t xml:space="preserve"> </w:t>
      </w:r>
      <w:r w:rsidR="00E74272" w:rsidRPr="00055144">
        <w:rPr>
          <w:lang w:val="es-ES_tradnl"/>
        </w:rPr>
        <w:t>eliminación</w:t>
      </w:r>
      <w:r w:rsidR="00A13BEA" w:rsidRPr="00055144">
        <w:rPr>
          <w:lang w:val="es-ES_tradnl"/>
        </w:rPr>
        <w:t xml:space="preserve"> </w:t>
      </w:r>
      <w:r w:rsidR="00C644D2" w:rsidRPr="00055144">
        <w:rPr>
          <w:lang w:val="es-ES_tradnl"/>
        </w:rPr>
        <w:t>(</w:t>
      </w:r>
      <w:r w:rsidR="00755C5D" w:rsidRPr="00055144">
        <w:rPr>
          <w:lang w:val="es-ES_tradnl"/>
        </w:rPr>
        <w:t>primer</w:t>
      </w:r>
      <w:r w:rsidR="00A13BEA" w:rsidRPr="00055144">
        <w:rPr>
          <w:lang w:val="es-ES_tradnl"/>
        </w:rPr>
        <w:t xml:space="preserve"> </w:t>
      </w:r>
      <w:r w:rsidR="00755C5D" w:rsidRPr="00055144">
        <w:rPr>
          <w:lang w:val="es-ES_tradnl"/>
        </w:rPr>
        <w:t>tramo</w:t>
      </w:r>
      <w:r w:rsidR="00C644D2" w:rsidRPr="00055144">
        <w:rPr>
          <w:lang w:val="es-ES_tradnl"/>
        </w:rPr>
        <w:t>)</w:t>
      </w:r>
      <w:r w:rsidR="00A13BEA" w:rsidRPr="00055144">
        <w:rPr>
          <w:lang w:val="es-ES_tradnl"/>
        </w:rPr>
        <w:t xml:space="preserve"> </w:t>
      </w:r>
      <w:r w:rsidR="00C644D2" w:rsidRPr="00055144">
        <w:rPr>
          <w:lang w:val="es-ES_tradnl"/>
        </w:rPr>
        <w:t>(IRQ/PHA/58/INV/09)</w:t>
      </w:r>
      <w:r w:rsidR="00A13BEA" w:rsidRPr="00055144">
        <w:rPr>
          <w:lang w:val="es-ES_tradnl"/>
        </w:rPr>
        <w:t xml:space="preserve"> </w:t>
      </w:r>
      <w:r w:rsidR="00755C5D" w:rsidRPr="00055144">
        <w:rPr>
          <w:lang w:val="es-ES_tradnl"/>
        </w:rPr>
        <w:t>y</w:t>
      </w:r>
      <w:r w:rsidR="00A13BEA" w:rsidRPr="00055144">
        <w:rPr>
          <w:lang w:val="es-ES_tradnl"/>
        </w:rPr>
        <w:t xml:space="preserve"> </w:t>
      </w:r>
      <w:r w:rsidR="00B77BF9" w:rsidRPr="00055144">
        <w:rPr>
          <w:lang w:val="es-ES_tradnl"/>
        </w:rPr>
        <w:t xml:space="preserve">el reemplazo del refrigerante CFC-12 por </w:t>
      </w:r>
      <w:proofErr w:type="spellStart"/>
      <w:r w:rsidR="00B77BF9" w:rsidRPr="00055144">
        <w:rPr>
          <w:lang w:val="es-ES_tradnl"/>
        </w:rPr>
        <w:t>isobutano</w:t>
      </w:r>
      <w:proofErr w:type="spellEnd"/>
      <w:r w:rsidR="00B77BF9" w:rsidRPr="00055144">
        <w:rPr>
          <w:lang w:val="es-ES_tradnl"/>
        </w:rPr>
        <w:t xml:space="preserve"> y del agente espumante CFC-11 por </w:t>
      </w:r>
      <w:proofErr w:type="spellStart"/>
      <w:r w:rsidR="00B77BF9" w:rsidRPr="00055144">
        <w:rPr>
          <w:lang w:val="es-ES_tradnl"/>
        </w:rPr>
        <w:t>ciclopentano</w:t>
      </w:r>
      <w:proofErr w:type="spellEnd"/>
      <w:r w:rsidR="00B77BF9" w:rsidRPr="00055144">
        <w:rPr>
          <w:lang w:val="es-ES_tradnl"/>
        </w:rPr>
        <w:t xml:space="preserve"> en la fabricación de refrigeradores residenciales y congeladores en la empresa </w:t>
      </w:r>
      <w:r w:rsidR="00B77BF9" w:rsidRPr="0083084B">
        <w:rPr>
          <w:lang w:val="es-419"/>
        </w:rPr>
        <w:t>Light Industries Company</w:t>
      </w:r>
      <w:r w:rsidR="009D732A" w:rsidRPr="00055144">
        <w:rPr>
          <w:lang w:val="es-ES_tradnl"/>
        </w:rPr>
        <w:t xml:space="preserve"> (IRQ/REF/57/INV/07)</w:t>
      </w:r>
      <w:r w:rsidR="001A1809" w:rsidRPr="00055144">
        <w:rPr>
          <w:lang w:val="es-ES_tradnl"/>
        </w:rPr>
        <w:t xml:space="preserve">, </w:t>
      </w:r>
      <w:r w:rsidR="00887BA2" w:rsidRPr="00055144">
        <w:rPr>
          <w:lang w:val="es-ES_tradnl"/>
        </w:rPr>
        <w:t xml:space="preserve">presentar los </w:t>
      </w:r>
      <w:r w:rsidR="00053FDD" w:rsidRPr="00055144">
        <w:rPr>
          <w:lang w:val="es-ES_tradnl"/>
        </w:rPr>
        <w:t xml:space="preserve">respectivos </w:t>
      </w:r>
      <w:r w:rsidR="00887BA2" w:rsidRPr="00055144">
        <w:rPr>
          <w:lang w:val="es-ES_tradnl"/>
        </w:rPr>
        <w:t xml:space="preserve">informes de finalización de proyecto y reintegrar al Fondo todo saldo </w:t>
      </w:r>
      <w:r w:rsidR="001B5D19" w:rsidRPr="001B5D19">
        <w:rPr>
          <w:lang w:val="es-ES_tradnl"/>
        </w:rPr>
        <w:t>restante</w:t>
      </w:r>
      <w:r w:rsidR="000761EE" w:rsidRPr="00055144">
        <w:rPr>
          <w:lang w:val="es-ES_tradnl"/>
        </w:rPr>
        <w:t>;</w:t>
      </w:r>
    </w:p>
    <w:p w14:paraId="4A94E9E4" w14:textId="0EDE287C" w:rsidR="00297F4D" w:rsidRPr="00055144" w:rsidRDefault="00EB5BE7" w:rsidP="0031274C">
      <w:pPr>
        <w:pStyle w:val="Heading2"/>
        <w:rPr>
          <w:lang w:val="es-ES_tradnl"/>
        </w:rPr>
      </w:pPr>
      <w:r w:rsidRPr="00055144">
        <w:rPr>
          <w:lang w:val="es-ES_tradnl"/>
        </w:rPr>
        <w:t>Descontar</w:t>
      </w:r>
      <w:r w:rsidR="00A13BEA" w:rsidRPr="00055144">
        <w:rPr>
          <w:lang w:val="es-ES_tradnl"/>
        </w:rPr>
        <w:t xml:space="preserve"> </w:t>
      </w:r>
      <w:r w:rsidR="00365451" w:rsidRPr="00055144">
        <w:rPr>
          <w:lang w:val="es-ES_tradnl"/>
        </w:rPr>
        <w:t>3</w:t>
      </w:r>
      <w:r w:rsidR="00261B76" w:rsidRPr="00055144">
        <w:rPr>
          <w:lang w:val="es-ES_tradnl"/>
        </w:rPr>
        <w:t>2.79</w:t>
      </w:r>
      <w:r w:rsidR="00A13BEA" w:rsidRPr="00055144">
        <w:rPr>
          <w:lang w:val="es-ES_tradnl"/>
        </w:rPr>
        <w:t xml:space="preserve"> </w:t>
      </w:r>
      <w:r w:rsidR="00755C5D" w:rsidRPr="00055144">
        <w:rPr>
          <w:lang w:val="es-ES_tradnl"/>
        </w:rPr>
        <w:t>toneladas</w:t>
      </w:r>
      <w:r w:rsidR="00A13BEA" w:rsidRPr="00055144">
        <w:rPr>
          <w:lang w:val="es-ES_tradnl"/>
        </w:rPr>
        <w:t xml:space="preserve"> </w:t>
      </w:r>
      <w:r w:rsidR="00755C5D" w:rsidRPr="00055144">
        <w:rPr>
          <w:lang w:val="es-ES_tradnl"/>
        </w:rPr>
        <w:t>PAO</w:t>
      </w:r>
      <w:r w:rsidR="00A13BEA" w:rsidRPr="00055144">
        <w:rPr>
          <w:lang w:val="es-ES_tradnl"/>
        </w:rPr>
        <w:t xml:space="preserve"> </w:t>
      </w:r>
      <w:r w:rsidR="00755C5D" w:rsidRPr="00055144">
        <w:rPr>
          <w:lang w:val="es-ES_tradnl"/>
        </w:rPr>
        <w:t>de</w:t>
      </w:r>
      <w:r w:rsidR="00A13BEA" w:rsidRPr="00055144">
        <w:rPr>
          <w:lang w:val="es-ES_tradnl"/>
        </w:rPr>
        <w:t xml:space="preserve"> </w:t>
      </w:r>
      <w:r w:rsidR="00E26F0F" w:rsidRPr="00055144">
        <w:rPr>
          <w:lang w:val="es-ES_tradnl"/>
        </w:rPr>
        <w:t>HCFC</w:t>
      </w:r>
      <w:r w:rsidR="00A13BEA" w:rsidRPr="00055144">
        <w:rPr>
          <w:lang w:val="es-ES_tradnl"/>
        </w:rPr>
        <w:t xml:space="preserve"> </w:t>
      </w:r>
      <w:r w:rsidR="007B548F" w:rsidRPr="00055144">
        <w:rPr>
          <w:lang w:val="es-ES_tradnl"/>
        </w:rPr>
        <w:t xml:space="preserve">del </w:t>
      </w:r>
      <w:r w:rsidR="00755C5D" w:rsidRPr="00055144">
        <w:rPr>
          <w:lang w:val="es-ES_tradnl"/>
        </w:rPr>
        <w:t>consumo</w:t>
      </w:r>
      <w:r w:rsidR="00A13BEA" w:rsidRPr="00055144">
        <w:rPr>
          <w:lang w:val="es-ES_tradnl"/>
        </w:rPr>
        <w:t xml:space="preserve"> </w:t>
      </w:r>
      <w:r w:rsidR="00755C5D" w:rsidRPr="00055144">
        <w:rPr>
          <w:lang w:val="es-ES_tradnl"/>
        </w:rPr>
        <w:t>admisible</w:t>
      </w:r>
      <w:r w:rsidR="00A13BEA" w:rsidRPr="00055144">
        <w:rPr>
          <w:lang w:val="es-ES_tradnl"/>
        </w:rPr>
        <w:t xml:space="preserve"> </w:t>
      </w:r>
      <w:r w:rsidR="00755C5D" w:rsidRPr="00055144">
        <w:rPr>
          <w:lang w:val="es-ES_tradnl"/>
        </w:rPr>
        <w:t>para</w:t>
      </w:r>
      <w:r w:rsidR="00A13BEA" w:rsidRPr="00055144">
        <w:rPr>
          <w:lang w:val="es-ES_tradnl"/>
        </w:rPr>
        <w:t xml:space="preserve"> </w:t>
      </w:r>
      <w:r w:rsidR="00755C5D" w:rsidRPr="00055144">
        <w:rPr>
          <w:lang w:val="es-ES_tradnl"/>
        </w:rPr>
        <w:t>financiamiento</w:t>
      </w:r>
      <w:r w:rsidR="00297F4D" w:rsidRPr="00055144">
        <w:rPr>
          <w:lang w:val="es-ES_tradnl"/>
        </w:rPr>
        <w:t>;</w:t>
      </w:r>
    </w:p>
    <w:p w14:paraId="4DDDA206" w14:textId="371B212C" w:rsidR="00215AC3" w:rsidRPr="00055144" w:rsidRDefault="008C74F1" w:rsidP="00A555AD">
      <w:pPr>
        <w:pStyle w:val="Heading2"/>
        <w:rPr>
          <w:lang w:val="es-ES_tradnl"/>
        </w:rPr>
      </w:pPr>
      <w:r w:rsidRPr="00055144">
        <w:rPr>
          <w:lang w:val="es-ES_tradnl"/>
        </w:rPr>
        <w:t>Aprobar</w:t>
      </w:r>
      <w:r w:rsidR="00A13BEA" w:rsidRPr="00055144">
        <w:rPr>
          <w:lang w:val="es-ES_tradnl"/>
        </w:rPr>
        <w:t xml:space="preserve"> </w:t>
      </w:r>
      <w:r w:rsidR="00E51566" w:rsidRPr="00055144">
        <w:rPr>
          <w:lang w:val="es-ES_tradnl"/>
        </w:rPr>
        <w:t>el</w:t>
      </w:r>
      <w:r w:rsidR="00A13BEA" w:rsidRPr="00055144">
        <w:rPr>
          <w:lang w:val="es-ES_tradnl"/>
        </w:rPr>
        <w:t xml:space="preserve"> </w:t>
      </w:r>
      <w:r w:rsidR="001A1006" w:rsidRPr="00055144">
        <w:rPr>
          <w:lang w:val="es-ES_tradnl"/>
        </w:rPr>
        <w:t>proyecto</w:t>
      </w:r>
      <w:r w:rsidR="00A13BEA" w:rsidRPr="00055144">
        <w:rPr>
          <w:lang w:val="es-ES_tradnl"/>
        </w:rPr>
        <w:t xml:space="preserve"> </w:t>
      </w:r>
      <w:r w:rsidR="001A1006" w:rsidRPr="00055144">
        <w:rPr>
          <w:lang w:val="es-ES_tradnl"/>
        </w:rPr>
        <w:t>de</w:t>
      </w:r>
      <w:r w:rsidR="00A13BEA" w:rsidRPr="00055144">
        <w:rPr>
          <w:lang w:val="es-ES_tradnl"/>
        </w:rPr>
        <w:t xml:space="preserve"> </w:t>
      </w:r>
      <w:r w:rsidR="001A1006" w:rsidRPr="00055144">
        <w:rPr>
          <w:lang w:val="es-ES_tradnl"/>
        </w:rPr>
        <w:t>acuerdo</w:t>
      </w:r>
      <w:r w:rsidR="00A13BEA" w:rsidRPr="00055144">
        <w:rPr>
          <w:lang w:val="es-ES_tradnl"/>
        </w:rPr>
        <w:t xml:space="preserve"> </w:t>
      </w:r>
      <w:r w:rsidR="009374DA" w:rsidRPr="00055144">
        <w:rPr>
          <w:lang w:val="es-ES_tradnl"/>
        </w:rPr>
        <w:t>entre</w:t>
      </w:r>
      <w:r w:rsidR="00A13BEA" w:rsidRPr="00055144">
        <w:rPr>
          <w:lang w:val="es-ES_tradnl"/>
        </w:rPr>
        <w:t xml:space="preserve"> </w:t>
      </w:r>
      <w:r w:rsidR="00755C5D" w:rsidRPr="00055144">
        <w:rPr>
          <w:lang w:val="es-ES_tradnl"/>
        </w:rPr>
        <w:t>el</w:t>
      </w:r>
      <w:r w:rsidR="00A13BEA" w:rsidRPr="00055144">
        <w:rPr>
          <w:lang w:val="es-ES_tradnl"/>
        </w:rPr>
        <w:t xml:space="preserve"> </w:t>
      </w:r>
      <w:r w:rsidR="00755C5D" w:rsidRPr="00055144">
        <w:rPr>
          <w:lang w:val="es-ES_tradnl"/>
        </w:rPr>
        <w:t>Gobierno</w:t>
      </w:r>
      <w:r w:rsidR="00A13BEA" w:rsidRPr="00055144">
        <w:rPr>
          <w:lang w:val="es-ES_tradnl"/>
        </w:rPr>
        <w:t xml:space="preserve"> </w:t>
      </w:r>
      <w:r w:rsidR="00755C5D" w:rsidRPr="00055144">
        <w:rPr>
          <w:lang w:val="es-ES_tradnl"/>
        </w:rPr>
        <w:t>de</w:t>
      </w:r>
      <w:r w:rsidR="00A13BEA" w:rsidRPr="00055144">
        <w:rPr>
          <w:lang w:val="es-ES_tradnl"/>
        </w:rPr>
        <w:t xml:space="preserve"> </w:t>
      </w:r>
      <w:r w:rsidR="00365451" w:rsidRPr="00055144">
        <w:rPr>
          <w:lang w:val="es-ES_tradnl"/>
        </w:rPr>
        <w:t>Iraq</w:t>
      </w:r>
      <w:r w:rsidR="00A13BEA" w:rsidRPr="00055144">
        <w:rPr>
          <w:lang w:val="es-ES_tradnl"/>
        </w:rPr>
        <w:t xml:space="preserve"> </w:t>
      </w:r>
      <w:r w:rsidR="00755C5D" w:rsidRPr="00055144">
        <w:rPr>
          <w:lang w:val="es-ES_tradnl"/>
        </w:rPr>
        <w:t>y</w:t>
      </w:r>
      <w:r w:rsidR="00A13BEA" w:rsidRPr="00055144">
        <w:rPr>
          <w:lang w:val="es-ES_tradnl"/>
        </w:rPr>
        <w:t xml:space="preserve"> </w:t>
      </w:r>
      <w:r w:rsidR="009374DA" w:rsidRPr="00055144">
        <w:rPr>
          <w:lang w:val="es-ES_tradnl"/>
        </w:rPr>
        <w:t>el</w:t>
      </w:r>
      <w:r w:rsidR="00A13BEA" w:rsidRPr="00055144">
        <w:rPr>
          <w:lang w:val="es-ES_tradnl"/>
        </w:rPr>
        <w:t xml:space="preserve"> </w:t>
      </w:r>
      <w:r w:rsidR="009374DA" w:rsidRPr="00055144">
        <w:rPr>
          <w:lang w:val="es-ES_tradnl"/>
        </w:rPr>
        <w:t>Comité</w:t>
      </w:r>
      <w:r w:rsidR="00A13BEA" w:rsidRPr="00055144">
        <w:rPr>
          <w:lang w:val="es-ES_tradnl"/>
        </w:rPr>
        <w:t xml:space="preserve"> </w:t>
      </w:r>
      <w:r w:rsidR="00755C5D" w:rsidRPr="00055144">
        <w:rPr>
          <w:lang w:val="es-ES_tradnl"/>
        </w:rPr>
        <w:t>Ejecutivo</w:t>
      </w:r>
      <w:r w:rsidR="004135A5" w:rsidRPr="00055144">
        <w:rPr>
          <w:lang w:val="es-ES_tradnl"/>
        </w:rPr>
        <w:t xml:space="preserve"> para la </w:t>
      </w:r>
      <w:r w:rsidR="00A13BEA" w:rsidRPr="00055144">
        <w:rPr>
          <w:lang w:val="es-ES_tradnl"/>
        </w:rPr>
        <w:t xml:space="preserve">reducción del </w:t>
      </w:r>
      <w:r w:rsidR="00055F50" w:rsidRPr="00055144">
        <w:rPr>
          <w:lang w:val="es-ES_tradnl"/>
        </w:rPr>
        <w:t>consumo de HCFC</w:t>
      </w:r>
      <w:r w:rsidR="00297F4D" w:rsidRPr="00055144">
        <w:rPr>
          <w:lang w:val="es-ES_tradnl"/>
        </w:rPr>
        <w:t>,</w:t>
      </w:r>
      <w:r w:rsidR="00A13BEA" w:rsidRPr="00055144">
        <w:rPr>
          <w:lang w:val="es-ES_tradnl"/>
        </w:rPr>
        <w:t xml:space="preserve"> </w:t>
      </w:r>
      <w:r w:rsidR="00DB3D7B" w:rsidRPr="00055144">
        <w:rPr>
          <w:lang w:val="es-ES_tradnl"/>
        </w:rPr>
        <w:t>de</w:t>
      </w:r>
      <w:r w:rsidR="00A13BEA" w:rsidRPr="00055144">
        <w:rPr>
          <w:lang w:val="es-ES_tradnl"/>
        </w:rPr>
        <w:t xml:space="preserve"> </w:t>
      </w:r>
      <w:r w:rsidR="00DB3D7B" w:rsidRPr="00055144">
        <w:rPr>
          <w:lang w:val="es-ES_tradnl"/>
        </w:rPr>
        <w:t>conformidad</w:t>
      </w:r>
      <w:r w:rsidR="00A13BEA" w:rsidRPr="00055144">
        <w:rPr>
          <w:lang w:val="es-ES_tradnl"/>
        </w:rPr>
        <w:t xml:space="preserve"> </w:t>
      </w:r>
      <w:r w:rsidR="00DB3D7B" w:rsidRPr="00055144">
        <w:rPr>
          <w:lang w:val="es-ES_tradnl"/>
        </w:rPr>
        <w:t>con</w:t>
      </w:r>
      <w:r w:rsidR="00A13BEA" w:rsidRPr="00055144">
        <w:rPr>
          <w:lang w:val="es-ES_tradnl"/>
        </w:rPr>
        <w:t xml:space="preserve"> </w:t>
      </w:r>
      <w:r w:rsidR="003208A7" w:rsidRPr="00055144">
        <w:rPr>
          <w:lang w:val="es-ES_tradnl"/>
        </w:rPr>
        <w:t>la</w:t>
      </w:r>
      <w:r w:rsidR="00A13BEA" w:rsidRPr="00055144">
        <w:rPr>
          <w:lang w:val="es-ES_tradnl"/>
        </w:rPr>
        <w:t xml:space="preserve"> </w:t>
      </w:r>
      <w:r w:rsidR="003208A7" w:rsidRPr="00055144">
        <w:rPr>
          <w:lang w:val="es-ES_tradnl"/>
        </w:rPr>
        <w:t>etapa</w:t>
      </w:r>
      <w:r w:rsidR="00A13BEA" w:rsidRPr="00055144">
        <w:rPr>
          <w:lang w:val="es-ES_tradnl"/>
        </w:rPr>
        <w:t xml:space="preserve"> </w:t>
      </w:r>
      <w:r w:rsidR="003208A7" w:rsidRPr="00055144">
        <w:rPr>
          <w:lang w:val="es-ES_tradnl"/>
        </w:rPr>
        <w:t>I</w:t>
      </w:r>
      <w:r w:rsidR="00297F4D" w:rsidRPr="00055144">
        <w:rPr>
          <w:lang w:val="es-ES_tradnl"/>
        </w:rPr>
        <w:t>I</w:t>
      </w:r>
      <w:r w:rsidR="00A13BEA" w:rsidRPr="00055144">
        <w:rPr>
          <w:lang w:val="es-ES_tradnl"/>
        </w:rPr>
        <w:t xml:space="preserve"> </w:t>
      </w:r>
      <w:r w:rsidR="00755C5D" w:rsidRPr="00055144">
        <w:rPr>
          <w:lang w:val="es-ES_tradnl"/>
        </w:rPr>
        <w:t>del</w:t>
      </w:r>
      <w:r w:rsidR="00A13BEA" w:rsidRPr="00055144">
        <w:rPr>
          <w:lang w:val="es-ES_tradnl"/>
        </w:rPr>
        <w:t xml:space="preserve"> </w:t>
      </w:r>
      <w:r w:rsidR="00755C5D" w:rsidRPr="00055144">
        <w:rPr>
          <w:lang w:val="es-ES_tradnl"/>
        </w:rPr>
        <w:t>PGEH</w:t>
      </w:r>
      <w:r w:rsidR="00297F4D" w:rsidRPr="00055144">
        <w:rPr>
          <w:lang w:val="es-ES_tradnl"/>
        </w:rPr>
        <w:t>,</w:t>
      </w:r>
      <w:r w:rsidR="00A13BEA" w:rsidRPr="00055144">
        <w:rPr>
          <w:lang w:val="es-ES_tradnl"/>
        </w:rPr>
        <w:t xml:space="preserve"> que figura en el Anexo </w:t>
      </w:r>
      <w:r w:rsidR="00297F4D" w:rsidRPr="00055144">
        <w:rPr>
          <w:lang w:val="es-ES_tradnl"/>
        </w:rPr>
        <w:t>I</w:t>
      </w:r>
      <w:r w:rsidR="00A13BEA" w:rsidRPr="00055144">
        <w:rPr>
          <w:lang w:val="es-ES_tradnl"/>
        </w:rPr>
        <w:t xml:space="preserve"> </w:t>
      </w:r>
      <w:r w:rsidR="00DB3D7B" w:rsidRPr="00055144">
        <w:rPr>
          <w:lang w:val="es-ES_tradnl"/>
        </w:rPr>
        <w:t>al</w:t>
      </w:r>
      <w:r w:rsidR="00A13BEA" w:rsidRPr="00055144">
        <w:rPr>
          <w:lang w:val="es-ES_tradnl"/>
        </w:rPr>
        <w:t xml:space="preserve"> </w:t>
      </w:r>
      <w:r w:rsidR="00DB3D7B" w:rsidRPr="00055144">
        <w:rPr>
          <w:lang w:val="es-ES_tradnl"/>
        </w:rPr>
        <w:t>presente</w:t>
      </w:r>
      <w:r w:rsidR="00A13BEA" w:rsidRPr="00055144">
        <w:rPr>
          <w:lang w:val="es-ES_tradnl"/>
        </w:rPr>
        <w:t xml:space="preserve"> </w:t>
      </w:r>
      <w:r w:rsidR="000521A3" w:rsidRPr="00055144">
        <w:rPr>
          <w:lang w:val="es-ES_tradnl"/>
        </w:rPr>
        <w:t>documento</w:t>
      </w:r>
      <w:r w:rsidR="00297F4D" w:rsidRPr="00055144">
        <w:rPr>
          <w:lang w:val="es-ES_tradnl"/>
        </w:rPr>
        <w:t>;</w:t>
      </w:r>
      <w:r w:rsidR="00A13BEA" w:rsidRPr="00055144">
        <w:rPr>
          <w:lang w:val="es-ES_tradnl"/>
        </w:rPr>
        <w:t xml:space="preserve"> </w:t>
      </w:r>
      <w:r w:rsidR="00755C5D" w:rsidRPr="00055144">
        <w:rPr>
          <w:lang w:val="es-ES_tradnl"/>
        </w:rPr>
        <w:t>y</w:t>
      </w:r>
    </w:p>
    <w:p w14:paraId="4A9DA3FC" w14:textId="7385D685" w:rsidR="00E85409" w:rsidRPr="00B924EB" w:rsidRDefault="008C74F1" w:rsidP="00365451">
      <w:pPr>
        <w:pStyle w:val="Heading2"/>
        <w:rPr>
          <w:lang w:val="es-ES_tradnl"/>
        </w:rPr>
      </w:pPr>
      <w:r w:rsidRPr="00055144">
        <w:rPr>
          <w:lang w:val="es-ES_tradnl"/>
        </w:rPr>
        <w:t>Aprobar</w:t>
      </w:r>
      <w:r w:rsidR="00A13BEA" w:rsidRPr="00055144">
        <w:rPr>
          <w:lang w:val="es-ES_tradnl"/>
        </w:rPr>
        <w:t xml:space="preserve"> </w:t>
      </w:r>
      <w:r w:rsidR="005E1320" w:rsidRPr="00055144">
        <w:rPr>
          <w:lang w:val="es-ES_tradnl"/>
        </w:rPr>
        <w:t>el</w:t>
      </w:r>
      <w:r w:rsidR="00A13BEA" w:rsidRPr="00055144">
        <w:rPr>
          <w:lang w:val="es-ES_tradnl"/>
        </w:rPr>
        <w:t xml:space="preserve"> </w:t>
      </w:r>
      <w:r w:rsidR="005E1320" w:rsidRPr="00055144">
        <w:rPr>
          <w:lang w:val="es-ES_tradnl"/>
        </w:rPr>
        <w:t>primer</w:t>
      </w:r>
      <w:r w:rsidR="00A13BEA" w:rsidRPr="00055144">
        <w:rPr>
          <w:lang w:val="es-ES_tradnl"/>
        </w:rPr>
        <w:t xml:space="preserve"> </w:t>
      </w:r>
      <w:r w:rsidR="00755C5D" w:rsidRPr="00055144">
        <w:rPr>
          <w:lang w:val="es-ES_tradnl"/>
        </w:rPr>
        <w:t>tramo</w:t>
      </w:r>
      <w:r w:rsidR="00A13BEA" w:rsidRPr="00055144">
        <w:rPr>
          <w:lang w:val="es-ES_tradnl"/>
        </w:rPr>
        <w:t xml:space="preserve"> </w:t>
      </w:r>
      <w:r w:rsidR="009374DA" w:rsidRPr="00055144">
        <w:rPr>
          <w:lang w:val="es-ES_tradnl"/>
        </w:rPr>
        <w:t>de</w:t>
      </w:r>
      <w:r w:rsidR="00A13BEA" w:rsidRPr="00055144">
        <w:rPr>
          <w:lang w:val="es-ES_tradnl"/>
        </w:rPr>
        <w:t xml:space="preserve"> </w:t>
      </w:r>
      <w:r w:rsidR="003208A7" w:rsidRPr="00055144">
        <w:rPr>
          <w:lang w:val="es-ES_tradnl"/>
        </w:rPr>
        <w:t>la</w:t>
      </w:r>
      <w:r w:rsidR="00A13BEA" w:rsidRPr="00055144">
        <w:rPr>
          <w:lang w:val="es-ES_tradnl"/>
        </w:rPr>
        <w:t xml:space="preserve"> </w:t>
      </w:r>
      <w:r w:rsidR="003208A7" w:rsidRPr="00055144">
        <w:rPr>
          <w:lang w:val="es-ES_tradnl"/>
        </w:rPr>
        <w:t>etapa</w:t>
      </w:r>
      <w:r w:rsidR="00A13BEA" w:rsidRPr="00055144">
        <w:rPr>
          <w:lang w:val="es-ES_tradnl"/>
        </w:rPr>
        <w:t xml:space="preserve"> </w:t>
      </w:r>
      <w:r w:rsidR="003208A7" w:rsidRPr="00055144">
        <w:rPr>
          <w:lang w:val="es-ES_tradnl"/>
        </w:rPr>
        <w:t>I</w:t>
      </w:r>
      <w:r w:rsidR="00297F4D" w:rsidRPr="00055144">
        <w:rPr>
          <w:lang w:val="es-ES_tradnl"/>
        </w:rPr>
        <w:t>I</w:t>
      </w:r>
      <w:r w:rsidR="00A13BEA" w:rsidRPr="00055144">
        <w:rPr>
          <w:lang w:val="es-ES_tradnl"/>
        </w:rPr>
        <w:t xml:space="preserve"> </w:t>
      </w:r>
      <w:r w:rsidR="00755C5D" w:rsidRPr="00055144">
        <w:rPr>
          <w:lang w:val="es-ES_tradnl"/>
        </w:rPr>
        <w:t>d</w:t>
      </w:r>
      <w:r w:rsidR="00DB3D7B" w:rsidRPr="00055144">
        <w:rPr>
          <w:lang w:val="es-ES_tradnl"/>
        </w:rPr>
        <w:t>el</w:t>
      </w:r>
      <w:r w:rsidR="00A13BEA" w:rsidRPr="00055144">
        <w:rPr>
          <w:lang w:val="es-ES_tradnl"/>
        </w:rPr>
        <w:t xml:space="preserve"> </w:t>
      </w:r>
      <w:r w:rsidR="00DB3D7B" w:rsidRPr="00055144">
        <w:rPr>
          <w:lang w:val="es-ES_tradnl"/>
        </w:rPr>
        <w:t>PGEH</w:t>
      </w:r>
      <w:r w:rsidR="00A13BEA" w:rsidRPr="00055144">
        <w:rPr>
          <w:lang w:val="es-ES_tradnl"/>
        </w:rPr>
        <w:t xml:space="preserve"> </w:t>
      </w:r>
      <w:r w:rsidR="00DB3D7B" w:rsidRPr="00055144">
        <w:rPr>
          <w:lang w:val="es-ES_tradnl"/>
        </w:rPr>
        <w:t>para</w:t>
      </w:r>
      <w:r w:rsidR="00A13BEA" w:rsidRPr="00055144">
        <w:rPr>
          <w:lang w:val="es-ES_tradnl"/>
        </w:rPr>
        <w:t xml:space="preserve"> </w:t>
      </w:r>
      <w:r w:rsidR="00365451" w:rsidRPr="00055144">
        <w:rPr>
          <w:lang w:val="es-ES_tradnl"/>
        </w:rPr>
        <w:t>Iraq</w:t>
      </w:r>
      <w:r w:rsidR="00A13BEA" w:rsidRPr="00055144">
        <w:rPr>
          <w:lang w:val="es-ES_tradnl"/>
        </w:rPr>
        <w:t xml:space="preserve"> </w:t>
      </w:r>
      <w:r w:rsidR="00755C5D" w:rsidRPr="00055144">
        <w:rPr>
          <w:lang w:val="es-ES_tradnl"/>
        </w:rPr>
        <w:t>y</w:t>
      </w:r>
      <w:r w:rsidR="00A13BEA" w:rsidRPr="00055144">
        <w:rPr>
          <w:lang w:val="es-ES_tradnl"/>
        </w:rPr>
        <w:t xml:space="preserve"> </w:t>
      </w:r>
      <w:r w:rsidR="003208A7" w:rsidRPr="00055144">
        <w:rPr>
          <w:lang w:val="es-ES_tradnl"/>
        </w:rPr>
        <w:t>el</w:t>
      </w:r>
      <w:r w:rsidR="00A13BEA" w:rsidRPr="00055144">
        <w:rPr>
          <w:lang w:val="es-ES_tradnl"/>
        </w:rPr>
        <w:t xml:space="preserve"> </w:t>
      </w:r>
      <w:r w:rsidR="003208A7" w:rsidRPr="00055144">
        <w:rPr>
          <w:lang w:val="es-ES_tradnl"/>
        </w:rPr>
        <w:t>correspondiente</w:t>
      </w:r>
      <w:r w:rsidR="00A13BEA" w:rsidRPr="00055144">
        <w:rPr>
          <w:lang w:val="es-ES_tradnl"/>
        </w:rPr>
        <w:t xml:space="preserve"> </w:t>
      </w:r>
      <w:r w:rsidR="000521A3" w:rsidRPr="00055144">
        <w:rPr>
          <w:lang w:val="es-ES_tradnl"/>
        </w:rPr>
        <w:t>plan</w:t>
      </w:r>
      <w:r w:rsidR="00A13BEA" w:rsidRPr="00055144">
        <w:rPr>
          <w:lang w:val="es-ES_tradnl"/>
        </w:rPr>
        <w:t xml:space="preserve"> </w:t>
      </w:r>
      <w:r w:rsidR="000521A3" w:rsidRPr="00055144">
        <w:rPr>
          <w:lang w:val="es-ES_tradnl"/>
        </w:rPr>
        <w:t>de</w:t>
      </w:r>
      <w:r w:rsidR="00A13BEA" w:rsidRPr="00055144">
        <w:rPr>
          <w:lang w:val="es-ES_tradnl"/>
        </w:rPr>
        <w:t xml:space="preserve"> </w:t>
      </w:r>
      <w:r w:rsidR="000521A3" w:rsidRPr="00055144">
        <w:rPr>
          <w:lang w:val="es-ES_tradnl"/>
        </w:rPr>
        <w:t>ejecución</w:t>
      </w:r>
      <w:r w:rsidR="00A13BEA" w:rsidRPr="00055144">
        <w:rPr>
          <w:lang w:val="es-ES_tradnl"/>
        </w:rPr>
        <w:t xml:space="preserve"> </w:t>
      </w:r>
      <w:r w:rsidR="009374DA" w:rsidRPr="00055144">
        <w:rPr>
          <w:lang w:val="es-ES_tradnl"/>
        </w:rPr>
        <w:t>en</w:t>
      </w:r>
      <w:r w:rsidR="00A13BEA" w:rsidRPr="00055144">
        <w:rPr>
          <w:lang w:val="es-ES_tradnl"/>
        </w:rPr>
        <w:t xml:space="preserve"> </w:t>
      </w:r>
      <w:r w:rsidR="006D30B5" w:rsidRPr="00055144">
        <w:rPr>
          <w:lang w:val="es-ES_tradnl"/>
        </w:rPr>
        <w:t>la suma de</w:t>
      </w:r>
      <w:r w:rsidR="00A13BEA" w:rsidRPr="00055144">
        <w:rPr>
          <w:lang w:val="es-ES_tradnl"/>
        </w:rPr>
        <w:t xml:space="preserve"> </w:t>
      </w:r>
      <w:r w:rsidR="00B556B1" w:rsidRPr="00055144">
        <w:rPr>
          <w:lang w:val="es-ES_tradnl"/>
        </w:rPr>
        <w:t>40</w:t>
      </w:r>
      <w:r w:rsidR="00755C5D" w:rsidRPr="00055144">
        <w:rPr>
          <w:lang w:val="es-ES_tradnl"/>
        </w:rPr>
        <w:t>0.</w:t>
      </w:r>
      <w:r w:rsidR="00B556B1" w:rsidRPr="00055144">
        <w:rPr>
          <w:lang w:val="es-ES_tradnl"/>
        </w:rPr>
        <w:t>42</w:t>
      </w:r>
      <w:r w:rsidR="00755C5D" w:rsidRPr="00055144">
        <w:rPr>
          <w:lang w:val="es-ES_tradnl"/>
        </w:rPr>
        <w:t>1</w:t>
      </w:r>
      <w:r w:rsidR="00A13BEA" w:rsidRPr="00055144">
        <w:rPr>
          <w:lang w:val="es-ES_tradnl"/>
        </w:rPr>
        <w:t xml:space="preserve"> </w:t>
      </w:r>
      <w:r w:rsidR="00E26F0F" w:rsidRPr="00055144">
        <w:rPr>
          <w:lang w:val="es-ES_tradnl"/>
        </w:rPr>
        <w:t>$EUA,</w:t>
      </w:r>
      <w:r w:rsidR="00A13BEA" w:rsidRPr="00055144">
        <w:rPr>
          <w:lang w:val="es-ES_tradnl"/>
        </w:rPr>
        <w:t xml:space="preserve"> </w:t>
      </w:r>
      <w:r w:rsidR="00E26F0F" w:rsidRPr="00055144">
        <w:rPr>
          <w:lang w:val="es-ES_tradnl"/>
        </w:rPr>
        <w:t>cifra</w:t>
      </w:r>
      <w:r w:rsidR="00A13BEA" w:rsidRPr="00055144">
        <w:rPr>
          <w:lang w:val="es-ES_tradnl"/>
        </w:rPr>
        <w:t xml:space="preserve"> </w:t>
      </w:r>
      <w:r w:rsidR="00E26F0F" w:rsidRPr="00055144">
        <w:rPr>
          <w:lang w:val="es-ES_tradnl"/>
        </w:rPr>
        <w:t>consistente</w:t>
      </w:r>
      <w:r w:rsidR="00A13BEA" w:rsidRPr="00055144">
        <w:rPr>
          <w:lang w:val="es-ES_tradnl"/>
        </w:rPr>
        <w:t xml:space="preserve"> </w:t>
      </w:r>
      <w:r w:rsidR="00E26F0F" w:rsidRPr="00055144">
        <w:rPr>
          <w:lang w:val="es-ES_tradnl"/>
        </w:rPr>
        <w:t>en</w:t>
      </w:r>
      <w:r w:rsidR="00A13BEA" w:rsidRPr="00055144">
        <w:rPr>
          <w:lang w:val="es-ES_tradnl"/>
        </w:rPr>
        <w:t xml:space="preserve"> </w:t>
      </w:r>
      <w:r w:rsidR="00B556B1" w:rsidRPr="00055144">
        <w:rPr>
          <w:lang w:val="es-ES_tradnl"/>
        </w:rPr>
        <w:t>33</w:t>
      </w:r>
      <w:r w:rsidR="009374DA" w:rsidRPr="00055144">
        <w:rPr>
          <w:lang w:val="es-ES_tradnl"/>
        </w:rPr>
        <w:t>5.</w:t>
      </w:r>
      <w:r w:rsidR="00B556B1" w:rsidRPr="00055144">
        <w:rPr>
          <w:lang w:val="es-ES_tradnl"/>
        </w:rPr>
        <w:t>00</w:t>
      </w:r>
      <w:r w:rsidR="00755C5D" w:rsidRPr="00055144">
        <w:rPr>
          <w:lang w:val="es-ES_tradnl"/>
        </w:rPr>
        <w:t>0</w:t>
      </w:r>
      <w:r w:rsidR="00A13BEA" w:rsidRPr="00055144">
        <w:rPr>
          <w:lang w:val="es-ES_tradnl"/>
        </w:rPr>
        <w:t xml:space="preserve"> </w:t>
      </w:r>
      <w:r w:rsidR="00DB3D7B" w:rsidRPr="00055144">
        <w:rPr>
          <w:lang w:val="es-ES_tradnl"/>
        </w:rPr>
        <w:t>$EUA</w:t>
      </w:r>
      <w:r w:rsidR="00A13BEA" w:rsidRPr="00055144">
        <w:rPr>
          <w:lang w:val="es-ES_tradnl"/>
        </w:rPr>
        <w:t xml:space="preserve"> </w:t>
      </w:r>
      <w:r w:rsidR="00DB3D7B" w:rsidRPr="00055144">
        <w:rPr>
          <w:lang w:val="es-ES_tradnl"/>
        </w:rPr>
        <w:t>más</w:t>
      </w:r>
      <w:r w:rsidR="00A13BEA" w:rsidRPr="00055144">
        <w:rPr>
          <w:lang w:val="es-ES_tradnl"/>
        </w:rPr>
        <w:t xml:space="preserve"> </w:t>
      </w:r>
      <w:r w:rsidR="004135A5" w:rsidRPr="00055144">
        <w:rPr>
          <w:lang w:val="es-ES_tradnl"/>
        </w:rPr>
        <w:t>gastos de apoyo de</w:t>
      </w:r>
      <w:r w:rsidR="00A13BEA" w:rsidRPr="00055144">
        <w:rPr>
          <w:lang w:val="es-ES_tradnl"/>
        </w:rPr>
        <w:t xml:space="preserve"> </w:t>
      </w:r>
      <w:r w:rsidR="00B556B1" w:rsidRPr="00055144">
        <w:rPr>
          <w:lang w:val="es-ES_tradnl"/>
        </w:rPr>
        <w:t>3</w:t>
      </w:r>
      <w:r w:rsidR="009374DA" w:rsidRPr="00055144">
        <w:rPr>
          <w:lang w:val="es-ES_tradnl"/>
        </w:rPr>
        <w:t>8.</w:t>
      </w:r>
      <w:r w:rsidR="00B556B1" w:rsidRPr="00055144">
        <w:rPr>
          <w:lang w:val="es-ES_tradnl"/>
        </w:rPr>
        <w:t>671</w:t>
      </w:r>
      <w:r w:rsidR="00A13BEA" w:rsidRPr="00055144">
        <w:rPr>
          <w:lang w:val="es-ES_tradnl"/>
        </w:rPr>
        <w:t xml:space="preserve"> </w:t>
      </w:r>
      <w:r w:rsidR="007E4AA2" w:rsidRPr="007E4AA2">
        <w:rPr>
          <w:lang w:val="es-ES_tradnl"/>
        </w:rPr>
        <w:t xml:space="preserve">$EUA </w:t>
      </w:r>
      <w:r w:rsidR="00E26F0F" w:rsidRPr="00055144">
        <w:rPr>
          <w:lang w:val="es-ES_tradnl"/>
        </w:rPr>
        <w:t>para</w:t>
      </w:r>
      <w:r w:rsidR="00A13BEA" w:rsidRPr="00055144">
        <w:rPr>
          <w:lang w:val="es-ES_tradnl"/>
        </w:rPr>
        <w:t xml:space="preserve"> </w:t>
      </w:r>
      <w:r w:rsidR="00E26F0F" w:rsidRPr="00055144">
        <w:rPr>
          <w:lang w:val="es-ES_tradnl"/>
        </w:rPr>
        <w:t>el</w:t>
      </w:r>
      <w:r w:rsidR="00A13BEA" w:rsidRPr="00055144">
        <w:rPr>
          <w:lang w:val="es-ES_tradnl"/>
        </w:rPr>
        <w:t xml:space="preserve"> </w:t>
      </w:r>
      <w:r w:rsidR="00755C5D" w:rsidRPr="00055144">
        <w:rPr>
          <w:lang w:val="es-ES_tradnl"/>
        </w:rPr>
        <w:t>PNUMA</w:t>
      </w:r>
      <w:r w:rsidR="00A13BEA" w:rsidRPr="00055144">
        <w:rPr>
          <w:lang w:val="es-ES_tradnl"/>
        </w:rPr>
        <w:t xml:space="preserve"> </w:t>
      </w:r>
      <w:r w:rsidR="00755C5D" w:rsidRPr="00055144">
        <w:rPr>
          <w:lang w:val="es-ES_tradnl"/>
        </w:rPr>
        <w:t>y</w:t>
      </w:r>
      <w:r w:rsidR="00A13BEA" w:rsidRPr="00055144">
        <w:rPr>
          <w:lang w:val="es-ES_tradnl"/>
        </w:rPr>
        <w:t xml:space="preserve"> </w:t>
      </w:r>
      <w:r w:rsidR="006C17B9">
        <w:rPr>
          <w:lang w:val="es-ES_tradnl"/>
        </w:rPr>
        <w:t xml:space="preserve">en </w:t>
      </w:r>
      <w:r w:rsidR="00B556B1" w:rsidRPr="00055144">
        <w:rPr>
          <w:lang w:val="es-ES_tradnl"/>
        </w:rPr>
        <w:t>2</w:t>
      </w:r>
      <w:r w:rsidR="009374DA" w:rsidRPr="00055144">
        <w:rPr>
          <w:lang w:val="es-ES_tradnl"/>
        </w:rPr>
        <w:t>5.</w:t>
      </w:r>
      <w:r w:rsidR="00B556B1" w:rsidRPr="00055144">
        <w:rPr>
          <w:lang w:val="es-ES_tradnl"/>
        </w:rPr>
        <w:t>00</w:t>
      </w:r>
      <w:r w:rsidR="00755C5D" w:rsidRPr="00055144">
        <w:rPr>
          <w:lang w:val="es-ES_tradnl"/>
        </w:rPr>
        <w:t>0</w:t>
      </w:r>
      <w:r w:rsidR="00A13BEA" w:rsidRPr="00055144">
        <w:rPr>
          <w:lang w:val="es-ES_tradnl"/>
        </w:rPr>
        <w:t xml:space="preserve"> </w:t>
      </w:r>
      <w:r w:rsidR="00DB3D7B" w:rsidRPr="00055144">
        <w:rPr>
          <w:lang w:val="es-ES_tradnl"/>
        </w:rPr>
        <w:t>$EUA</w:t>
      </w:r>
      <w:r w:rsidR="00A13BEA" w:rsidRPr="00055144">
        <w:rPr>
          <w:lang w:val="es-ES_tradnl"/>
        </w:rPr>
        <w:t xml:space="preserve"> </w:t>
      </w:r>
      <w:r w:rsidR="00DB3D7B" w:rsidRPr="00055144">
        <w:rPr>
          <w:lang w:val="es-ES_tradnl"/>
        </w:rPr>
        <w:t>más</w:t>
      </w:r>
      <w:r w:rsidR="00A13BEA" w:rsidRPr="00055144">
        <w:rPr>
          <w:lang w:val="es-ES_tradnl"/>
        </w:rPr>
        <w:t xml:space="preserve"> </w:t>
      </w:r>
      <w:r w:rsidR="004135A5" w:rsidRPr="00055144">
        <w:rPr>
          <w:lang w:val="es-ES_tradnl"/>
        </w:rPr>
        <w:t>gastos de apoyo de</w:t>
      </w:r>
      <w:r w:rsidR="00A13BEA" w:rsidRPr="00055144">
        <w:rPr>
          <w:lang w:val="es-ES_tradnl"/>
        </w:rPr>
        <w:t xml:space="preserve"> </w:t>
      </w:r>
      <w:r w:rsidR="00755C5D" w:rsidRPr="00055144">
        <w:rPr>
          <w:lang w:val="es-ES_tradnl"/>
        </w:rPr>
        <w:t>1.</w:t>
      </w:r>
      <w:r w:rsidR="00B556B1" w:rsidRPr="00055144">
        <w:rPr>
          <w:lang w:val="es-ES_tradnl"/>
        </w:rPr>
        <w:t>750</w:t>
      </w:r>
      <w:r w:rsidR="00A13BEA" w:rsidRPr="00055144">
        <w:rPr>
          <w:lang w:val="es-ES_tradnl"/>
        </w:rPr>
        <w:t xml:space="preserve"> </w:t>
      </w:r>
      <w:r w:rsidR="00DE053F" w:rsidRPr="00DE053F">
        <w:rPr>
          <w:lang w:val="es-ES_tradnl"/>
        </w:rPr>
        <w:t xml:space="preserve">$EUA </w:t>
      </w:r>
      <w:r w:rsidR="000521A3" w:rsidRPr="00055144">
        <w:rPr>
          <w:lang w:val="es-ES_tradnl"/>
        </w:rPr>
        <w:t>para</w:t>
      </w:r>
      <w:r w:rsidR="00A13BEA" w:rsidRPr="00055144">
        <w:rPr>
          <w:lang w:val="es-ES_tradnl"/>
        </w:rPr>
        <w:t xml:space="preserve"> </w:t>
      </w:r>
      <w:r w:rsidR="000521A3" w:rsidRPr="00055144">
        <w:rPr>
          <w:lang w:val="es-ES_tradnl"/>
        </w:rPr>
        <w:t>la</w:t>
      </w:r>
      <w:r w:rsidR="00A13BEA" w:rsidRPr="00055144">
        <w:rPr>
          <w:lang w:val="es-ES_tradnl"/>
        </w:rPr>
        <w:t xml:space="preserve"> </w:t>
      </w:r>
      <w:r w:rsidR="00755C5D" w:rsidRPr="00055144">
        <w:rPr>
          <w:lang w:val="es-ES_tradnl"/>
        </w:rPr>
        <w:t>ONUDI</w:t>
      </w:r>
      <w:r w:rsidR="00365451" w:rsidRPr="00055144">
        <w:rPr>
          <w:lang w:val="es-ES_tradnl"/>
        </w:rPr>
        <w:t>.</w:t>
      </w:r>
    </w:p>
    <w:p w14:paraId="6FC7E487" w14:textId="77777777" w:rsidR="00365451" w:rsidRPr="00B924EB" w:rsidRDefault="00365451">
      <w:pPr>
        <w:jc w:val="left"/>
        <w:rPr>
          <w:b/>
          <w:lang w:val="es-ES_tradnl"/>
        </w:rPr>
      </w:pPr>
    </w:p>
    <w:p w14:paraId="6296F1F2" w14:textId="77777777" w:rsidR="00365451" w:rsidRPr="00B924EB" w:rsidRDefault="00365451" w:rsidP="004E7F9C">
      <w:pPr>
        <w:rPr>
          <w:lang w:val="es-ES_tradnl"/>
        </w:rPr>
        <w:sectPr w:rsidR="00365451" w:rsidRPr="00B924EB"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0F512A12" w14:textId="77777777" w:rsidR="00EF0985" w:rsidRDefault="00EF0985" w:rsidP="00EF0985">
      <w:pPr>
        <w:jc w:val="center"/>
        <w:rPr>
          <w:b/>
          <w:bCs/>
          <w:lang w:val="es-ES"/>
        </w:rPr>
      </w:pPr>
      <w:r>
        <w:rPr>
          <w:b/>
          <w:bCs/>
          <w:lang w:val="es-ES"/>
        </w:rPr>
        <w:lastRenderedPageBreak/>
        <w:t>Anexo I</w:t>
      </w:r>
    </w:p>
    <w:p w14:paraId="37C7B940" w14:textId="77777777" w:rsidR="00EF0985" w:rsidRDefault="00EF0985" w:rsidP="00EF0985">
      <w:pPr>
        <w:jc w:val="center"/>
        <w:rPr>
          <w:b/>
          <w:bCs/>
          <w:lang w:val="es-ES"/>
        </w:rPr>
      </w:pPr>
    </w:p>
    <w:p w14:paraId="041A9562" w14:textId="77777777" w:rsidR="00EF0985" w:rsidRDefault="00EF0985" w:rsidP="00EF0985">
      <w:pPr>
        <w:jc w:val="center"/>
        <w:rPr>
          <w:b/>
          <w:bCs/>
          <w:lang w:val="es-ES"/>
        </w:rPr>
      </w:pPr>
      <w:r>
        <w:rPr>
          <w:b/>
          <w:bCs/>
          <w:lang w:val="es-ES"/>
        </w:rPr>
        <w:t xml:space="preserve">ACUERDO ENTRE EL GOBIERNO DE </w:t>
      </w:r>
      <w:r>
        <w:rPr>
          <w:b/>
          <w:lang w:val="es-ES"/>
        </w:rPr>
        <w:t>IRAQ</w:t>
      </w:r>
      <w:r>
        <w:rPr>
          <w:b/>
          <w:lang w:val="es-AR"/>
        </w:rPr>
        <w:t xml:space="preserve"> </w:t>
      </w:r>
      <w:r>
        <w:rPr>
          <w:b/>
          <w:bCs/>
          <w:lang w:val="es-ES"/>
        </w:rPr>
        <w:t>Y EL COMITÉ EJECUTIVO DEL FONDO MULTILATERAL PARA LA REDUCCIÓN DEL CONSUMO DE HIDROCLOROFLUOROCARBONOS EN EL MARCO DE LA ETAPA II DEL PLAN DE GESTIÓN DE ELIMINACIÓN DE LOS HCFC</w:t>
      </w:r>
    </w:p>
    <w:p w14:paraId="0AE18EDF" w14:textId="77777777" w:rsidR="00EF0985" w:rsidRDefault="00EF0985" w:rsidP="00EF0985">
      <w:pPr>
        <w:jc w:val="center"/>
        <w:rPr>
          <w:b/>
          <w:bCs/>
          <w:lang w:val="es-ES"/>
        </w:rPr>
      </w:pPr>
    </w:p>
    <w:p w14:paraId="0A32B251" w14:textId="77777777" w:rsidR="00EF0985" w:rsidRDefault="00EF0985" w:rsidP="00EF0985">
      <w:pPr>
        <w:rPr>
          <w:b/>
          <w:lang w:val="es-ES"/>
        </w:rPr>
      </w:pPr>
      <w:r>
        <w:rPr>
          <w:b/>
          <w:bCs/>
          <w:lang w:val="es-ES"/>
        </w:rPr>
        <w:t>Finalidad</w:t>
      </w:r>
    </w:p>
    <w:p w14:paraId="55EF94D5" w14:textId="77777777" w:rsidR="00EF0985" w:rsidRPr="000A4EE0" w:rsidRDefault="00EF0985" w:rsidP="00EF0985">
      <w:pPr>
        <w:rPr>
          <w:lang w:val="en-US"/>
        </w:rPr>
      </w:pPr>
    </w:p>
    <w:p w14:paraId="632D8D30" w14:textId="77777777" w:rsidR="00EF0985" w:rsidRPr="00EF0985" w:rsidRDefault="00EF0985" w:rsidP="00EF0985">
      <w:pPr>
        <w:pStyle w:val="Heading1"/>
        <w:numPr>
          <w:ilvl w:val="0"/>
          <w:numId w:val="41"/>
        </w:numPr>
        <w:rPr>
          <w:lang w:val="es-ES"/>
        </w:rPr>
      </w:pPr>
      <w:r w:rsidRPr="00EF0985">
        <w:rPr>
          <w:lang w:val="es-ES"/>
        </w:rPr>
        <w:t>El presente Acuerdo representa el entendimiento a que han llegado el Gobierno de Iraq</w:t>
      </w:r>
      <w:r w:rsidRPr="00EF0985">
        <w:rPr>
          <w:b/>
          <w:lang w:val="es-AR"/>
        </w:rPr>
        <w:t xml:space="preserve"> </w:t>
      </w:r>
      <w:r w:rsidRPr="00EF0985">
        <w:rPr>
          <w:lang w:val="es-ES"/>
        </w:rPr>
        <w:t>(el “País”) y el Comité Ejecutivo con respecto a la reducción del uso controlado de las sustancias que agotan la capa de ozono (SAO) indicadas en el Apéndice 1</w:t>
      </w:r>
      <w:r w:rsidRPr="00EF0985">
        <w:rPr>
          <w:lang w:val="es-ES"/>
        </w:rPr>
        <w:noBreakHyphen/>
        <w:t>A (“Las Sustancias”) hasta un nivel sostenido de 33.60</w:t>
      </w:r>
      <w:r w:rsidRPr="00EF0985">
        <w:rPr>
          <w:b/>
          <w:lang w:val="es-AR"/>
        </w:rPr>
        <w:t xml:space="preserve"> </w:t>
      </w:r>
      <w:r w:rsidRPr="00EF0985">
        <w:rPr>
          <w:lang w:val="es-ES"/>
        </w:rPr>
        <w:t xml:space="preserve">toneladas PAO antes del 1 de enero de 2025 en cumplimiento del calendario del Protocolo de Montreal. </w:t>
      </w:r>
    </w:p>
    <w:p w14:paraId="658E5429" w14:textId="77777777" w:rsidR="00EF0985" w:rsidRDefault="00EF0985" w:rsidP="00EF0985">
      <w:pPr>
        <w:numPr>
          <w:ilvl w:val="0"/>
          <w:numId w:val="1"/>
        </w:numPr>
        <w:spacing w:after="240"/>
        <w:outlineLvl w:val="0"/>
        <w:rPr>
          <w:lang w:val="es-ES"/>
        </w:rPr>
      </w:pPr>
      <w:r>
        <w:rPr>
          <w:lang w:val="es-ES"/>
        </w:rPr>
        <w:t>El País conviene en cumplir con los límites anuales de consumo de las Sustancias tal como se establecen en la fila 1.2 del Apéndice 2</w:t>
      </w:r>
      <w:r>
        <w:rPr>
          <w:lang w:val="es-ES"/>
        </w:rPr>
        <w:noBreakHyphen/>
        <w:t>A (“Los Objetivos y la Financiación”) del presente Acuerdo, así como en el calendario de reducción del Protocolo de Montreal para todas las Sustancias mencionadas en el Apéndice 1</w:t>
      </w:r>
      <w:r>
        <w:rPr>
          <w:lang w:val="es-ES"/>
        </w:rPr>
        <w:noBreakHyphen/>
        <w:t>A.  El País acepta que, en virtud de su aceptación del presente Acuerdo y del cumplimiento por parte del Comité Ejecutivo de sus obligaciones de financiación descritas en el párrafo 3, se le impide solicitar o recibir nuevos fondos del Fondo Multilateral en relación con cualquier consumo de las Sustancias que supere el nivel definido en la fila 1.2 del Apéndice 2</w:t>
      </w:r>
      <w:r>
        <w:rPr>
          <w:lang w:val="es-ES"/>
        </w:rPr>
        <w:noBreakHyphen/>
        <w:t>A como medida de reducción final conforme a este Acuerdo para todas las Sustancias especificadas en el Apéndice 1</w:t>
      </w:r>
      <w:r>
        <w:rPr>
          <w:lang w:val="es-ES"/>
        </w:rPr>
        <w:noBreakHyphen/>
        <w:t>A y en relación con cualquier consumo de cada una de las Sustancias que supere el nivel definido en la fila</w:t>
      </w:r>
      <w:r>
        <w:rPr>
          <w:b/>
          <w:lang w:val="es-AR"/>
        </w:rPr>
        <w:t xml:space="preserve"> </w:t>
      </w:r>
      <w:r>
        <w:rPr>
          <w:lang w:val="es-ES"/>
        </w:rPr>
        <w:t>4.1.3 (consumo restante admisible para la financiación).</w:t>
      </w:r>
    </w:p>
    <w:p w14:paraId="203F8E0D" w14:textId="77777777" w:rsidR="00EF0985" w:rsidRDefault="00EF0985" w:rsidP="00EF0985">
      <w:pPr>
        <w:numPr>
          <w:ilvl w:val="0"/>
          <w:numId w:val="1"/>
        </w:numPr>
        <w:spacing w:after="240"/>
        <w:outlineLvl w:val="0"/>
        <w:rPr>
          <w:lang w:val="es-ES"/>
        </w:rPr>
      </w:pPr>
      <w:r>
        <w:rPr>
          <w:lang w:val="es-ES"/>
        </w:rPr>
        <w:t>Con sujeción al cumplimiento por parte del País de las obligaciones estipuladas en los siguientes párrafos del presente Acuerdo, el Comité Ejecutivo conviene, en principio, en proporcionar al País la financiación indicada en la fila 3.1 del Apéndice 2-A. El Comité Ejecutivo proporcionará esta financiación, en principio, en las reuniones del Comité Ejecutivo especificadas en el Apéndice 3</w:t>
      </w:r>
      <w:r>
        <w:rPr>
          <w:lang w:val="es-ES"/>
        </w:rPr>
        <w:noBreakHyphen/>
        <w:t>A (“Calendario de Aprobación de la Financiación”).</w:t>
      </w:r>
    </w:p>
    <w:p w14:paraId="41394471" w14:textId="77777777" w:rsidR="00EF0985" w:rsidRDefault="00EF0985" w:rsidP="00EF0985">
      <w:pPr>
        <w:numPr>
          <w:ilvl w:val="0"/>
          <w:numId w:val="1"/>
        </w:numPr>
        <w:spacing w:after="240"/>
        <w:outlineLvl w:val="0"/>
        <w:rPr>
          <w:lang w:val="es-ES"/>
        </w:rPr>
      </w:pPr>
      <w:r>
        <w:rPr>
          <w:lang w:val="es-ES"/>
        </w:rPr>
        <w:t>El País acepta aplicar este Acuerdo conforme a la etapa II del plan de gestión de eliminación de los HCFC aprobado (“el Plan”). Conforme al inciso 5 b) de este Acuerdo, el País aceptará la verificación independiente del logro de los límites anuales de consumo de las Sustancias que se estipulan en la fila 1.2 del Apéndice 2-A de este Acuerdo. La verificación antes mencionada será encomendada por el organismo bilateral o de ejecución pertinente.</w:t>
      </w:r>
    </w:p>
    <w:p w14:paraId="4D0373F9" w14:textId="77777777" w:rsidR="00EF0985" w:rsidRDefault="00EF0985" w:rsidP="00EF0985">
      <w:pPr>
        <w:spacing w:after="240"/>
        <w:outlineLvl w:val="0"/>
        <w:rPr>
          <w:b/>
          <w:lang w:val="es-ES"/>
        </w:rPr>
      </w:pPr>
      <w:r>
        <w:rPr>
          <w:b/>
          <w:lang w:val="es-ES"/>
        </w:rPr>
        <w:t>Condiciones para la liberación de los fondos</w:t>
      </w:r>
    </w:p>
    <w:p w14:paraId="1884F7E4" w14:textId="77777777" w:rsidR="00EF0985" w:rsidRDefault="00EF0985" w:rsidP="00EF0985">
      <w:pPr>
        <w:numPr>
          <w:ilvl w:val="0"/>
          <w:numId w:val="1"/>
        </w:numPr>
        <w:spacing w:after="240"/>
        <w:outlineLvl w:val="0"/>
        <w:rPr>
          <w:lang w:val="es-ES"/>
        </w:rPr>
      </w:pPr>
      <w:r>
        <w:rPr>
          <w:lang w:val="es-ES"/>
        </w:rPr>
        <w:t>El Comité Ejecutivo proporcionará únicamente la Financiación conforme al Calendario de Aprobación de la Financiación cuando el País satisfaga las siguientes condiciones con una antelación de por lo menos ocho semanas a la reunión del Comité Ejecutivo correspondiente indicada en el Calendario de Aprobación de la Financiación:</w:t>
      </w:r>
    </w:p>
    <w:p w14:paraId="4026B6E7" w14:textId="77777777" w:rsidR="00EF0985" w:rsidRDefault="00EF0985" w:rsidP="00EF0985">
      <w:pPr>
        <w:widowControl w:val="0"/>
        <w:numPr>
          <w:ilvl w:val="1"/>
          <w:numId w:val="1"/>
        </w:numPr>
        <w:spacing w:after="240"/>
        <w:outlineLvl w:val="1"/>
        <w:rPr>
          <w:lang w:val="es-ES"/>
        </w:rPr>
      </w:pPr>
      <w:r>
        <w:rPr>
          <w:lang w:val="es-ES"/>
        </w:rPr>
        <w:t xml:space="preserve">Que el país haya cumplido con los Objetivos estipulados en la fila 1.2 del Apéndice 2-A para todos los años pertinentes. Los años pertinentes son todos los años desde el año en que se aprobó el presente Acuerdo. Los años en que no deban presentarse informes de ejecución del programa de país para la fecha de celebración de la reunión del Comité Ejecutivo en la que se presente la solicitud de financiación están exentos; </w:t>
      </w:r>
    </w:p>
    <w:p w14:paraId="284383ED" w14:textId="77777777" w:rsidR="00EF0985" w:rsidRDefault="00EF0985" w:rsidP="00EF0985">
      <w:pPr>
        <w:widowControl w:val="0"/>
        <w:numPr>
          <w:ilvl w:val="1"/>
          <w:numId w:val="1"/>
        </w:numPr>
        <w:spacing w:after="240"/>
        <w:outlineLvl w:val="1"/>
        <w:rPr>
          <w:lang w:val="es-ES"/>
        </w:rPr>
      </w:pPr>
      <w:r>
        <w:rPr>
          <w:lang w:val="es-ES"/>
        </w:rPr>
        <w:t>Que el cumplimiento de estos Objetivos haya sido verificado independientemente para todos los años pertinentes, a menos que el Comité Ejecutivo decidiere que no se requiere dicha verificación;</w:t>
      </w:r>
    </w:p>
    <w:p w14:paraId="4128E3EE" w14:textId="77777777" w:rsidR="00EF0985" w:rsidRDefault="00EF0985" w:rsidP="00EF0985">
      <w:pPr>
        <w:keepNext/>
        <w:keepLines/>
        <w:widowControl w:val="0"/>
        <w:numPr>
          <w:ilvl w:val="1"/>
          <w:numId w:val="1"/>
        </w:numPr>
        <w:spacing w:after="240"/>
        <w:outlineLvl w:val="1"/>
        <w:rPr>
          <w:lang w:val="es-ES"/>
        </w:rPr>
      </w:pPr>
      <w:r>
        <w:rPr>
          <w:lang w:val="es-ES"/>
        </w:rPr>
        <w:lastRenderedPageBreak/>
        <w:t>Que el País haya presentado Informes de Ejecución de Tramos en el formulario del Apéndice 4</w:t>
      </w:r>
      <w:r>
        <w:rPr>
          <w:lang w:val="es-ES"/>
        </w:rPr>
        <w:noBreakHyphen/>
        <w:t>A (“Formato de informes y planes de ejecución de tramos”) que cubran cada año civil anterior; que haya logrado un nivel importante de ejecución de las actividades iniciadas con tramos aprobados anteriormente; y que la tasa de desembolso de financiación disponible del tramo aprobado anterior sea de más del 20 por ciento; y</w:t>
      </w:r>
    </w:p>
    <w:p w14:paraId="58BCEA37" w14:textId="77777777" w:rsidR="00EF0985" w:rsidRDefault="00EF0985" w:rsidP="00EF0985">
      <w:pPr>
        <w:widowControl w:val="0"/>
        <w:numPr>
          <w:ilvl w:val="1"/>
          <w:numId w:val="1"/>
        </w:numPr>
        <w:spacing w:after="240"/>
        <w:outlineLvl w:val="1"/>
        <w:rPr>
          <w:lang w:val="es-ES"/>
        </w:rPr>
      </w:pPr>
      <w:r>
        <w:rPr>
          <w:lang w:val="es-ES"/>
        </w:rPr>
        <w:t>Que el país haya presentado un Plan de Ejecución de Tramos en el formulario del Apéndice 4</w:t>
      </w:r>
      <w:r>
        <w:rPr>
          <w:lang w:val="es-ES"/>
        </w:rPr>
        <w:noBreakHyphen/>
        <w:t>A para cada año civil hasta el año en que el calendario de financiación prevea la presentación del tramo siguiente, dicho año inclusive o, en el caso del último tramo, hasta que se hayan completado todas las actividades previstas.</w:t>
      </w:r>
    </w:p>
    <w:p w14:paraId="62722821" w14:textId="77777777" w:rsidR="00EF0985" w:rsidRDefault="00EF0985" w:rsidP="00EF0985">
      <w:pPr>
        <w:widowControl w:val="0"/>
        <w:spacing w:after="240"/>
        <w:outlineLvl w:val="1"/>
        <w:rPr>
          <w:b/>
          <w:lang w:val="es-ES"/>
        </w:rPr>
      </w:pPr>
      <w:r>
        <w:rPr>
          <w:b/>
          <w:lang w:val="es-ES"/>
        </w:rPr>
        <w:t>Supervisión</w:t>
      </w:r>
    </w:p>
    <w:p w14:paraId="507A6642" w14:textId="77777777" w:rsidR="00EF0985" w:rsidRDefault="00EF0985" w:rsidP="00EF0985">
      <w:pPr>
        <w:numPr>
          <w:ilvl w:val="0"/>
          <w:numId w:val="1"/>
        </w:numPr>
        <w:spacing w:after="240"/>
        <w:outlineLvl w:val="0"/>
        <w:rPr>
          <w:lang w:val="es-ES"/>
        </w:rPr>
      </w:pPr>
      <w:r>
        <w:rPr>
          <w:lang w:val="es-ES"/>
        </w:rPr>
        <w:t>El País garantizará que realiza una supervisión precisa de sus actividades en virtud del presente Acuerdo. Las instituciones indicadas en el Apéndice 5</w:t>
      </w:r>
      <w:r>
        <w:rPr>
          <w:lang w:val="es-ES"/>
        </w:rPr>
        <w:noBreakHyphen/>
        <w:t>A (“Instituciones de Supervisión y Funciones”) supervisarán e informarán sobre la ejecución de las actividades de los Planes de Ejecución de Tramos anteriores, de conformidad con sus funciones y responsabilidades estipuladas en ese mismo apéndice.</w:t>
      </w:r>
    </w:p>
    <w:p w14:paraId="02B1DDE1" w14:textId="77777777" w:rsidR="00EF0985" w:rsidRDefault="00EF0985" w:rsidP="00EF0985">
      <w:pPr>
        <w:spacing w:after="240"/>
        <w:outlineLvl w:val="0"/>
        <w:rPr>
          <w:b/>
          <w:lang w:val="es-ES"/>
        </w:rPr>
      </w:pPr>
      <w:r>
        <w:rPr>
          <w:b/>
          <w:lang w:val="es-ES"/>
        </w:rPr>
        <w:t>Flexibilidad para reasignación de fondos</w:t>
      </w:r>
    </w:p>
    <w:p w14:paraId="7C99A36D" w14:textId="77777777" w:rsidR="00EF0985" w:rsidRDefault="00EF0985" w:rsidP="00EF0985">
      <w:pPr>
        <w:numPr>
          <w:ilvl w:val="0"/>
          <w:numId w:val="1"/>
        </w:numPr>
        <w:spacing w:after="240"/>
        <w:outlineLvl w:val="0"/>
        <w:rPr>
          <w:lang w:val="es-ES"/>
        </w:rPr>
      </w:pPr>
      <w:r>
        <w:rPr>
          <w:lang w:val="es-ES"/>
        </w:rPr>
        <w:t>El Comité Ejecutivo conviene en que el País podrá tener flexibilidad para reasignar parte o la totalidad de los fondos aprobados según la evolución de las circunstancias, para lograr la reducción del consumo y la eliminación gradual más ágil posible de las Sustancias especificadas en el Apéndice 1</w:t>
      </w:r>
      <w:r>
        <w:rPr>
          <w:lang w:val="es-ES"/>
        </w:rPr>
        <w:noBreakHyphen/>
        <w:t>A:</w:t>
      </w:r>
    </w:p>
    <w:p w14:paraId="2D1F90A0" w14:textId="77777777" w:rsidR="00EF0985" w:rsidRDefault="00EF0985" w:rsidP="00EF0985">
      <w:pPr>
        <w:widowControl w:val="0"/>
        <w:numPr>
          <w:ilvl w:val="1"/>
          <w:numId w:val="1"/>
        </w:numPr>
        <w:spacing w:after="240"/>
        <w:outlineLvl w:val="1"/>
        <w:rPr>
          <w:lang w:val="es-ES"/>
        </w:rPr>
      </w:pPr>
      <w:r>
        <w:rPr>
          <w:lang w:val="es-ES"/>
        </w:rPr>
        <w:t xml:space="preserve">Las reasignaciones que se consideren cambios importantes deberán documentarse por adelantado, ya sea en un Plan de Ejecución de Tramos según lo descrito en el inciso 5 d) </w:t>
      </w:r>
      <w:r>
        <w:rPr>
          <w:i/>
          <w:lang w:val="es-ES"/>
        </w:rPr>
        <w:t>supra</w:t>
      </w:r>
      <w:r>
        <w:rPr>
          <w:lang w:val="es-ES"/>
        </w:rPr>
        <w:t>, o bien como una revisión de un Plan de Ejecución de Tramos existente a presentarse ocho semanas antes de cualquier reunión del Comité Ejecutivo para su aprobación. Los cambios importantes se relacionarían con:</w:t>
      </w:r>
    </w:p>
    <w:p w14:paraId="2EFC16A1" w14:textId="77777777" w:rsidR="00EF0985" w:rsidRDefault="00EF0985" w:rsidP="00EF0985">
      <w:pPr>
        <w:widowControl w:val="0"/>
        <w:numPr>
          <w:ilvl w:val="2"/>
          <w:numId w:val="1"/>
        </w:numPr>
        <w:spacing w:after="240"/>
        <w:outlineLvl w:val="2"/>
        <w:rPr>
          <w:lang w:val="es-ES"/>
        </w:rPr>
      </w:pPr>
      <w:r>
        <w:rPr>
          <w:lang w:val="es-ES"/>
        </w:rPr>
        <w:t xml:space="preserve">Asuntos que pudieran afectar al reglamento y las políticas del Fondo Multilateral; </w:t>
      </w:r>
    </w:p>
    <w:p w14:paraId="17FCE36D" w14:textId="77777777" w:rsidR="00EF0985" w:rsidRDefault="00EF0985" w:rsidP="00EF0985">
      <w:pPr>
        <w:widowControl w:val="0"/>
        <w:numPr>
          <w:ilvl w:val="2"/>
          <w:numId w:val="1"/>
        </w:numPr>
        <w:spacing w:after="240"/>
        <w:outlineLvl w:val="2"/>
        <w:rPr>
          <w:lang w:val="es-ES"/>
        </w:rPr>
      </w:pPr>
      <w:r>
        <w:rPr>
          <w:lang w:val="es-ES"/>
        </w:rPr>
        <w:t xml:space="preserve">Cambios que modificarían cualquier cláusula de este Acuerdo; </w:t>
      </w:r>
    </w:p>
    <w:p w14:paraId="5BAD8445" w14:textId="77777777" w:rsidR="00EF0985" w:rsidRDefault="00EF0985" w:rsidP="00EF0985">
      <w:pPr>
        <w:widowControl w:val="0"/>
        <w:numPr>
          <w:ilvl w:val="2"/>
          <w:numId w:val="1"/>
        </w:numPr>
        <w:spacing w:after="240"/>
        <w:outlineLvl w:val="2"/>
        <w:rPr>
          <w:lang w:val="es-ES"/>
        </w:rPr>
      </w:pPr>
      <w:r>
        <w:rPr>
          <w:lang w:val="es-ES"/>
        </w:rPr>
        <w:t xml:space="preserve">Cambios en los niveles anuales de financiación asignados a organismos bilaterales o de ejecución individuales para los diferentes tramos; </w:t>
      </w:r>
    </w:p>
    <w:p w14:paraId="2AB82355" w14:textId="77777777" w:rsidR="00EF0985" w:rsidRDefault="00EF0985" w:rsidP="00EF0985">
      <w:pPr>
        <w:widowControl w:val="0"/>
        <w:numPr>
          <w:ilvl w:val="2"/>
          <w:numId w:val="1"/>
        </w:numPr>
        <w:spacing w:after="240"/>
        <w:outlineLvl w:val="2"/>
        <w:rPr>
          <w:lang w:val="es-ES"/>
        </w:rPr>
      </w:pPr>
      <w:r>
        <w:rPr>
          <w:lang w:val="es-ES"/>
        </w:rPr>
        <w:t>Suministro de financiación para actividades no incluidas en el Plan de Ejecución de Tramos avalado actual, o supresión de una actividad incluida en el Plan de Ejecución de Tramos, cuyo costo exceda el 30 por ciento del costo total del último tramo aprobado; y</w:t>
      </w:r>
    </w:p>
    <w:p w14:paraId="75304CAA" w14:textId="77777777" w:rsidR="00EF0985" w:rsidRDefault="00EF0985" w:rsidP="00EF0985">
      <w:pPr>
        <w:widowControl w:val="0"/>
        <w:numPr>
          <w:ilvl w:val="2"/>
          <w:numId w:val="1"/>
        </w:numPr>
        <w:spacing w:after="240"/>
        <w:outlineLvl w:val="2"/>
        <w:rPr>
          <w:lang w:val="es-AR"/>
        </w:rPr>
      </w:pPr>
      <w:r>
        <w:rPr>
          <w:lang w:val="es-ES"/>
        </w:rPr>
        <w:t>Cambios en tecnologías alternativas, quedando entendido que toda presentación de tal pedido identificaría los costos adicionales conexos, el potencial del impacto en el clima, y cualquier diferencia en toneladas PAO por eliminar, si procede, además de confirmar que el País acuerda que los ahorros posibles relacionados con el cambio de tecnología reducirían el nivel general de financiación bajo este Acuerdo en consecuencia.</w:t>
      </w:r>
    </w:p>
    <w:p w14:paraId="58FA1F53" w14:textId="77777777" w:rsidR="00EF0985" w:rsidRPr="000E03C5" w:rsidRDefault="00EF0985" w:rsidP="00EF0985">
      <w:pPr>
        <w:keepNext/>
        <w:keepLines/>
        <w:widowControl w:val="0"/>
        <w:numPr>
          <w:ilvl w:val="1"/>
          <w:numId w:val="1"/>
        </w:numPr>
        <w:spacing w:after="240"/>
        <w:outlineLvl w:val="1"/>
        <w:rPr>
          <w:lang w:val="es-ES"/>
        </w:rPr>
      </w:pPr>
      <w:r>
        <w:rPr>
          <w:lang w:val="es-ES"/>
        </w:rPr>
        <w:t xml:space="preserve">Las reasignaciones no clasificadas como cambios importantes pueden incorporarse al Plan de Ejecución de Tramos aprobado que esté en curso de ejecución en esa fecha, y notificarse al Comité Ejecutivo en el Informe de Ejecución de Tramos subsiguiente; </w:t>
      </w:r>
      <w:r w:rsidRPr="000E03C5">
        <w:rPr>
          <w:lang w:val="es-ES"/>
        </w:rPr>
        <w:t>y</w:t>
      </w:r>
    </w:p>
    <w:p w14:paraId="0E909FE0" w14:textId="77777777" w:rsidR="00EF0985" w:rsidRDefault="00EF0985" w:rsidP="00EF0985">
      <w:pPr>
        <w:widowControl w:val="0"/>
        <w:numPr>
          <w:ilvl w:val="1"/>
          <w:numId w:val="1"/>
        </w:numPr>
        <w:spacing w:after="240"/>
        <w:outlineLvl w:val="1"/>
        <w:rPr>
          <w:lang w:val="es-ES"/>
        </w:rPr>
      </w:pPr>
      <w:r>
        <w:rPr>
          <w:lang w:val="es-ES"/>
        </w:rPr>
        <w:t xml:space="preserve">Los fondos remanentes que conserven los organismos bilaterales o de ejecución o el país </w:t>
      </w:r>
      <w:r>
        <w:rPr>
          <w:lang w:val="es-ES"/>
        </w:rPr>
        <w:lastRenderedPageBreak/>
        <w:t xml:space="preserve">en virtud del Plan serán devueltos al Fondo Multilateral al concluirse el último tramo previsto conforme a este Acuerdo. </w:t>
      </w:r>
    </w:p>
    <w:p w14:paraId="5D521D5B" w14:textId="77777777" w:rsidR="00EF0985" w:rsidRDefault="00EF0985" w:rsidP="00EF0985">
      <w:pPr>
        <w:widowControl w:val="0"/>
        <w:spacing w:after="240"/>
        <w:outlineLvl w:val="1"/>
        <w:rPr>
          <w:b/>
          <w:lang w:val="es-ES"/>
        </w:rPr>
      </w:pPr>
      <w:r>
        <w:rPr>
          <w:b/>
          <w:lang w:val="es-ES"/>
        </w:rPr>
        <w:t>Consideraciones para el sector de servicio y mantenimiento de equipos de refrigeración</w:t>
      </w:r>
    </w:p>
    <w:p w14:paraId="323D02C0" w14:textId="77777777" w:rsidR="00EF0985" w:rsidRDefault="00EF0985" w:rsidP="00EF0985">
      <w:pPr>
        <w:numPr>
          <w:ilvl w:val="0"/>
          <w:numId w:val="1"/>
        </w:numPr>
        <w:spacing w:after="240"/>
        <w:outlineLvl w:val="0"/>
        <w:rPr>
          <w:lang w:val="es-ES"/>
        </w:rPr>
      </w:pPr>
      <w:r>
        <w:rPr>
          <w:lang w:val="es-ES"/>
        </w:rPr>
        <w:t>Se prestará especial atención a la ejecución de las actividades en el sector de servicio y mantenimiento de equipos de refrigeración incluidas en el Plan, en particular:</w:t>
      </w:r>
    </w:p>
    <w:p w14:paraId="699F5FA8" w14:textId="77777777" w:rsidR="00EF0985" w:rsidRDefault="00EF0985" w:rsidP="00EF0985">
      <w:pPr>
        <w:widowControl w:val="0"/>
        <w:numPr>
          <w:ilvl w:val="1"/>
          <w:numId w:val="1"/>
        </w:numPr>
        <w:spacing w:after="240"/>
        <w:outlineLvl w:val="1"/>
        <w:rPr>
          <w:lang w:val="es-ES"/>
        </w:rPr>
      </w:pPr>
      <w:r>
        <w:rPr>
          <w:lang w:val="es-ES"/>
        </w:rPr>
        <w:t>El País utilizaría la flexibilidad disponible conforme a este Acuerdo para atender a las necesidades específicas que pudieran presentarse durante la ejecución del proyecto; y</w:t>
      </w:r>
    </w:p>
    <w:p w14:paraId="22259D0E" w14:textId="77777777" w:rsidR="00EF0985" w:rsidRDefault="00EF0985" w:rsidP="00EF0985">
      <w:pPr>
        <w:widowControl w:val="0"/>
        <w:numPr>
          <w:ilvl w:val="1"/>
          <w:numId w:val="1"/>
        </w:numPr>
        <w:spacing w:after="240"/>
        <w:outlineLvl w:val="1"/>
        <w:rPr>
          <w:strike/>
          <w:lang w:val="es-ES"/>
        </w:rPr>
      </w:pPr>
      <w:r>
        <w:rPr>
          <w:lang w:val="es-ES"/>
        </w:rPr>
        <w:t>El País y los organismos bilaterales y/o de ejecución pertinentes tomarían en consideración las decisiones pertinentes sobre el sector de servicio y mantenimiento de equipos de refrigeración durante la ejecución del Plan.</w:t>
      </w:r>
    </w:p>
    <w:p w14:paraId="1806E094" w14:textId="77777777" w:rsidR="00EF0985" w:rsidRDefault="00EF0985" w:rsidP="00EF0985">
      <w:pPr>
        <w:widowControl w:val="0"/>
        <w:spacing w:after="240"/>
        <w:outlineLvl w:val="1"/>
        <w:rPr>
          <w:b/>
          <w:strike/>
          <w:lang w:val="es-ES"/>
        </w:rPr>
      </w:pPr>
      <w:r>
        <w:rPr>
          <w:b/>
          <w:lang w:val="es-ES"/>
        </w:rPr>
        <w:t>Organismos bilaterales y de ejecución</w:t>
      </w:r>
    </w:p>
    <w:p w14:paraId="5AE253F9" w14:textId="77777777" w:rsidR="00EF0985" w:rsidRDefault="00EF0985" w:rsidP="00EF0985">
      <w:pPr>
        <w:pStyle w:val="Heading1"/>
        <w:rPr>
          <w:lang w:val="es-ES"/>
        </w:rPr>
      </w:pPr>
      <w:r>
        <w:rPr>
          <w:lang w:val="es-ES"/>
        </w:rPr>
        <w:t xml:space="preserve">El País conviene en asumir la responsabilidad general por la gestión y aplicación de este Acuerdo y de todas las actividades </w:t>
      </w:r>
      <w:r w:rsidRPr="002E447A">
        <w:rPr>
          <w:lang w:val="es-ES"/>
        </w:rPr>
        <w:t xml:space="preserve">emprendidas por el País o en su nombre en cumplimiento de las obligaciones en virtud del presente Acuerdo. UNEP ha acordado ser el “Organismo de Ejecución Principal” </w:t>
      </w:r>
      <w:r w:rsidRPr="002E447A">
        <w:rPr>
          <w:lang w:val="es-AR"/>
        </w:rPr>
        <w:t xml:space="preserve">y UNIDO </w:t>
      </w:r>
      <w:r w:rsidRPr="002E447A">
        <w:rPr>
          <w:lang w:val="es-ES"/>
        </w:rPr>
        <w:t>ha acordado ser el “Organismos de Ejecución Cooperante” bajo la dirección del Organismo de Ejecución Principal en lo relativo a las actividades del País en virtud de este Acuerdo. El País acepta que se lleven a cabo evaluaciones, que pueden ser realizadas en el marco</w:t>
      </w:r>
      <w:r>
        <w:rPr>
          <w:lang w:val="es-ES"/>
        </w:rPr>
        <w:t xml:space="preserve"> de los programas de trabajo de supervisión y evaluación del Fondo Multilateral o en el marco del programa de evaluación del Organismo de Ejecución Principal y/o el Organismo de Ejecución Cooperante que participan en este Acuerdo.</w:t>
      </w:r>
    </w:p>
    <w:p w14:paraId="37BC58DD" w14:textId="77777777" w:rsidR="00EF0985" w:rsidRDefault="00EF0985" w:rsidP="00EF0985">
      <w:pPr>
        <w:pStyle w:val="Heading1"/>
        <w:rPr>
          <w:lang w:val="es-ES"/>
        </w:rPr>
      </w:pPr>
      <w:r>
        <w:rPr>
          <w:lang w:val="es-ES"/>
        </w:rPr>
        <w:t xml:space="preserve">El Organismo de Ejecución Principal tendrá la responsabilidad de garantizar la planificación, </w:t>
      </w:r>
      <w:r w:rsidRPr="000E03C5">
        <w:rPr>
          <w:lang w:val="es-ES"/>
        </w:rPr>
        <w:t>ejecución</w:t>
      </w:r>
      <w:r>
        <w:rPr>
          <w:lang w:val="es-ES"/>
        </w:rPr>
        <w:t xml:space="preserve"> y presentación de informes coordinadas de todas las actividades comprendidas en el presente Acuerdo, incluida entre otras cosas y sin limitaciones la verificación independiente a realizarse conforme al inciso 5 b). El Organismo de Ejecución Cooperante apoyará al Organismo de Ejecución Principal ejecutando el Plan bajo la coordinación general del Organismo de Ejecución Principal. Las funciones del Organismo de Ejecución Principal y del Organismo de Ejecución Cooperante se especifican en el Apéndice 6-A y el Apéndice 6-B, respectivamente. El Comité Ejecutivo acuerda, en principio, otorgar al Organismo de Ejecución Principal y al Organismo de Ejecución Cooperante los honorarios estipulados en las filas 2.2 </w:t>
      </w:r>
      <w:r w:rsidRPr="002E447A">
        <w:rPr>
          <w:lang w:val="es-ES"/>
        </w:rPr>
        <w:t>y 2.4 del</w:t>
      </w:r>
      <w:r>
        <w:rPr>
          <w:lang w:val="es-ES"/>
        </w:rPr>
        <w:t xml:space="preserve"> Apéndice 2</w:t>
      </w:r>
      <w:r>
        <w:rPr>
          <w:lang w:val="es-ES"/>
        </w:rPr>
        <w:noBreakHyphen/>
        <w:t>A.</w:t>
      </w:r>
    </w:p>
    <w:p w14:paraId="4FA9F538" w14:textId="77777777" w:rsidR="00EF0985" w:rsidRDefault="00EF0985" w:rsidP="00EF0985">
      <w:pPr>
        <w:spacing w:after="240"/>
        <w:outlineLvl w:val="0"/>
        <w:rPr>
          <w:b/>
          <w:lang w:val="es-ES"/>
        </w:rPr>
      </w:pPr>
      <w:r>
        <w:rPr>
          <w:b/>
          <w:lang w:val="es-ES"/>
        </w:rPr>
        <w:t>Incumplimiento del Acuerdo</w:t>
      </w:r>
    </w:p>
    <w:p w14:paraId="46314481" w14:textId="77777777" w:rsidR="00EF0985" w:rsidRDefault="00EF0985" w:rsidP="00EF0985">
      <w:pPr>
        <w:pStyle w:val="Heading1"/>
        <w:numPr>
          <w:ilvl w:val="0"/>
          <w:numId w:val="39"/>
        </w:numPr>
        <w:rPr>
          <w:lang w:val="es-ES"/>
        </w:rPr>
      </w:pPr>
      <w:r>
        <w:rPr>
          <w:lang w:val="es-ES"/>
        </w:rPr>
        <w:t xml:space="preserve">Si, por cualquier motivo, el País no alcanzara los Objetivos de eliminación de las Sustancias establecidos en la fila 1.2 del Apéndice 2–A o no cumpliera de cualquier otro modo lo estipulado en el presente Acuerdo, el País acepta que no tendrá derecho a recibir la Financiación de acuerdo con el Calendario de Aprobación de la Financiación. A juicio del Comité Ejecutivo, se reanudará la Financiación según un Calendario de Aprobación de la Financiación revisado que determinará el Comité Ejecutivo después de que el País haya demostrado que ha cumplido con todas las obligaciones que debía cumplir antes de la recepción del siguiente tramo de financiación de acuerdo con el Calendario de Aprobación de la misma. El País reconoce que el Comité Ejecutivo puede reducir el monto de la Financiación en el monto precisado en el Apéndice 7-A (“Reducciones de la Financiación en caso de Incumplimiento”) por cada kilogramo PAO de reducciones del consumo no alcanzado en cualquiera de los años establecidos. El Comité Ejecutivo analizará cada caso específico en que el País no haya cumplido con este Acuerdo y adoptará las decisiones que correspondan. Una vez que se adopten las decisiones, el caso específico de incumplimiento de este Acuerdo no </w:t>
      </w:r>
      <w:r w:rsidRPr="002E129F">
        <w:rPr>
          <w:lang w:val="es-ES"/>
        </w:rPr>
        <w:t xml:space="preserve">constituirá un impedimento para el suministro de financiación para los tramos siguientes conforme al párrafo 5 </w:t>
      </w:r>
      <w:r w:rsidRPr="002E129F">
        <w:rPr>
          <w:iCs/>
          <w:lang w:val="es-ES"/>
        </w:rPr>
        <w:t>supra</w:t>
      </w:r>
      <w:r w:rsidRPr="002E129F">
        <w:rPr>
          <w:lang w:val="es-ES"/>
        </w:rPr>
        <w:t>.</w:t>
      </w:r>
    </w:p>
    <w:p w14:paraId="6B1DD690" w14:textId="77777777" w:rsidR="00EF0985" w:rsidRDefault="00EF0985" w:rsidP="00EF0985">
      <w:pPr>
        <w:numPr>
          <w:ilvl w:val="0"/>
          <w:numId w:val="1"/>
        </w:numPr>
        <w:spacing w:after="240"/>
        <w:outlineLvl w:val="0"/>
        <w:rPr>
          <w:lang w:val="es-ES"/>
        </w:rPr>
      </w:pPr>
      <w:r>
        <w:rPr>
          <w:lang w:val="es-ES"/>
        </w:rPr>
        <w:lastRenderedPageBreak/>
        <w:t>No se modificará la Financiación del presente Acuerdo en virtud de decisiones futuras del Comité Ejecutivo que pudieran afectar a la financiación de cualquier otro proyecto en el sector de consumo o de otras actividades afines en el País.</w:t>
      </w:r>
    </w:p>
    <w:p w14:paraId="72BD3A03" w14:textId="77777777" w:rsidR="00EF0985" w:rsidRDefault="00EF0985" w:rsidP="00EF0985">
      <w:pPr>
        <w:pStyle w:val="Heading1"/>
        <w:rPr>
          <w:lang w:val="es-ES"/>
        </w:rPr>
      </w:pPr>
      <w:r>
        <w:rPr>
          <w:lang w:val="es-ES"/>
        </w:rPr>
        <w:t xml:space="preserve">El País satisfará cualquier solicitud razonable del Comité Ejecutivo, el Organismo de Ejecución Principal </w:t>
      </w:r>
      <w:r>
        <w:rPr>
          <w:lang w:val="es-AR"/>
        </w:rPr>
        <w:t>y</w:t>
      </w:r>
      <w:r>
        <w:rPr>
          <w:b/>
          <w:lang w:val="es-AR"/>
        </w:rPr>
        <w:t xml:space="preserve"> </w:t>
      </w:r>
      <w:r>
        <w:rPr>
          <w:lang w:val="es-ES"/>
        </w:rPr>
        <w:t xml:space="preserve">el Organismo de Ejecución Cooperante para facilitar la aplicación del presente Acuerdo. En particular, proporcionará al Organismo de Ejecución Principal </w:t>
      </w:r>
      <w:r>
        <w:rPr>
          <w:lang w:val="es-AR"/>
        </w:rPr>
        <w:t>y</w:t>
      </w:r>
      <w:r>
        <w:rPr>
          <w:b/>
          <w:lang w:val="es-AR"/>
        </w:rPr>
        <w:t xml:space="preserve"> </w:t>
      </w:r>
      <w:r>
        <w:rPr>
          <w:lang w:val="es-AR"/>
        </w:rPr>
        <w:t>a</w:t>
      </w:r>
      <w:r>
        <w:rPr>
          <w:lang w:val="es-ES"/>
        </w:rPr>
        <w:t>l Organismo de Ejecución Cooperante el acceso a la información necesaria para verificar el cumplimiento del presente Acuerdo.</w:t>
      </w:r>
    </w:p>
    <w:p w14:paraId="60676DEA" w14:textId="77777777" w:rsidR="00EF0985" w:rsidRDefault="00EF0985" w:rsidP="00EF0985">
      <w:pPr>
        <w:spacing w:after="240"/>
        <w:outlineLvl w:val="0"/>
        <w:rPr>
          <w:b/>
          <w:lang w:val="es-ES"/>
        </w:rPr>
      </w:pPr>
      <w:r>
        <w:rPr>
          <w:b/>
          <w:lang w:val="es-ES"/>
        </w:rPr>
        <w:t>Fecha de terminación</w:t>
      </w:r>
    </w:p>
    <w:p w14:paraId="7AF08857" w14:textId="77777777" w:rsidR="00EF0985" w:rsidRDefault="00EF0985" w:rsidP="00EF0985">
      <w:pPr>
        <w:numPr>
          <w:ilvl w:val="0"/>
          <w:numId w:val="1"/>
        </w:numPr>
        <w:spacing w:after="240"/>
        <w:outlineLvl w:val="0"/>
        <w:rPr>
          <w:lang w:val="es-ES"/>
        </w:rPr>
      </w:pPr>
      <w:r>
        <w:rPr>
          <w:lang w:val="es-ES"/>
        </w:rPr>
        <w:t>La terminación del Plan y el Acuerdo conexo concluirán al final del año siguiente al último año para el que se haya especificado un nivel de consumo total máximo permitido en el Apéndice 2</w:t>
      </w:r>
      <w:r>
        <w:rPr>
          <w:lang w:val="es-ES"/>
        </w:rPr>
        <w:noBreakHyphen/>
        <w:t>A. En el caso de que para ese entonces hubiera actividades aún pendientes que estuvieran previstas en el último Plan de Ejecución de Tramos y sus revisiones posteriores conforme al inciso 5 d) y el párrafo 7, la conclusión del Plan se aplazará hasta el final del año siguiente a la ejecución de las actividades remanentes. Los requisitos de presentación de informes conforme a los incisos 1 a), 1 b), 1 d) y 1 e) del Apéndice 4</w:t>
      </w:r>
      <w:r>
        <w:rPr>
          <w:lang w:val="es-ES"/>
        </w:rPr>
        <w:noBreakHyphen/>
        <w:t>A continuarán vigentes hasta la conclusión del Plan, a menos que el Comité Ejecutivo estipule otra cosa.</w:t>
      </w:r>
    </w:p>
    <w:p w14:paraId="78AB65BE" w14:textId="77777777" w:rsidR="00EF0985" w:rsidRDefault="00EF0985" w:rsidP="00EF0985">
      <w:pPr>
        <w:keepNext/>
        <w:keepLines/>
        <w:spacing w:after="240"/>
        <w:outlineLvl w:val="0"/>
        <w:rPr>
          <w:b/>
          <w:lang w:val="es-ES"/>
        </w:rPr>
      </w:pPr>
      <w:r>
        <w:rPr>
          <w:b/>
          <w:lang w:val="es-ES"/>
        </w:rPr>
        <w:t>Validez</w:t>
      </w:r>
    </w:p>
    <w:p w14:paraId="626B18D7" w14:textId="77777777" w:rsidR="00EF0985" w:rsidRDefault="00EF0985" w:rsidP="00EF0985">
      <w:pPr>
        <w:keepNext/>
        <w:keepLines/>
        <w:numPr>
          <w:ilvl w:val="0"/>
          <w:numId w:val="1"/>
        </w:numPr>
        <w:spacing w:after="240"/>
        <w:outlineLvl w:val="0"/>
        <w:rPr>
          <w:lang w:val="es-ES"/>
        </w:rPr>
      </w:pPr>
      <w:r>
        <w:rPr>
          <w:lang w:val="es-ES"/>
        </w:rPr>
        <w:t xml:space="preserve">Todas las condiciones del presente Acuerdo han de ser aplicadas exclusivamente en el contexto del Protocolo de Montreal y tal como se las estipula en este Acuerdo. Todos los términos utilizados en el presente Acuerdo tienen el significado que se les atribuye en el Protocolo de Montreal, a no ser que se definan de otro modo en este documento. </w:t>
      </w:r>
    </w:p>
    <w:p w14:paraId="41A4E2D2" w14:textId="77777777" w:rsidR="00EF0985" w:rsidRDefault="00EF0985" w:rsidP="00EF0985">
      <w:pPr>
        <w:numPr>
          <w:ilvl w:val="0"/>
          <w:numId w:val="1"/>
        </w:numPr>
        <w:spacing w:after="240"/>
        <w:outlineLvl w:val="0"/>
        <w:rPr>
          <w:lang w:val="es-ES"/>
        </w:rPr>
      </w:pPr>
      <w:r>
        <w:rPr>
          <w:lang w:val="es-ES"/>
        </w:rPr>
        <w:t>Este Acuerdo puede modificarse o rescindirse únicamente por un acuerdo mutuo, escrito, del País y del Comité Ejecutivo del Fondo Multilateral.</w:t>
      </w:r>
    </w:p>
    <w:p w14:paraId="6D9E6FA6" w14:textId="77777777" w:rsidR="00EF0985" w:rsidRDefault="00EF0985" w:rsidP="00EF0985">
      <w:pPr>
        <w:jc w:val="left"/>
        <w:rPr>
          <w:b/>
          <w:bCs/>
          <w:lang w:val="es-ES"/>
        </w:rPr>
      </w:pPr>
      <w:r>
        <w:rPr>
          <w:b/>
          <w:bCs/>
          <w:lang w:val="es-ES"/>
        </w:rPr>
        <w:br w:type="page"/>
      </w:r>
    </w:p>
    <w:p w14:paraId="722E1994" w14:textId="77777777" w:rsidR="00EF0985" w:rsidRDefault="00EF0985" w:rsidP="00EF0985">
      <w:pPr>
        <w:rPr>
          <w:b/>
          <w:bCs/>
          <w:lang w:val="es-ES"/>
        </w:rPr>
      </w:pPr>
      <w:r>
        <w:rPr>
          <w:b/>
          <w:bCs/>
          <w:lang w:val="es-ES"/>
        </w:rPr>
        <w:lastRenderedPageBreak/>
        <w:t xml:space="preserve">APÉNDICES </w:t>
      </w:r>
    </w:p>
    <w:p w14:paraId="6D9840B8" w14:textId="77777777" w:rsidR="00EF0985" w:rsidRDefault="00EF0985" w:rsidP="00EF0985">
      <w:pPr>
        <w:rPr>
          <w:b/>
          <w:lang w:val="es-ES"/>
        </w:rPr>
      </w:pPr>
    </w:p>
    <w:p w14:paraId="04F7B9B9" w14:textId="77777777" w:rsidR="00EF0985" w:rsidRDefault="00EF0985" w:rsidP="00EF0985">
      <w:pPr>
        <w:rPr>
          <w:b/>
          <w:bCs/>
          <w:lang w:val="es-ES"/>
        </w:rPr>
      </w:pPr>
      <w:r>
        <w:rPr>
          <w:b/>
          <w:bCs/>
          <w:lang w:val="es-ES"/>
        </w:rPr>
        <w:t>APÉNDICE 1-A: LAS SUSTANCIAS</w:t>
      </w:r>
    </w:p>
    <w:p w14:paraId="2E9CB0D2" w14:textId="77777777" w:rsidR="00EF0985" w:rsidRDefault="00EF0985" w:rsidP="00EF0985">
      <w:pPr>
        <w:rPr>
          <w:b/>
          <w:lang w:val="es-ES"/>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804"/>
        <w:gridCol w:w="842"/>
        <w:gridCol w:w="4500"/>
      </w:tblGrid>
      <w:tr w:rsidR="00EF0985" w:rsidRPr="00166373" w14:paraId="7FBCF31D" w14:textId="77777777" w:rsidTr="003F12E9">
        <w:tc>
          <w:tcPr>
            <w:tcW w:w="3304" w:type="dxa"/>
          </w:tcPr>
          <w:p w14:paraId="4C382E1F" w14:textId="77777777" w:rsidR="00EF0985" w:rsidRPr="002E129F" w:rsidRDefault="00EF0985" w:rsidP="003F12E9">
            <w:pPr>
              <w:jc w:val="center"/>
              <w:rPr>
                <w:sz w:val="20"/>
                <w:szCs w:val="20"/>
                <w:lang w:val="es-ES"/>
              </w:rPr>
            </w:pPr>
            <w:r w:rsidRPr="002E129F">
              <w:rPr>
                <w:sz w:val="20"/>
                <w:szCs w:val="20"/>
                <w:lang w:val="es-ES"/>
              </w:rPr>
              <w:t>Sustancia</w:t>
            </w:r>
          </w:p>
        </w:tc>
        <w:tc>
          <w:tcPr>
            <w:tcW w:w="804" w:type="dxa"/>
          </w:tcPr>
          <w:p w14:paraId="224E4031" w14:textId="77777777" w:rsidR="00EF0985" w:rsidRPr="002E129F" w:rsidRDefault="00EF0985" w:rsidP="003F12E9">
            <w:pPr>
              <w:jc w:val="center"/>
              <w:rPr>
                <w:sz w:val="20"/>
                <w:szCs w:val="20"/>
                <w:lang w:val="es-ES"/>
              </w:rPr>
            </w:pPr>
            <w:r w:rsidRPr="002E129F">
              <w:rPr>
                <w:sz w:val="20"/>
                <w:szCs w:val="20"/>
                <w:lang w:val="es-ES"/>
              </w:rPr>
              <w:t>Anexo</w:t>
            </w:r>
          </w:p>
        </w:tc>
        <w:tc>
          <w:tcPr>
            <w:tcW w:w="842" w:type="dxa"/>
          </w:tcPr>
          <w:p w14:paraId="2F0164FA" w14:textId="77777777" w:rsidR="00EF0985" w:rsidRPr="002E129F" w:rsidRDefault="00EF0985" w:rsidP="003F12E9">
            <w:pPr>
              <w:jc w:val="center"/>
              <w:rPr>
                <w:sz w:val="20"/>
                <w:szCs w:val="20"/>
                <w:lang w:val="es-ES"/>
              </w:rPr>
            </w:pPr>
            <w:r w:rsidRPr="002E129F">
              <w:rPr>
                <w:sz w:val="20"/>
                <w:szCs w:val="20"/>
                <w:lang w:val="es-ES"/>
              </w:rPr>
              <w:t>Grupo</w:t>
            </w:r>
          </w:p>
        </w:tc>
        <w:tc>
          <w:tcPr>
            <w:tcW w:w="4500" w:type="dxa"/>
          </w:tcPr>
          <w:p w14:paraId="638BA81B" w14:textId="77777777" w:rsidR="00EF0985" w:rsidRPr="002E129F" w:rsidRDefault="00EF0985" w:rsidP="003F12E9">
            <w:pPr>
              <w:jc w:val="center"/>
              <w:rPr>
                <w:sz w:val="20"/>
                <w:szCs w:val="20"/>
                <w:lang w:val="es-ES"/>
              </w:rPr>
            </w:pPr>
            <w:r w:rsidRPr="002E129F">
              <w:rPr>
                <w:sz w:val="20"/>
                <w:szCs w:val="20"/>
                <w:lang w:val="es-ES"/>
              </w:rPr>
              <w:t>Punto de partida para las reducciones acumulativas del consumo (toneladas PAO)</w:t>
            </w:r>
          </w:p>
        </w:tc>
      </w:tr>
      <w:tr w:rsidR="00EF0985" w14:paraId="3313440F" w14:textId="77777777" w:rsidTr="003F12E9">
        <w:tc>
          <w:tcPr>
            <w:tcW w:w="3304" w:type="dxa"/>
          </w:tcPr>
          <w:p w14:paraId="0EC7A18A" w14:textId="77777777" w:rsidR="00EF0985" w:rsidRPr="002E129F" w:rsidRDefault="00EF0985" w:rsidP="003F12E9">
            <w:pPr>
              <w:keepNext/>
              <w:rPr>
                <w:sz w:val="20"/>
                <w:szCs w:val="20"/>
                <w:lang w:val="es-ES"/>
              </w:rPr>
            </w:pPr>
            <w:r w:rsidRPr="002E129F">
              <w:rPr>
                <w:sz w:val="20"/>
                <w:szCs w:val="20"/>
                <w:lang w:val="es-ES"/>
              </w:rPr>
              <w:t>HCFC-22</w:t>
            </w:r>
          </w:p>
        </w:tc>
        <w:tc>
          <w:tcPr>
            <w:tcW w:w="804" w:type="dxa"/>
          </w:tcPr>
          <w:p w14:paraId="1B8CE44E" w14:textId="77777777" w:rsidR="00EF0985" w:rsidRPr="002E129F" w:rsidRDefault="00EF0985" w:rsidP="003F12E9">
            <w:pPr>
              <w:keepNext/>
              <w:rPr>
                <w:sz w:val="20"/>
                <w:szCs w:val="20"/>
                <w:lang w:val="es-ES"/>
              </w:rPr>
            </w:pPr>
            <w:r w:rsidRPr="002E129F">
              <w:rPr>
                <w:sz w:val="20"/>
                <w:szCs w:val="20"/>
                <w:lang w:val="es-ES"/>
              </w:rPr>
              <w:t>C</w:t>
            </w:r>
          </w:p>
        </w:tc>
        <w:tc>
          <w:tcPr>
            <w:tcW w:w="842" w:type="dxa"/>
          </w:tcPr>
          <w:p w14:paraId="071F4E85" w14:textId="77777777" w:rsidR="00EF0985" w:rsidRPr="002E129F" w:rsidRDefault="00EF0985" w:rsidP="003F12E9">
            <w:pPr>
              <w:rPr>
                <w:sz w:val="20"/>
                <w:szCs w:val="20"/>
                <w:lang w:val="es-ES"/>
              </w:rPr>
            </w:pPr>
            <w:r w:rsidRPr="002E129F">
              <w:rPr>
                <w:sz w:val="20"/>
                <w:szCs w:val="20"/>
                <w:lang w:val="es-ES"/>
              </w:rPr>
              <w:t>I</w:t>
            </w:r>
          </w:p>
        </w:tc>
        <w:tc>
          <w:tcPr>
            <w:tcW w:w="4500" w:type="dxa"/>
            <w:shd w:val="clear" w:color="auto" w:fill="FFFFFF" w:themeFill="background1"/>
          </w:tcPr>
          <w:p w14:paraId="5713F10C" w14:textId="77777777" w:rsidR="00EF0985" w:rsidRPr="002E129F" w:rsidRDefault="00EF0985" w:rsidP="003F12E9">
            <w:pPr>
              <w:jc w:val="right"/>
              <w:rPr>
                <w:sz w:val="20"/>
                <w:szCs w:val="20"/>
                <w:lang w:val="es-ES"/>
              </w:rPr>
            </w:pPr>
            <w:r w:rsidRPr="002E129F">
              <w:rPr>
                <w:sz w:val="20"/>
                <w:szCs w:val="20"/>
                <w:lang w:val="es-ES"/>
              </w:rPr>
              <w:t>108.38</w:t>
            </w:r>
          </w:p>
        </w:tc>
      </w:tr>
    </w:tbl>
    <w:p w14:paraId="0526C01B" w14:textId="77777777" w:rsidR="00EF0985" w:rsidRDefault="00EF0985" w:rsidP="00EF0985">
      <w:pPr>
        <w:rPr>
          <w:b/>
          <w:bCs/>
          <w:lang w:val="es-ES"/>
        </w:rPr>
      </w:pPr>
    </w:p>
    <w:p w14:paraId="3AA47851" w14:textId="77777777" w:rsidR="00EF0985" w:rsidRDefault="00EF0985" w:rsidP="00EF0985">
      <w:pPr>
        <w:rPr>
          <w:b/>
          <w:bCs/>
          <w:lang w:val="es-ES"/>
        </w:rPr>
      </w:pPr>
      <w:r>
        <w:rPr>
          <w:b/>
          <w:bCs/>
          <w:lang w:val="es-ES"/>
        </w:rPr>
        <w:t>APÉNDICE 2-A: LOS OBJETIVOS Y LA FINANCIACIÓN</w:t>
      </w:r>
    </w:p>
    <w:p w14:paraId="52A89138" w14:textId="77777777" w:rsidR="00EF0985" w:rsidRDefault="00EF0985" w:rsidP="00EF0985">
      <w:pPr>
        <w:rPr>
          <w:b/>
          <w:bCs/>
          <w:lang w:val="es-ES"/>
        </w:rPr>
      </w:pPr>
    </w:p>
    <w:tbl>
      <w:tblPr>
        <w:tblStyle w:val="TableGrid"/>
        <w:tblW w:w="9561" w:type="dxa"/>
        <w:jc w:val="center"/>
        <w:tblLayout w:type="fixed"/>
        <w:tblLook w:val="04A0" w:firstRow="1" w:lastRow="0" w:firstColumn="1" w:lastColumn="0" w:noHBand="0" w:noVBand="1"/>
      </w:tblPr>
      <w:tblGrid>
        <w:gridCol w:w="551"/>
        <w:gridCol w:w="2688"/>
        <w:gridCol w:w="1087"/>
        <w:gridCol w:w="1087"/>
        <w:gridCol w:w="1087"/>
        <w:gridCol w:w="1087"/>
        <w:gridCol w:w="1087"/>
        <w:gridCol w:w="887"/>
      </w:tblGrid>
      <w:tr w:rsidR="00EF0985" w:rsidRPr="00EF0985" w14:paraId="13A434F3" w14:textId="77777777" w:rsidTr="00EF0985">
        <w:trPr>
          <w:trHeight w:val="125"/>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14:paraId="27D7EA5C" w14:textId="77777777" w:rsidR="00EF0985" w:rsidRPr="00EF0985" w:rsidRDefault="00EF0985" w:rsidP="003F12E9">
            <w:pPr>
              <w:jc w:val="center"/>
              <w:rPr>
                <w:b/>
                <w:bCs/>
                <w:color w:val="000000"/>
                <w:sz w:val="18"/>
                <w:szCs w:val="18"/>
                <w:lang w:val="es-ES"/>
              </w:rPr>
            </w:pPr>
            <w:r w:rsidRPr="00EF0985">
              <w:rPr>
                <w:b/>
                <w:bCs/>
                <w:color w:val="000000"/>
                <w:sz w:val="18"/>
                <w:szCs w:val="18"/>
                <w:lang w:val="es-ES"/>
              </w:rPr>
              <w:t>Fila</w:t>
            </w:r>
          </w:p>
        </w:tc>
        <w:tc>
          <w:tcPr>
            <w:tcW w:w="2688" w:type="dxa"/>
            <w:tcBorders>
              <w:top w:val="single" w:sz="4" w:space="0" w:color="auto"/>
              <w:left w:val="nil"/>
              <w:bottom w:val="single" w:sz="4" w:space="0" w:color="auto"/>
              <w:right w:val="single" w:sz="4" w:space="0" w:color="auto"/>
            </w:tcBorders>
            <w:shd w:val="clear" w:color="auto" w:fill="auto"/>
            <w:hideMark/>
          </w:tcPr>
          <w:p w14:paraId="21469D2C" w14:textId="77777777" w:rsidR="00EF0985" w:rsidRPr="00EF0985" w:rsidRDefault="00EF0985" w:rsidP="003F12E9">
            <w:pPr>
              <w:jc w:val="center"/>
              <w:rPr>
                <w:b/>
                <w:bCs/>
                <w:color w:val="000000"/>
                <w:sz w:val="18"/>
                <w:szCs w:val="18"/>
                <w:lang w:val="es-ES"/>
              </w:rPr>
            </w:pPr>
            <w:r w:rsidRPr="00EF0985">
              <w:rPr>
                <w:b/>
                <w:bCs/>
                <w:color w:val="000000"/>
                <w:sz w:val="18"/>
                <w:szCs w:val="18"/>
                <w:lang w:val="es-ES"/>
              </w:rPr>
              <w:t>Detalles</w:t>
            </w:r>
          </w:p>
        </w:tc>
        <w:tc>
          <w:tcPr>
            <w:tcW w:w="1087" w:type="dxa"/>
            <w:hideMark/>
          </w:tcPr>
          <w:p w14:paraId="2D085AFB" w14:textId="77777777" w:rsidR="00EF0985" w:rsidRPr="00EF0985" w:rsidRDefault="00EF0985" w:rsidP="003F12E9">
            <w:pPr>
              <w:keepNext/>
              <w:keepLines/>
              <w:jc w:val="center"/>
              <w:rPr>
                <w:b/>
                <w:bCs/>
                <w:sz w:val="18"/>
                <w:szCs w:val="18"/>
                <w:lang w:val="es-ES"/>
              </w:rPr>
            </w:pPr>
            <w:r w:rsidRPr="00EF0985">
              <w:rPr>
                <w:b/>
                <w:bCs/>
                <w:sz w:val="18"/>
                <w:szCs w:val="18"/>
                <w:lang w:val="es-ES"/>
              </w:rPr>
              <w:t>2021</w:t>
            </w:r>
          </w:p>
        </w:tc>
        <w:tc>
          <w:tcPr>
            <w:tcW w:w="1087" w:type="dxa"/>
            <w:hideMark/>
          </w:tcPr>
          <w:p w14:paraId="3497194A" w14:textId="77777777" w:rsidR="00EF0985" w:rsidRPr="00EF0985" w:rsidRDefault="00EF0985" w:rsidP="003F12E9">
            <w:pPr>
              <w:keepNext/>
              <w:keepLines/>
              <w:jc w:val="center"/>
              <w:rPr>
                <w:b/>
                <w:bCs/>
                <w:sz w:val="18"/>
                <w:szCs w:val="18"/>
                <w:lang w:val="es-ES"/>
              </w:rPr>
            </w:pPr>
            <w:r w:rsidRPr="00EF0985">
              <w:rPr>
                <w:b/>
                <w:bCs/>
                <w:sz w:val="18"/>
                <w:szCs w:val="18"/>
                <w:lang w:val="es-ES"/>
              </w:rPr>
              <w:t>2022</w:t>
            </w:r>
          </w:p>
        </w:tc>
        <w:tc>
          <w:tcPr>
            <w:tcW w:w="1087" w:type="dxa"/>
            <w:hideMark/>
          </w:tcPr>
          <w:p w14:paraId="23B1F803" w14:textId="77777777" w:rsidR="00EF0985" w:rsidRPr="00EF0985" w:rsidRDefault="00EF0985" w:rsidP="003F12E9">
            <w:pPr>
              <w:keepNext/>
              <w:keepLines/>
              <w:jc w:val="center"/>
              <w:rPr>
                <w:b/>
                <w:bCs/>
                <w:sz w:val="18"/>
                <w:szCs w:val="18"/>
                <w:lang w:val="es-ES"/>
              </w:rPr>
            </w:pPr>
            <w:r w:rsidRPr="00EF0985">
              <w:rPr>
                <w:b/>
                <w:bCs/>
                <w:sz w:val="18"/>
                <w:szCs w:val="18"/>
                <w:lang w:val="es-ES"/>
              </w:rPr>
              <w:t>2023</w:t>
            </w:r>
          </w:p>
        </w:tc>
        <w:tc>
          <w:tcPr>
            <w:tcW w:w="1087" w:type="dxa"/>
            <w:hideMark/>
          </w:tcPr>
          <w:p w14:paraId="7D84538B" w14:textId="77777777" w:rsidR="00EF0985" w:rsidRPr="00EF0985" w:rsidRDefault="00EF0985" w:rsidP="003F12E9">
            <w:pPr>
              <w:keepNext/>
              <w:keepLines/>
              <w:jc w:val="center"/>
              <w:rPr>
                <w:b/>
                <w:bCs/>
                <w:sz w:val="18"/>
                <w:szCs w:val="18"/>
                <w:lang w:val="es-ES"/>
              </w:rPr>
            </w:pPr>
            <w:r w:rsidRPr="00EF0985">
              <w:rPr>
                <w:b/>
                <w:bCs/>
                <w:sz w:val="18"/>
                <w:szCs w:val="18"/>
                <w:lang w:val="es-ES"/>
              </w:rPr>
              <w:t>2024</w:t>
            </w:r>
          </w:p>
        </w:tc>
        <w:tc>
          <w:tcPr>
            <w:tcW w:w="1087" w:type="dxa"/>
            <w:hideMark/>
          </w:tcPr>
          <w:p w14:paraId="5885EE23" w14:textId="77777777" w:rsidR="00EF0985" w:rsidRPr="00EF0985" w:rsidRDefault="00EF0985" w:rsidP="003F12E9">
            <w:pPr>
              <w:keepNext/>
              <w:keepLines/>
              <w:jc w:val="center"/>
              <w:rPr>
                <w:b/>
                <w:bCs/>
                <w:sz w:val="18"/>
                <w:szCs w:val="18"/>
                <w:lang w:val="es-ES"/>
              </w:rPr>
            </w:pPr>
            <w:r w:rsidRPr="00EF0985">
              <w:rPr>
                <w:b/>
                <w:bCs/>
                <w:sz w:val="18"/>
                <w:szCs w:val="18"/>
                <w:lang w:val="es-ES"/>
              </w:rPr>
              <w:t>2025</w:t>
            </w:r>
          </w:p>
        </w:tc>
        <w:tc>
          <w:tcPr>
            <w:tcW w:w="887" w:type="dxa"/>
            <w:hideMark/>
          </w:tcPr>
          <w:p w14:paraId="250D8B42" w14:textId="77777777" w:rsidR="00EF0985" w:rsidRPr="00EF0985" w:rsidRDefault="00EF0985" w:rsidP="003F12E9">
            <w:pPr>
              <w:keepNext/>
              <w:keepLines/>
              <w:jc w:val="center"/>
              <w:rPr>
                <w:b/>
                <w:bCs/>
                <w:sz w:val="18"/>
                <w:szCs w:val="18"/>
                <w:lang w:val="es-ES"/>
              </w:rPr>
            </w:pPr>
            <w:r w:rsidRPr="00EF0985">
              <w:rPr>
                <w:b/>
                <w:bCs/>
                <w:sz w:val="18"/>
                <w:szCs w:val="18"/>
                <w:lang w:val="es-ES"/>
              </w:rPr>
              <w:t>Total</w:t>
            </w:r>
          </w:p>
        </w:tc>
      </w:tr>
      <w:tr w:rsidR="00EF0985" w:rsidRPr="00EF0985" w14:paraId="570040CF" w14:textId="77777777" w:rsidTr="00EF0985">
        <w:trPr>
          <w:trHeight w:val="494"/>
          <w:jc w:val="center"/>
        </w:trPr>
        <w:tc>
          <w:tcPr>
            <w:tcW w:w="551" w:type="dxa"/>
            <w:hideMark/>
          </w:tcPr>
          <w:p w14:paraId="1D901D2E" w14:textId="77777777" w:rsidR="00EF0985" w:rsidRPr="00EF0985" w:rsidRDefault="00EF0985" w:rsidP="003F12E9">
            <w:pPr>
              <w:widowControl w:val="0"/>
              <w:rPr>
                <w:sz w:val="18"/>
                <w:szCs w:val="18"/>
                <w:lang w:val="es-ES"/>
              </w:rPr>
            </w:pPr>
            <w:r w:rsidRPr="00EF0985">
              <w:rPr>
                <w:sz w:val="18"/>
                <w:szCs w:val="18"/>
                <w:lang w:val="es-ES"/>
              </w:rPr>
              <w:t>1.1</w:t>
            </w:r>
          </w:p>
        </w:tc>
        <w:tc>
          <w:tcPr>
            <w:tcW w:w="2688" w:type="dxa"/>
          </w:tcPr>
          <w:p w14:paraId="3CBC2B74" w14:textId="77777777" w:rsidR="00EF0985" w:rsidRPr="00EF0985" w:rsidRDefault="00EF0985" w:rsidP="003F12E9">
            <w:pPr>
              <w:jc w:val="left"/>
              <w:rPr>
                <w:sz w:val="18"/>
                <w:szCs w:val="18"/>
                <w:lang w:val="es-ES"/>
              </w:rPr>
            </w:pPr>
            <w:r w:rsidRPr="00EF0985">
              <w:rPr>
                <w:sz w:val="18"/>
                <w:szCs w:val="18"/>
                <w:lang w:val="es-ES"/>
              </w:rPr>
              <w:t>Calendario de reducción del Protocolo de Montreal para sustancias del Anexo C, Grupo I (toneladas PAO)</w:t>
            </w:r>
          </w:p>
        </w:tc>
        <w:tc>
          <w:tcPr>
            <w:tcW w:w="1087" w:type="dxa"/>
          </w:tcPr>
          <w:p w14:paraId="19DBCE65" w14:textId="77777777" w:rsidR="00EF0985" w:rsidRPr="00EF0985" w:rsidRDefault="00EF0985" w:rsidP="003F12E9">
            <w:pPr>
              <w:keepNext/>
              <w:keepLines/>
              <w:jc w:val="right"/>
              <w:rPr>
                <w:color w:val="000000"/>
                <w:sz w:val="18"/>
                <w:szCs w:val="18"/>
                <w:lang w:eastAsia="en-CA"/>
              </w:rPr>
            </w:pPr>
            <w:r w:rsidRPr="00EF0985">
              <w:rPr>
                <w:color w:val="000000"/>
                <w:sz w:val="18"/>
                <w:szCs w:val="18"/>
                <w:lang w:eastAsia="en-CA"/>
              </w:rPr>
              <w:t>70.46</w:t>
            </w:r>
          </w:p>
        </w:tc>
        <w:tc>
          <w:tcPr>
            <w:tcW w:w="1087" w:type="dxa"/>
          </w:tcPr>
          <w:p w14:paraId="2089B696" w14:textId="77777777" w:rsidR="00EF0985" w:rsidRPr="00EF0985" w:rsidRDefault="00EF0985" w:rsidP="003F12E9">
            <w:pPr>
              <w:keepNext/>
              <w:keepLines/>
              <w:jc w:val="right"/>
              <w:rPr>
                <w:color w:val="000000"/>
                <w:sz w:val="18"/>
                <w:szCs w:val="18"/>
                <w:lang w:eastAsia="en-CA"/>
              </w:rPr>
            </w:pPr>
            <w:r w:rsidRPr="00EF0985">
              <w:rPr>
                <w:color w:val="000000"/>
                <w:sz w:val="18"/>
                <w:szCs w:val="18"/>
                <w:lang w:eastAsia="en-CA"/>
              </w:rPr>
              <w:t>70.46</w:t>
            </w:r>
          </w:p>
        </w:tc>
        <w:tc>
          <w:tcPr>
            <w:tcW w:w="1087" w:type="dxa"/>
          </w:tcPr>
          <w:p w14:paraId="5E2E4D51" w14:textId="77777777" w:rsidR="00EF0985" w:rsidRPr="00EF0985" w:rsidRDefault="00EF0985" w:rsidP="003F12E9">
            <w:pPr>
              <w:keepNext/>
              <w:keepLines/>
              <w:jc w:val="right"/>
              <w:rPr>
                <w:color w:val="000000"/>
                <w:sz w:val="18"/>
                <w:szCs w:val="18"/>
                <w:lang w:eastAsia="en-CA"/>
              </w:rPr>
            </w:pPr>
            <w:r w:rsidRPr="00EF0985">
              <w:rPr>
                <w:color w:val="000000"/>
                <w:sz w:val="18"/>
                <w:szCs w:val="18"/>
                <w:lang w:eastAsia="en-CA"/>
              </w:rPr>
              <w:t>70.46</w:t>
            </w:r>
          </w:p>
        </w:tc>
        <w:tc>
          <w:tcPr>
            <w:tcW w:w="1087" w:type="dxa"/>
          </w:tcPr>
          <w:p w14:paraId="3158F870" w14:textId="77777777" w:rsidR="00EF0985" w:rsidRPr="00EF0985" w:rsidRDefault="00EF0985" w:rsidP="003F12E9">
            <w:pPr>
              <w:keepNext/>
              <w:keepLines/>
              <w:jc w:val="right"/>
              <w:rPr>
                <w:color w:val="000000"/>
                <w:sz w:val="18"/>
                <w:szCs w:val="18"/>
                <w:lang w:eastAsia="en-CA"/>
              </w:rPr>
            </w:pPr>
            <w:r w:rsidRPr="00EF0985">
              <w:rPr>
                <w:color w:val="000000"/>
                <w:sz w:val="18"/>
                <w:szCs w:val="18"/>
                <w:lang w:eastAsia="en-CA"/>
              </w:rPr>
              <w:t>70.46</w:t>
            </w:r>
          </w:p>
        </w:tc>
        <w:tc>
          <w:tcPr>
            <w:tcW w:w="1087" w:type="dxa"/>
          </w:tcPr>
          <w:p w14:paraId="3D3FBCA0" w14:textId="77777777" w:rsidR="00EF0985" w:rsidRPr="00EF0985" w:rsidRDefault="00EF0985" w:rsidP="003F12E9">
            <w:pPr>
              <w:keepNext/>
              <w:keepLines/>
              <w:jc w:val="right"/>
              <w:rPr>
                <w:color w:val="000000"/>
                <w:sz w:val="18"/>
                <w:szCs w:val="18"/>
                <w:lang w:eastAsia="en-CA"/>
              </w:rPr>
            </w:pPr>
            <w:r w:rsidRPr="00EF0985">
              <w:rPr>
                <w:color w:val="000000"/>
                <w:sz w:val="18"/>
                <w:szCs w:val="18"/>
                <w:lang w:eastAsia="en-CA"/>
              </w:rPr>
              <w:t>35.23</w:t>
            </w:r>
          </w:p>
        </w:tc>
        <w:tc>
          <w:tcPr>
            <w:tcW w:w="887" w:type="dxa"/>
          </w:tcPr>
          <w:p w14:paraId="51341B18" w14:textId="77777777" w:rsidR="00EF0985" w:rsidRPr="00EF0985" w:rsidRDefault="00EF0985" w:rsidP="003F12E9">
            <w:pPr>
              <w:keepNext/>
              <w:keepLines/>
              <w:jc w:val="right"/>
              <w:rPr>
                <w:color w:val="000000"/>
                <w:sz w:val="18"/>
                <w:szCs w:val="18"/>
                <w:lang w:eastAsia="en-CA"/>
              </w:rPr>
            </w:pPr>
            <w:r w:rsidRPr="00EF0985">
              <w:rPr>
                <w:color w:val="000000"/>
                <w:sz w:val="18"/>
                <w:szCs w:val="18"/>
                <w:lang w:eastAsia="en-CA"/>
              </w:rPr>
              <w:t>n/a</w:t>
            </w:r>
          </w:p>
        </w:tc>
      </w:tr>
      <w:tr w:rsidR="00EF0985" w:rsidRPr="00EF0985" w14:paraId="3CFA42BF" w14:textId="77777777" w:rsidTr="00EF0985">
        <w:trPr>
          <w:trHeight w:val="530"/>
          <w:jc w:val="center"/>
        </w:trPr>
        <w:tc>
          <w:tcPr>
            <w:tcW w:w="551" w:type="dxa"/>
            <w:hideMark/>
          </w:tcPr>
          <w:p w14:paraId="3FC31DEA" w14:textId="77777777" w:rsidR="00EF0985" w:rsidRPr="00EF0985" w:rsidRDefault="00EF0985" w:rsidP="003F12E9">
            <w:pPr>
              <w:widowControl w:val="0"/>
              <w:rPr>
                <w:sz w:val="18"/>
                <w:szCs w:val="18"/>
                <w:lang w:val="es-ES"/>
              </w:rPr>
            </w:pPr>
            <w:r w:rsidRPr="00EF0985">
              <w:rPr>
                <w:sz w:val="18"/>
                <w:szCs w:val="18"/>
                <w:lang w:val="es-ES"/>
              </w:rPr>
              <w:t>1.2</w:t>
            </w:r>
          </w:p>
        </w:tc>
        <w:tc>
          <w:tcPr>
            <w:tcW w:w="2688" w:type="dxa"/>
          </w:tcPr>
          <w:p w14:paraId="3B5F763F" w14:textId="77777777" w:rsidR="00EF0985" w:rsidRPr="00EF0985" w:rsidRDefault="00EF0985" w:rsidP="003F12E9">
            <w:pPr>
              <w:widowControl w:val="0"/>
              <w:jc w:val="left"/>
              <w:rPr>
                <w:sz w:val="18"/>
                <w:szCs w:val="18"/>
                <w:lang w:val="es-ES"/>
              </w:rPr>
            </w:pPr>
            <w:r w:rsidRPr="00EF0985">
              <w:rPr>
                <w:sz w:val="18"/>
                <w:szCs w:val="18"/>
                <w:lang w:val="es-ES"/>
              </w:rPr>
              <w:t>Consumo total máximo permisible para sustancias del Anexo C, Grupo I (toneladas PAO)</w:t>
            </w:r>
          </w:p>
        </w:tc>
        <w:tc>
          <w:tcPr>
            <w:tcW w:w="1087" w:type="dxa"/>
          </w:tcPr>
          <w:p w14:paraId="5848195D" w14:textId="77777777" w:rsidR="00EF0985" w:rsidRPr="00EF0985" w:rsidRDefault="00EF0985" w:rsidP="003F12E9">
            <w:pPr>
              <w:jc w:val="right"/>
              <w:rPr>
                <w:color w:val="000000"/>
                <w:sz w:val="18"/>
                <w:szCs w:val="18"/>
                <w:lang w:eastAsia="en-CA"/>
              </w:rPr>
            </w:pPr>
            <w:r w:rsidRPr="00EF0985">
              <w:rPr>
                <w:color w:val="000000"/>
                <w:sz w:val="18"/>
                <w:szCs w:val="18"/>
                <w:lang w:eastAsia="en-CA"/>
              </w:rPr>
              <w:t>66.40</w:t>
            </w:r>
          </w:p>
        </w:tc>
        <w:tc>
          <w:tcPr>
            <w:tcW w:w="1087" w:type="dxa"/>
          </w:tcPr>
          <w:p w14:paraId="6101F3C1" w14:textId="77777777" w:rsidR="00EF0985" w:rsidRPr="00EF0985" w:rsidRDefault="00EF0985" w:rsidP="003F12E9">
            <w:pPr>
              <w:jc w:val="right"/>
              <w:rPr>
                <w:color w:val="000000"/>
                <w:sz w:val="18"/>
                <w:szCs w:val="18"/>
                <w:lang w:eastAsia="en-CA"/>
              </w:rPr>
            </w:pPr>
            <w:r w:rsidRPr="00EF0985">
              <w:rPr>
                <w:color w:val="000000"/>
                <w:sz w:val="18"/>
                <w:szCs w:val="18"/>
                <w:lang w:eastAsia="en-CA"/>
              </w:rPr>
              <w:t>66.40</w:t>
            </w:r>
          </w:p>
        </w:tc>
        <w:tc>
          <w:tcPr>
            <w:tcW w:w="1087" w:type="dxa"/>
          </w:tcPr>
          <w:p w14:paraId="22F10D54" w14:textId="77777777" w:rsidR="00EF0985" w:rsidRPr="00EF0985" w:rsidRDefault="00EF0985" w:rsidP="003F12E9">
            <w:pPr>
              <w:jc w:val="right"/>
              <w:rPr>
                <w:color w:val="000000"/>
                <w:sz w:val="18"/>
                <w:szCs w:val="18"/>
                <w:lang w:eastAsia="en-CA"/>
              </w:rPr>
            </w:pPr>
            <w:r w:rsidRPr="00EF0985">
              <w:rPr>
                <w:color w:val="000000"/>
                <w:sz w:val="18"/>
                <w:szCs w:val="18"/>
                <w:lang w:eastAsia="en-CA"/>
              </w:rPr>
              <w:t>66.40</w:t>
            </w:r>
          </w:p>
        </w:tc>
        <w:tc>
          <w:tcPr>
            <w:tcW w:w="1087" w:type="dxa"/>
          </w:tcPr>
          <w:p w14:paraId="14991DAB" w14:textId="77777777" w:rsidR="00EF0985" w:rsidRPr="00EF0985" w:rsidRDefault="00EF0985" w:rsidP="003F12E9">
            <w:pPr>
              <w:jc w:val="right"/>
              <w:rPr>
                <w:color w:val="000000"/>
                <w:sz w:val="18"/>
                <w:szCs w:val="18"/>
                <w:lang w:eastAsia="en-CA"/>
              </w:rPr>
            </w:pPr>
            <w:r w:rsidRPr="00EF0985">
              <w:rPr>
                <w:color w:val="000000"/>
                <w:sz w:val="18"/>
                <w:szCs w:val="18"/>
                <w:lang w:eastAsia="en-CA"/>
              </w:rPr>
              <w:t>66.40</w:t>
            </w:r>
          </w:p>
        </w:tc>
        <w:tc>
          <w:tcPr>
            <w:tcW w:w="1087" w:type="dxa"/>
          </w:tcPr>
          <w:p w14:paraId="5113EDE8" w14:textId="77777777" w:rsidR="00EF0985" w:rsidRPr="00EF0985" w:rsidRDefault="00EF0985" w:rsidP="003F12E9">
            <w:pPr>
              <w:jc w:val="right"/>
              <w:rPr>
                <w:color w:val="000000"/>
                <w:sz w:val="18"/>
                <w:szCs w:val="18"/>
                <w:lang w:eastAsia="en-CA"/>
              </w:rPr>
            </w:pPr>
            <w:r w:rsidRPr="00EF0985">
              <w:rPr>
                <w:color w:val="000000"/>
                <w:sz w:val="18"/>
                <w:szCs w:val="18"/>
                <w:lang w:eastAsia="en-CA"/>
              </w:rPr>
              <w:t>33.60</w:t>
            </w:r>
          </w:p>
        </w:tc>
        <w:tc>
          <w:tcPr>
            <w:tcW w:w="887" w:type="dxa"/>
          </w:tcPr>
          <w:p w14:paraId="049AAD62" w14:textId="77777777" w:rsidR="00EF0985" w:rsidRPr="00EF0985" w:rsidRDefault="00EF0985" w:rsidP="003F12E9">
            <w:pPr>
              <w:jc w:val="right"/>
              <w:rPr>
                <w:color w:val="000000"/>
                <w:sz w:val="18"/>
                <w:szCs w:val="18"/>
                <w:lang w:eastAsia="en-CA"/>
              </w:rPr>
            </w:pPr>
            <w:r w:rsidRPr="00EF0985">
              <w:rPr>
                <w:color w:val="000000"/>
                <w:sz w:val="18"/>
                <w:szCs w:val="18"/>
                <w:lang w:eastAsia="en-CA"/>
              </w:rPr>
              <w:t>n/a</w:t>
            </w:r>
          </w:p>
        </w:tc>
      </w:tr>
      <w:tr w:rsidR="00EF0985" w:rsidRPr="00EF0985" w14:paraId="0A21E70A" w14:textId="77777777" w:rsidTr="00EF0985">
        <w:trPr>
          <w:trHeight w:val="296"/>
          <w:jc w:val="center"/>
        </w:trPr>
        <w:tc>
          <w:tcPr>
            <w:tcW w:w="551" w:type="dxa"/>
            <w:hideMark/>
          </w:tcPr>
          <w:p w14:paraId="67DF716D" w14:textId="77777777" w:rsidR="00EF0985" w:rsidRPr="00EF0985" w:rsidRDefault="00EF0985" w:rsidP="003F12E9">
            <w:pPr>
              <w:widowControl w:val="0"/>
              <w:rPr>
                <w:sz w:val="18"/>
                <w:szCs w:val="18"/>
                <w:lang w:val="es-ES"/>
              </w:rPr>
            </w:pPr>
            <w:r w:rsidRPr="00EF0985">
              <w:rPr>
                <w:sz w:val="18"/>
                <w:szCs w:val="18"/>
                <w:lang w:val="es-ES"/>
              </w:rPr>
              <w:t>2.1</w:t>
            </w:r>
          </w:p>
        </w:tc>
        <w:tc>
          <w:tcPr>
            <w:tcW w:w="2688" w:type="dxa"/>
          </w:tcPr>
          <w:p w14:paraId="020F4CDA" w14:textId="77777777" w:rsidR="00EF0985" w:rsidRPr="00EF0985" w:rsidRDefault="00EF0985" w:rsidP="003F12E9">
            <w:pPr>
              <w:widowControl w:val="0"/>
              <w:jc w:val="left"/>
              <w:rPr>
                <w:sz w:val="18"/>
                <w:szCs w:val="18"/>
                <w:lang w:val="es-ES"/>
              </w:rPr>
            </w:pPr>
            <w:r w:rsidRPr="00EF0985">
              <w:rPr>
                <w:sz w:val="18"/>
                <w:szCs w:val="18"/>
                <w:lang w:val="es-ES"/>
              </w:rPr>
              <w:t>Financiación convenida para el Organismo de Ejecución Principal [nombre del organismo] ($EUA)</w:t>
            </w:r>
          </w:p>
        </w:tc>
        <w:tc>
          <w:tcPr>
            <w:tcW w:w="1087" w:type="dxa"/>
          </w:tcPr>
          <w:p w14:paraId="2003EA0A" w14:textId="77777777" w:rsidR="00EF0985" w:rsidRPr="00EF0985" w:rsidRDefault="00EF0985" w:rsidP="003F12E9">
            <w:pPr>
              <w:jc w:val="right"/>
              <w:rPr>
                <w:color w:val="000000"/>
                <w:sz w:val="18"/>
                <w:szCs w:val="18"/>
                <w:lang w:eastAsia="en-CA"/>
              </w:rPr>
            </w:pPr>
            <w:r w:rsidRPr="00EF0985">
              <w:rPr>
                <w:color w:val="000000"/>
                <w:sz w:val="18"/>
                <w:szCs w:val="18"/>
                <w:lang w:eastAsia="en-CA"/>
              </w:rPr>
              <w:t>335.000</w:t>
            </w:r>
          </w:p>
        </w:tc>
        <w:tc>
          <w:tcPr>
            <w:tcW w:w="1087" w:type="dxa"/>
          </w:tcPr>
          <w:p w14:paraId="513646DE" w14:textId="77777777" w:rsidR="00EF0985" w:rsidRPr="00EF0985" w:rsidRDefault="00EF0985" w:rsidP="003F12E9">
            <w:pPr>
              <w:jc w:val="right"/>
              <w:rPr>
                <w:color w:val="000000"/>
                <w:sz w:val="18"/>
                <w:szCs w:val="18"/>
                <w:lang w:eastAsia="en-CA"/>
              </w:rPr>
            </w:pPr>
            <w:r w:rsidRPr="00EF0985">
              <w:rPr>
                <w:color w:val="000000"/>
                <w:sz w:val="18"/>
                <w:szCs w:val="18"/>
                <w:lang w:eastAsia="en-CA"/>
              </w:rPr>
              <w:t>585.000</w:t>
            </w:r>
          </w:p>
        </w:tc>
        <w:tc>
          <w:tcPr>
            <w:tcW w:w="1087" w:type="dxa"/>
          </w:tcPr>
          <w:p w14:paraId="2A499D33" w14:textId="77777777" w:rsidR="00EF0985" w:rsidRPr="00EF0985" w:rsidRDefault="00EF0985" w:rsidP="003F12E9">
            <w:pPr>
              <w:jc w:val="right"/>
              <w:rPr>
                <w:color w:val="000000"/>
                <w:sz w:val="18"/>
                <w:szCs w:val="18"/>
                <w:lang w:eastAsia="en-CA"/>
              </w:rPr>
            </w:pPr>
            <w:r w:rsidRPr="00EF0985">
              <w:rPr>
                <w:color w:val="000000"/>
                <w:sz w:val="18"/>
                <w:szCs w:val="18"/>
                <w:lang w:eastAsia="en-CA"/>
              </w:rPr>
              <w:t>655.000</w:t>
            </w:r>
          </w:p>
        </w:tc>
        <w:tc>
          <w:tcPr>
            <w:tcW w:w="1087" w:type="dxa"/>
          </w:tcPr>
          <w:p w14:paraId="65206C3E" w14:textId="77777777" w:rsidR="00EF0985" w:rsidRPr="00EF0985" w:rsidRDefault="00EF0985" w:rsidP="003F12E9">
            <w:pPr>
              <w:jc w:val="right"/>
              <w:rPr>
                <w:color w:val="000000"/>
                <w:sz w:val="18"/>
                <w:szCs w:val="18"/>
                <w:lang w:eastAsia="en-CA"/>
              </w:rPr>
            </w:pPr>
            <w:r w:rsidRPr="00EF0985">
              <w:rPr>
                <w:color w:val="000000"/>
                <w:sz w:val="18"/>
                <w:szCs w:val="18"/>
                <w:lang w:eastAsia="en-CA"/>
              </w:rPr>
              <w:t>0</w:t>
            </w:r>
          </w:p>
        </w:tc>
        <w:tc>
          <w:tcPr>
            <w:tcW w:w="1087" w:type="dxa"/>
          </w:tcPr>
          <w:p w14:paraId="27E561A3" w14:textId="77777777" w:rsidR="00EF0985" w:rsidRPr="00EF0985" w:rsidRDefault="00EF0985" w:rsidP="003F12E9">
            <w:pPr>
              <w:jc w:val="right"/>
              <w:rPr>
                <w:color w:val="000000"/>
                <w:sz w:val="18"/>
                <w:szCs w:val="18"/>
                <w:lang w:eastAsia="en-CA"/>
              </w:rPr>
            </w:pPr>
            <w:r w:rsidRPr="00EF0985">
              <w:rPr>
                <w:color w:val="000000"/>
                <w:sz w:val="18"/>
                <w:szCs w:val="18"/>
                <w:lang w:eastAsia="en-CA"/>
              </w:rPr>
              <w:t>265.000</w:t>
            </w:r>
          </w:p>
        </w:tc>
        <w:tc>
          <w:tcPr>
            <w:tcW w:w="887" w:type="dxa"/>
          </w:tcPr>
          <w:p w14:paraId="25DF7F43" w14:textId="77777777" w:rsidR="00EF0985" w:rsidRPr="00EF0985" w:rsidRDefault="00EF0985" w:rsidP="003F12E9">
            <w:pPr>
              <w:jc w:val="right"/>
              <w:rPr>
                <w:color w:val="000000"/>
                <w:sz w:val="18"/>
                <w:szCs w:val="18"/>
                <w:lang w:eastAsia="en-CA"/>
              </w:rPr>
            </w:pPr>
            <w:r w:rsidRPr="00EF0985">
              <w:rPr>
                <w:color w:val="000000"/>
                <w:sz w:val="18"/>
                <w:szCs w:val="18"/>
                <w:lang w:eastAsia="en-CA"/>
              </w:rPr>
              <w:t>1.840.000</w:t>
            </w:r>
          </w:p>
        </w:tc>
      </w:tr>
      <w:tr w:rsidR="00EF0985" w:rsidRPr="00EF0985" w14:paraId="2D265E0F" w14:textId="77777777" w:rsidTr="00EF0985">
        <w:trPr>
          <w:trHeight w:val="251"/>
          <w:jc w:val="center"/>
        </w:trPr>
        <w:tc>
          <w:tcPr>
            <w:tcW w:w="551" w:type="dxa"/>
            <w:hideMark/>
          </w:tcPr>
          <w:p w14:paraId="51A918DD" w14:textId="77777777" w:rsidR="00EF0985" w:rsidRPr="00EF0985" w:rsidRDefault="00EF0985" w:rsidP="003F12E9">
            <w:pPr>
              <w:widowControl w:val="0"/>
              <w:rPr>
                <w:sz w:val="18"/>
                <w:szCs w:val="18"/>
                <w:lang w:val="es-ES"/>
              </w:rPr>
            </w:pPr>
            <w:r w:rsidRPr="00EF0985">
              <w:rPr>
                <w:sz w:val="18"/>
                <w:szCs w:val="18"/>
                <w:lang w:val="es-ES"/>
              </w:rPr>
              <w:t>2.2</w:t>
            </w:r>
          </w:p>
        </w:tc>
        <w:tc>
          <w:tcPr>
            <w:tcW w:w="2688" w:type="dxa"/>
          </w:tcPr>
          <w:p w14:paraId="5F2BB2E5" w14:textId="77777777" w:rsidR="00EF0985" w:rsidRPr="00EF0985" w:rsidRDefault="00EF0985" w:rsidP="003F12E9">
            <w:pPr>
              <w:widowControl w:val="0"/>
              <w:jc w:val="left"/>
              <w:rPr>
                <w:sz w:val="18"/>
                <w:szCs w:val="18"/>
                <w:lang w:val="es-ES"/>
              </w:rPr>
            </w:pPr>
            <w:r w:rsidRPr="00EF0985">
              <w:rPr>
                <w:sz w:val="18"/>
                <w:szCs w:val="18"/>
                <w:lang w:val="es-ES"/>
              </w:rPr>
              <w:t>Gastos de apoyo para el Organismo de Ejecución Principal [nombre del organismo] ($EUA)</w:t>
            </w:r>
          </w:p>
        </w:tc>
        <w:tc>
          <w:tcPr>
            <w:tcW w:w="1087" w:type="dxa"/>
          </w:tcPr>
          <w:p w14:paraId="2A7AE883" w14:textId="77777777" w:rsidR="00EF0985" w:rsidRPr="00EF0985" w:rsidRDefault="00EF0985" w:rsidP="003F12E9">
            <w:pPr>
              <w:jc w:val="right"/>
              <w:rPr>
                <w:color w:val="000000"/>
                <w:sz w:val="18"/>
                <w:szCs w:val="18"/>
                <w:lang w:eastAsia="en-CA"/>
              </w:rPr>
            </w:pPr>
            <w:r w:rsidRPr="00EF0985">
              <w:rPr>
                <w:color w:val="000000"/>
                <w:sz w:val="18"/>
                <w:szCs w:val="18"/>
                <w:lang w:eastAsia="en-CA"/>
              </w:rPr>
              <w:t>38.671</w:t>
            </w:r>
          </w:p>
        </w:tc>
        <w:tc>
          <w:tcPr>
            <w:tcW w:w="1087" w:type="dxa"/>
          </w:tcPr>
          <w:p w14:paraId="4836C3F4" w14:textId="77777777" w:rsidR="00EF0985" w:rsidRPr="00EF0985" w:rsidRDefault="00EF0985" w:rsidP="003F12E9">
            <w:pPr>
              <w:jc w:val="right"/>
              <w:rPr>
                <w:color w:val="000000"/>
                <w:sz w:val="18"/>
                <w:szCs w:val="18"/>
                <w:lang w:eastAsia="en-CA"/>
              </w:rPr>
            </w:pPr>
            <w:r w:rsidRPr="00EF0985">
              <w:rPr>
                <w:color w:val="000000"/>
                <w:sz w:val="18"/>
                <w:szCs w:val="18"/>
                <w:lang w:eastAsia="en-CA"/>
              </w:rPr>
              <w:t>67.529</w:t>
            </w:r>
          </w:p>
        </w:tc>
        <w:tc>
          <w:tcPr>
            <w:tcW w:w="1087" w:type="dxa"/>
          </w:tcPr>
          <w:p w14:paraId="780843B9" w14:textId="77777777" w:rsidR="00EF0985" w:rsidRPr="00EF0985" w:rsidRDefault="00EF0985" w:rsidP="003F12E9">
            <w:pPr>
              <w:jc w:val="right"/>
              <w:rPr>
                <w:color w:val="000000"/>
                <w:sz w:val="18"/>
                <w:szCs w:val="18"/>
                <w:lang w:eastAsia="en-CA"/>
              </w:rPr>
            </w:pPr>
            <w:r w:rsidRPr="00EF0985">
              <w:rPr>
                <w:color w:val="000000"/>
                <w:sz w:val="18"/>
                <w:szCs w:val="18"/>
                <w:lang w:eastAsia="en-CA"/>
              </w:rPr>
              <w:t>75.610</w:t>
            </w:r>
          </w:p>
        </w:tc>
        <w:tc>
          <w:tcPr>
            <w:tcW w:w="1087" w:type="dxa"/>
          </w:tcPr>
          <w:p w14:paraId="701B1979" w14:textId="77777777" w:rsidR="00EF0985" w:rsidRPr="00EF0985" w:rsidRDefault="00EF0985" w:rsidP="003F12E9">
            <w:pPr>
              <w:jc w:val="right"/>
              <w:rPr>
                <w:color w:val="000000"/>
                <w:sz w:val="18"/>
                <w:szCs w:val="18"/>
                <w:lang w:eastAsia="en-CA"/>
              </w:rPr>
            </w:pPr>
            <w:r w:rsidRPr="00EF0985">
              <w:rPr>
                <w:color w:val="000000"/>
                <w:sz w:val="18"/>
                <w:szCs w:val="18"/>
                <w:lang w:eastAsia="en-CA"/>
              </w:rPr>
              <w:t>0</w:t>
            </w:r>
          </w:p>
        </w:tc>
        <w:tc>
          <w:tcPr>
            <w:tcW w:w="1087" w:type="dxa"/>
          </w:tcPr>
          <w:p w14:paraId="5AAD2E2B" w14:textId="77777777" w:rsidR="00EF0985" w:rsidRPr="00EF0985" w:rsidRDefault="00EF0985" w:rsidP="003F12E9">
            <w:pPr>
              <w:jc w:val="right"/>
              <w:rPr>
                <w:color w:val="000000"/>
                <w:sz w:val="18"/>
                <w:szCs w:val="18"/>
                <w:lang w:eastAsia="en-CA"/>
              </w:rPr>
            </w:pPr>
            <w:r w:rsidRPr="00EF0985">
              <w:rPr>
                <w:color w:val="000000"/>
                <w:sz w:val="18"/>
                <w:szCs w:val="18"/>
                <w:lang w:eastAsia="en-CA"/>
              </w:rPr>
              <w:t>30.590</w:t>
            </w:r>
          </w:p>
        </w:tc>
        <w:tc>
          <w:tcPr>
            <w:tcW w:w="887" w:type="dxa"/>
          </w:tcPr>
          <w:p w14:paraId="40D10129" w14:textId="77777777" w:rsidR="00EF0985" w:rsidRPr="00EF0985" w:rsidRDefault="00EF0985" w:rsidP="003F12E9">
            <w:pPr>
              <w:jc w:val="right"/>
              <w:rPr>
                <w:color w:val="000000"/>
                <w:sz w:val="18"/>
                <w:szCs w:val="18"/>
                <w:lang w:eastAsia="en-CA"/>
              </w:rPr>
            </w:pPr>
            <w:r w:rsidRPr="00EF0985">
              <w:rPr>
                <w:color w:val="000000"/>
                <w:sz w:val="18"/>
                <w:szCs w:val="18"/>
                <w:lang w:eastAsia="en-CA"/>
              </w:rPr>
              <w:t>212.400</w:t>
            </w:r>
          </w:p>
        </w:tc>
      </w:tr>
      <w:tr w:rsidR="00EF0985" w:rsidRPr="00EF0985" w14:paraId="6686B088" w14:textId="77777777" w:rsidTr="00EF0985">
        <w:trPr>
          <w:trHeight w:val="900"/>
          <w:jc w:val="center"/>
        </w:trPr>
        <w:tc>
          <w:tcPr>
            <w:tcW w:w="551" w:type="dxa"/>
            <w:hideMark/>
          </w:tcPr>
          <w:p w14:paraId="33F328F6" w14:textId="77777777" w:rsidR="00EF0985" w:rsidRPr="00EF0985" w:rsidRDefault="00EF0985" w:rsidP="003F12E9">
            <w:pPr>
              <w:spacing w:after="240"/>
              <w:outlineLvl w:val="0"/>
              <w:rPr>
                <w:sz w:val="18"/>
                <w:szCs w:val="18"/>
                <w:lang w:val="es-ES"/>
              </w:rPr>
            </w:pPr>
            <w:r w:rsidRPr="00EF0985">
              <w:rPr>
                <w:sz w:val="18"/>
                <w:szCs w:val="18"/>
                <w:lang w:val="es-ES"/>
              </w:rPr>
              <w:t>2.3</w:t>
            </w:r>
          </w:p>
        </w:tc>
        <w:tc>
          <w:tcPr>
            <w:tcW w:w="2688" w:type="dxa"/>
          </w:tcPr>
          <w:p w14:paraId="12773219" w14:textId="77777777" w:rsidR="00EF0985" w:rsidRPr="00EF0985" w:rsidRDefault="00EF0985" w:rsidP="003F12E9">
            <w:pPr>
              <w:widowControl w:val="0"/>
              <w:jc w:val="left"/>
              <w:rPr>
                <w:sz w:val="18"/>
                <w:szCs w:val="18"/>
                <w:lang w:val="es-ES"/>
              </w:rPr>
            </w:pPr>
            <w:r w:rsidRPr="00EF0985">
              <w:rPr>
                <w:sz w:val="18"/>
                <w:szCs w:val="18"/>
                <w:lang w:val="es-ES"/>
              </w:rPr>
              <w:t>Financiación convenida para Organismo de Ejecución Cooperante [nombre del organismo] ($EUA)</w:t>
            </w:r>
          </w:p>
        </w:tc>
        <w:tc>
          <w:tcPr>
            <w:tcW w:w="1087" w:type="dxa"/>
          </w:tcPr>
          <w:p w14:paraId="01C99C90" w14:textId="77777777" w:rsidR="00EF0985" w:rsidRPr="00EF0985" w:rsidRDefault="00EF0985" w:rsidP="003F12E9">
            <w:pPr>
              <w:jc w:val="right"/>
              <w:rPr>
                <w:color w:val="000000"/>
                <w:sz w:val="18"/>
                <w:szCs w:val="18"/>
                <w:lang w:eastAsia="en-CA"/>
              </w:rPr>
            </w:pPr>
            <w:r w:rsidRPr="00EF0985">
              <w:rPr>
                <w:color w:val="000000"/>
                <w:sz w:val="18"/>
                <w:szCs w:val="18"/>
                <w:lang w:eastAsia="en-CA"/>
              </w:rPr>
              <w:t>25.000</w:t>
            </w:r>
          </w:p>
        </w:tc>
        <w:tc>
          <w:tcPr>
            <w:tcW w:w="1087" w:type="dxa"/>
          </w:tcPr>
          <w:p w14:paraId="2E87EB9F" w14:textId="77777777" w:rsidR="00EF0985" w:rsidRPr="00EF0985" w:rsidRDefault="00EF0985" w:rsidP="003F12E9">
            <w:pPr>
              <w:jc w:val="right"/>
              <w:rPr>
                <w:color w:val="000000"/>
                <w:sz w:val="18"/>
                <w:szCs w:val="18"/>
                <w:lang w:eastAsia="en-CA"/>
              </w:rPr>
            </w:pPr>
            <w:r w:rsidRPr="00EF0985">
              <w:rPr>
                <w:color w:val="000000"/>
                <w:sz w:val="18"/>
                <w:szCs w:val="18"/>
                <w:lang w:eastAsia="en-CA"/>
              </w:rPr>
              <w:t>320.000</w:t>
            </w:r>
          </w:p>
        </w:tc>
        <w:tc>
          <w:tcPr>
            <w:tcW w:w="1087" w:type="dxa"/>
          </w:tcPr>
          <w:p w14:paraId="2F670C28" w14:textId="77777777" w:rsidR="00EF0985" w:rsidRPr="00EF0985" w:rsidRDefault="00EF0985" w:rsidP="003F12E9">
            <w:pPr>
              <w:jc w:val="right"/>
              <w:rPr>
                <w:color w:val="000000"/>
                <w:sz w:val="18"/>
                <w:szCs w:val="18"/>
                <w:lang w:eastAsia="en-CA"/>
              </w:rPr>
            </w:pPr>
            <w:r w:rsidRPr="00EF0985">
              <w:rPr>
                <w:color w:val="000000"/>
                <w:sz w:val="18"/>
                <w:szCs w:val="18"/>
                <w:lang w:eastAsia="en-CA"/>
              </w:rPr>
              <w:t>355.000</w:t>
            </w:r>
          </w:p>
        </w:tc>
        <w:tc>
          <w:tcPr>
            <w:tcW w:w="1087" w:type="dxa"/>
          </w:tcPr>
          <w:p w14:paraId="1F4A1966" w14:textId="77777777" w:rsidR="00EF0985" w:rsidRPr="00EF0985" w:rsidRDefault="00EF0985" w:rsidP="003F12E9">
            <w:pPr>
              <w:jc w:val="right"/>
              <w:rPr>
                <w:color w:val="000000"/>
                <w:sz w:val="18"/>
                <w:szCs w:val="18"/>
                <w:lang w:eastAsia="en-CA"/>
              </w:rPr>
            </w:pPr>
            <w:r w:rsidRPr="00EF0985">
              <w:rPr>
                <w:color w:val="000000"/>
                <w:sz w:val="18"/>
                <w:szCs w:val="18"/>
                <w:lang w:eastAsia="en-CA"/>
              </w:rPr>
              <w:t>0</w:t>
            </w:r>
          </w:p>
        </w:tc>
        <w:tc>
          <w:tcPr>
            <w:tcW w:w="1087" w:type="dxa"/>
          </w:tcPr>
          <w:p w14:paraId="78BD20BD" w14:textId="77777777" w:rsidR="00EF0985" w:rsidRPr="00EF0985" w:rsidRDefault="00EF0985" w:rsidP="003F12E9">
            <w:pPr>
              <w:jc w:val="right"/>
              <w:rPr>
                <w:color w:val="000000"/>
                <w:sz w:val="18"/>
                <w:szCs w:val="18"/>
                <w:lang w:eastAsia="en-CA"/>
              </w:rPr>
            </w:pPr>
            <w:r w:rsidRPr="00EF0985">
              <w:rPr>
                <w:color w:val="000000"/>
                <w:sz w:val="18"/>
                <w:szCs w:val="18"/>
                <w:lang w:eastAsia="en-CA"/>
              </w:rPr>
              <w:t>210.000</w:t>
            </w:r>
          </w:p>
        </w:tc>
        <w:tc>
          <w:tcPr>
            <w:tcW w:w="887" w:type="dxa"/>
          </w:tcPr>
          <w:p w14:paraId="0A9DE5D4" w14:textId="77777777" w:rsidR="00EF0985" w:rsidRPr="00EF0985" w:rsidRDefault="00EF0985" w:rsidP="003F12E9">
            <w:pPr>
              <w:jc w:val="right"/>
              <w:rPr>
                <w:color w:val="000000"/>
                <w:sz w:val="18"/>
                <w:szCs w:val="18"/>
                <w:lang w:eastAsia="en-CA"/>
              </w:rPr>
            </w:pPr>
            <w:r w:rsidRPr="00EF0985">
              <w:rPr>
                <w:color w:val="000000"/>
                <w:sz w:val="18"/>
                <w:szCs w:val="18"/>
                <w:lang w:eastAsia="en-CA"/>
              </w:rPr>
              <w:t>910.000</w:t>
            </w:r>
          </w:p>
        </w:tc>
      </w:tr>
      <w:tr w:rsidR="00EF0985" w:rsidRPr="00EF0985" w14:paraId="406765C7" w14:textId="77777777" w:rsidTr="00EF0985">
        <w:trPr>
          <w:trHeight w:val="341"/>
          <w:jc w:val="center"/>
        </w:trPr>
        <w:tc>
          <w:tcPr>
            <w:tcW w:w="551" w:type="dxa"/>
            <w:hideMark/>
          </w:tcPr>
          <w:p w14:paraId="582F4C4A" w14:textId="77777777" w:rsidR="00EF0985" w:rsidRPr="00EF0985" w:rsidRDefault="00EF0985" w:rsidP="003F12E9">
            <w:pPr>
              <w:widowControl w:val="0"/>
              <w:rPr>
                <w:sz w:val="18"/>
                <w:szCs w:val="18"/>
                <w:lang w:val="es-ES"/>
              </w:rPr>
            </w:pPr>
            <w:r w:rsidRPr="00EF0985">
              <w:rPr>
                <w:sz w:val="18"/>
                <w:szCs w:val="18"/>
                <w:lang w:val="es-ES"/>
              </w:rPr>
              <w:t>2.4</w:t>
            </w:r>
          </w:p>
        </w:tc>
        <w:tc>
          <w:tcPr>
            <w:tcW w:w="2688" w:type="dxa"/>
          </w:tcPr>
          <w:p w14:paraId="298E8887" w14:textId="77777777" w:rsidR="00EF0985" w:rsidRPr="00EF0985" w:rsidRDefault="00EF0985" w:rsidP="003F12E9">
            <w:pPr>
              <w:widowControl w:val="0"/>
              <w:jc w:val="left"/>
              <w:rPr>
                <w:sz w:val="18"/>
                <w:szCs w:val="18"/>
                <w:lang w:val="es-ES"/>
              </w:rPr>
            </w:pPr>
            <w:r w:rsidRPr="00EF0985">
              <w:rPr>
                <w:sz w:val="18"/>
                <w:szCs w:val="18"/>
                <w:lang w:val="es-ES"/>
              </w:rPr>
              <w:t>Gastos de apoyo para Organismo de Ejecución Cooperante [nombre del organismo] ($EUA)</w:t>
            </w:r>
          </w:p>
        </w:tc>
        <w:tc>
          <w:tcPr>
            <w:tcW w:w="1087" w:type="dxa"/>
          </w:tcPr>
          <w:p w14:paraId="5C186E1F" w14:textId="77777777" w:rsidR="00EF0985" w:rsidRPr="00EF0985" w:rsidRDefault="00EF0985" w:rsidP="003F12E9">
            <w:pPr>
              <w:jc w:val="right"/>
              <w:rPr>
                <w:color w:val="000000"/>
                <w:sz w:val="18"/>
                <w:szCs w:val="18"/>
                <w:lang w:eastAsia="en-CA"/>
              </w:rPr>
            </w:pPr>
            <w:r w:rsidRPr="00EF0985">
              <w:rPr>
                <w:color w:val="000000"/>
                <w:sz w:val="18"/>
                <w:szCs w:val="18"/>
                <w:lang w:eastAsia="en-CA"/>
              </w:rPr>
              <w:t>1.750</w:t>
            </w:r>
          </w:p>
        </w:tc>
        <w:tc>
          <w:tcPr>
            <w:tcW w:w="1087" w:type="dxa"/>
          </w:tcPr>
          <w:p w14:paraId="30457540" w14:textId="77777777" w:rsidR="00EF0985" w:rsidRPr="00EF0985" w:rsidRDefault="00EF0985" w:rsidP="003F12E9">
            <w:pPr>
              <w:jc w:val="right"/>
              <w:rPr>
                <w:color w:val="000000"/>
                <w:sz w:val="18"/>
                <w:szCs w:val="18"/>
                <w:lang w:eastAsia="en-CA"/>
              </w:rPr>
            </w:pPr>
            <w:r w:rsidRPr="00EF0985">
              <w:rPr>
                <w:color w:val="000000"/>
                <w:sz w:val="18"/>
                <w:szCs w:val="18"/>
                <w:lang w:eastAsia="en-CA"/>
              </w:rPr>
              <w:t>22.400</w:t>
            </w:r>
          </w:p>
        </w:tc>
        <w:tc>
          <w:tcPr>
            <w:tcW w:w="1087" w:type="dxa"/>
          </w:tcPr>
          <w:p w14:paraId="73AFF7DB" w14:textId="77777777" w:rsidR="00EF0985" w:rsidRPr="00EF0985" w:rsidRDefault="00EF0985" w:rsidP="003F12E9">
            <w:pPr>
              <w:jc w:val="right"/>
              <w:rPr>
                <w:color w:val="000000"/>
                <w:sz w:val="18"/>
                <w:szCs w:val="18"/>
                <w:lang w:eastAsia="en-CA"/>
              </w:rPr>
            </w:pPr>
            <w:r w:rsidRPr="00EF0985">
              <w:rPr>
                <w:color w:val="000000"/>
                <w:sz w:val="18"/>
                <w:szCs w:val="18"/>
                <w:lang w:eastAsia="en-CA"/>
              </w:rPr>
              <w:t>24.850</w:t>
            </w:r>
          </w:p>
        </w:tc>
        <w:tc>
          <w:tcPr>
            <w:tcW w:w="1087" w:type="dxa"/>
          </w:tcPr>
          <w:p w14:paraId="40C48412" w14:textId="77777777" w:rsidR="00EF0985" w:rsidRPr="00EF0985" w:rsidRDefault="00EF0985" w:rsidP="003F12E9">
            <w:pPr>
              <w:jc w:val="right"/>
              <w:rPr>
                <w:color w:val="000000"/>
                <w:sz w:val="18"/>
                <w:szCs w:val="18"/>
                <w:lang w:eastAsia="en-CA"/>
              </w:rPr>
            </w:pPr>
            <w:r w:rsidRPr="00EF0985">
              <w:rPr>
                <w:color w:val="000000"/>
                <w:sz w:val="18"/>
                <w:szCs w:val="18"/>
                <w:lang w:eastAsia="en-CA"/>
              </w:rPr>
              <w:t>0</w:t>
            </w:r>
          </w:p>
        </w:tc>
        <w:tc>
          <w:tcPr>
            <w:tcW w:w="1087" w:type="dxa"/>
          </w:tcPr>
          <w:p w14:paraId="4E0B7596" w14:textId="77777777" w:rsidR="00EF0985" w:rsidRPr="00EF0985" w:rsidRDefault="00EF0985" w:rsidP="003F12E9">
            <w:pPr>
              <w:jc w:val="right"/>
              <w:rPr>
                <w:color w:val="000000"/>
                <w:sz w:val="18"/>
                <w:szCs w:val="18"/>
                <w:lang w:eastAsia="en-CA"/>
              </w:rPr>
            </w:pPr>
            <w:r w:rsidRPr="00EF0985">
              <w:rPr>
                <w:color w:val="000000"/>
                <w:sz w:val="18"/>
                <w:szCs w:val="18"/>
                <w:lang w:eastAsia="en-CA"/>
              </w:rPr>
              <w:t>14.700</w:t>
            </w:r>
          </w:p>
        </w:tc>
        <w:tc>
          <w:tcPr>
            <w:tcW w:w="887" w:type="dxa"/>
          </w:tcPr>
          <w:p w14:paraId="28AAED89" w14:textId="77777777" w:rsidR="00EF0985" w:rsidRPr="00EF0985" w:rsidRDefault="00EF0985" w:rsidP="003F12E9">
            <w:pPr>
              <w:jc w:val="right"/>
              <w:rPr>
                <w:color w:val="000000"/>
                <w:sz w:val="18"/>
                <w:szCs w:val="18"/>
                <w:lang w:eastAsia="en-CA"/>
              </w:rPr>
            </w:pPr>
            <w:r w:rsidRPr="00EF0985">
              <w:rPr>
                <w:color w:val="000000"/>
                <w:sz w:val="18"/>
                <w:szCs w:val="18"/>
                <w:lang w:eastAsia="en-CA"/>
              </w:rPr>
              <w:t>63.700</w:t>
            </w:r>
          </w:p>
        </w:tc>
      </w:tr>
      <w:tr w:rsidR="00EF0985" w:rsidRPr="00EF0985" w14:paraId="1675C6B0" w14:textId="77777777" w:rsidTr="00EF0985">
        <w:trPr>
          <w:trHeight w:val="240"/>
          <w:jc w:val="center"/>
        </w:trPr>
        <w:tc>
          <w:tcPr>
            <w:tcW w:w="551" w:type="dxa"/>
            <w:hideMark/>
          </w:tcPr>
          <w:p w14:paraId="59B8684C" w14:textId="77777777" w:rsidR="00EF0985" w:rsidRPr="00EF0985" w:rsidRDefault="00EF0985" w:rsidP="003F12E9">
            <w:pPr>
              <w:widowControl w:val="0"/>
              <w:rPr>
                <w:sz w:val="18"/>
                <w:szCs w:val="18"/>
                <w:lang w:val="es-ES"/>
              </w:rPr>
            </w:pPr>
            <w:r w:rsidRPr="00EF0985">
              <w:rPr>
                <w:sz w:val="18"/>
                <w:szCs w:val="18"/>
                <w:lang w:val="es-ES"/>
              </w:rPr>
              <w:t>3.1</w:t>
            </w:r>
          </w:p>
        </w:tc>
        <w:tc>
          <w:tcPr>
            <w:tcW w:w="2688" w:type="dxa"/>
          </w:tcPr>
          <w:p w14:paraId="1285FFC2" w14:textId="77777777" w:rsidR="00EF0985" w:rsidRPr="00EF0985" w:rsidRDefault="00EF0985" w:rsidP="003F12E9">
            <w:pPr>
              <w:widowControl w:val="0"/>
              <w:jc w:val="left"/>
              <w:rPr>
                <w:sz w:val="18"/>
                <w:szCs w:val="18"/>
                <w:lang w:val="es-ES"/>
              </w:rPr>
            </w:pPr>
            <w:r w:rsidRPr="00EF0985">
              <w:rPr>
                <w:sz w:val="18"/>
                <w:szCs w:val="18"/>
                <w:lang w:val="es-ES"/>
              </w:rPr>
              <w:t>Financiación total convenida ($EUA)</w:t>
            </w:r>
          </w:p>
        </w:tc>
        <w:tc>
          <w:tcPr>
            <w:tcW w:w="1087" w:type="dxa"/>
          </w:tcPr>
          <w:p w14:paraId="39B16847" w14:textId="77777777" w:rsidR="00EF0985" w:rsidRPr="00EF0985" w:rsidRDefault="00EF0985" w:rsidP="003F12E9">
            <w:pPr>
              <w:jc w:val="right"/>
              <w:rPr>
                <w:color w:val="000000"/>
                <w:sz w:val="18"/>
                <w:szCs w:val="18"/>
                <w:lang w:eastAsia="en-CA"/>
              </w:rPr>
            </w:pPr>
            <w:r w:rsidRPr="00EF0985">
              <w:rPr>
                <w:color w:val="000000"/>
                <w:sz w:val="18"/>
                <w:szCs w:val="18"/>
                <w:lang w:eastAsia="en-CA"/>
              </w:rPr>
              <w:t>360.000</w:t>
            </w:r>
          </w:p>
        </w:tc>
        <w:tc>
          <w:tcPr>
            <w:tcW w:w="1087" w:type="dxa"/>
          </w:tcPr>
          <w:p w14:paraId="65FA4B79" w14:textId="77777777" w:rsidR="00EF0985" w:rsidRPr="00EF0985" w:rsidRDefault="00EF0985" w:rsidP="003F12E9">
            <w:pPr>
              <w:jc w:val="right"/>
              <w:rPr>
                <w:color w:val="000000"/>
                <w:sz w:val="18"/>
                <w:szCs w:val="18"/>
                <w:lang w:eastAsia="en-CA"/>
              </w:rPr>
            </w:pPr>
            <w:r w:rsidRPr="00EF0985">
              <w:rPr>
                <w:color w:val="000000"/>
                <w:sz w:val="18"/>
                <w:szCs w:val="18"/>
                <w:lang w:eastAsia="en-CA"/>
              </w:rPr>
              <w:t>905.000</w:t>
            </w:r>
          </w:p>
        </w:tc>
        <w:tc>
          <w:tcPr>
            <w:tcW w:w="1087" w:type="dxa"/>
          </w:tcPr>
          <w:p w14:paraId="4E2E5F6F" w14:textId="77777777" w:rsidR="00EF0985" w:rsidRPr="00EF0985" w:rsidRDefault="00EF0985" w:rsidP="003F12E9">
            <w:pPr>
              <w:jc w:val="right"/>
              <w:rPr>
                <w:color w:val="000000"/>
                <w:sz w:val="18"/>
                <w:szCs w:val="18"/>
                <w:lang w:eastAsia="en-CA"/>
              </w:rPr>
            </w:pPr>
            <w:r w:rsidRPr="00EF0985">
              <w:rPr>
                <w:color w:val="000000"/>
                <w:sz w:val="18"/>
                <w:szCs w:val="18"/>
                <w:lang w:eastAsia="en-CA"/>
              </w:rPr>
              <w:t>1.010.000</w:t>
            </w:r>
          </w:p>
        </w:tc>
        <w:tc>
          <w:tcPr>
            <w:tcW w:w="1087" w:type="dxa"/>
          </w:tcPr>
          <w:p w14:paraId="6410168A" w14:textId="77777777" w:rsidR="00EF0985" w:rsidRPr="00EF0985" w:rsidRDefault="00EF0985" w:rsidP="003F12E9">
            <w:pPr>
              <w:jc w:val="right"/>
              <w:rPr>
                <w:color w:val="000000"/>
                <w:sz w:val="18"/>
                <w:szCs w:val="18"/>
                <w:lang w:eastAsia="en-CA"/>
              </w:rPr>
            </w:pPr>
            <w:r w:rsidRPr="00EF0985">
              <w:rPr>
                <w:color w:val="000000"/>
                <w:sz w:val="18"/>
                <w:szCs w:val="18"/>
                <w:lang w:eastAsia="en-CA"/>
              </w:rPr>
              <w:t>0</w:t>
            </w:r>
          </w:p>
        </w:tc>
        <w:tc>
          <w:tcPr>
            <w:tcW w:w="1087" w:type="dxa"/>
          </w:tcPr>
          <w:p w14:paraId="583D9794" w14:textId="77777777" w:rsidR="00EF0985" w:rsidRPr="00EF0985" w:rsidRDefault="00EF0985" w:rsidP="003F12E9">
            <w:pPr>
              <w:jc w:val="right"/>
              <w:rPr>
                <w:color w:val="000000"/>
                <w:sz w:val="18"/>
                <w:szCs w:val="18"/>
                <w:lang w:eastAsia="en-CA"/>
              </w:rPr>
            </w:pPr>
            <w:r w:rsidRPr="00EF0985">
              <w:rPr>
                <w:color w:val="000000"/>
                <w:sz w:val="18"/>
                <w:szCs w:val="18"/>
                <w:lang w:eastAsia="en-CA"/>
              </w:rPr>
              <w:t>475.000</w:t>
            </w:r>
          </w:p>
        </w:tc>
        <w:tc>
          <w:tcPr>
            <w:tcW w:w="887" w:type="dxa"/>
          </w:tcPr>
          <w:p w14:paraId="4DECF4BD" w14:textId="77777777" w:rsidR="00EF0985" w:rsidRPr="00EF0985" w:rsidRDefault="00EF0985" w:rsidP="003F12E9">
            <w:pPr>
              <w:jc w:val="right"/>
              <w:rPr>
                <w:color w:val="000000"/>
                <w:sz w:val="18"/>
                <w:szCs w:val="18"/>
                <w:lang w:eastAsia="en-CA"/>
              </w:rPr>
            </w:pPr>
            <w:r w:rsidRPr="00EF0985">
              <w:rPr>
                <w:color w:val="000000"/>
                <w:sz w:val="18"/>
                <w:szCs w:val="18"/>
                <w:lang w:eastAsia="en-CA"/>
              </w:rPr>
              <w:t>2.750.000</w:t>
            </w:r>
          </w:p>
        </w:tc>
      </w:tr>
      <w:tr w:rsidR="00EF0985" w:rsidRPr="00EF0985" w14:paraId="157A60C5" w14:textId="77777777" w:rsidTr="00EF0985">
        <w:trPr>
          <w:trHeight w:val="240"/>
          <w:jc w:val="center"/>
        </w:trPr>
        <w:tc>
          <w:tcPr>
            <w:tcW w:w="551" w:type="dxa"/>
            <w:hideMark/>
          </w:tcPr>
          <w:p w14:paraId="3F54011D" w14:textId="77777777" w:rsidR="00EF0985" w:rsidRPr="00EF0985" w:rsidRDefault="00EF0985" w:rsidP="003F12E9">
            <w:pPr>
              <w:widowControl w:val="0"/>
              <w:rPr>
                <w:sz w:val="18"/>
                <w:szCs w:val="18"/>
                <w:lang w:val="es-ES"/>
              </w:rPr>
            </w:pPr>
            <w:r w:rsidRPr="00EF0985">
              <w:rPr>
                <w:sz w:val="18"/>
                <w:szCs w:val="18"/>
                <w:lang w:val="es-ES"/>
              </w:rPr>
              <w:t>3.2</w:t>
            </w:r>
          </w:p>
        </w:tc>
        <w:tc>
          <w:tcPr>
            <w:tcW w:w="2688" w:type="dxa"/>
          </w:tcPr>
          <w:p w14:paraId="14BB91B3" w14:textId="77777777" w:rsidR="00EF0985" w:rsidRPr="00EF0985" w:rsidRDefault="00EF0985" w:rsidP="003F12E9">
            <w:pPr>
              <w:widowControl w:val="0"/>
              <w:jc w:val="left"/>
              <w:rPr>
                <w:sz w:val="18"/>
                <w:szCs w:val="18"/>
                <w:lang w:val="es-ES"/>
              </w:rPr>
            </w:pPr>
            <w:r w:rsidRPr="00EF0985">
              <w:rPr>
                <w:sz w:val="18"/>
                <w:szCs w:val="18"/>
                <w:lang w:val="es-ES"/>
              </w:rPr>
              <w:t>Total de gastos de apoyo ($EUA)</w:t>
            </w:r>
          </w:p>
        </w:tc>
        <w:tc>
          <w:tcPr>
            <w:tcW w:w="1087" w:type="dxa"/>
          </w:tcPr>
          <w:p w14:paraId="7AD14389" w14:textId="77777777" w:rsidR="00EF0985" w:rsidRPr="00EF0985" w:rsidRDefault="00EF0985" w:rsidP="003F12E9">
            <w:pPr>
              <w:jc w:val="right"/>
              <w:rPr>
                <w:color w:val="000000"/>
                <w:sz w:val="18"/>
                <w:szCs w:val="18"/>
                <w:lang w:eastAsia="en-CA"/>
              </w:rPr>
            </w:pPr>
            <w:r w:rsidRPr="00EF0985">
              <w:rPr>
                <w:color w:val="000000"/>
                <w:sz w:val="18"/>
                <w:szCs w:val="18"/>
                <w:lang w:eastAsia="en-CA"/>
              </w:rPr>
              <w:t>40.421</w:t>
            </w:r>
          </w:p>
        </w:tc>
        <w:tc>
          <w:tcPr>
            <w:tcW w:w="1087" w:type="dxa"/>
          </w:tcPr>
          <w:p w14:paraId="4918D1DC" w14:textId="77777777" w:rsidR="00EF0985" w:rsidRPr="00EF0985" w:rsidRDefault="00EF0985" w:rsidP="003F12E9">
            <w:pPr>
              <w:jc w:val="right"/>
              <w:rPr>
                <w:color w:val="000000"/>
                <w:sz w:val="18"/>
                <w:szCs w:val="18"/>
                <w:lang w:eastAsia="en-CA"/>
              </w:rPr>
            </w:pPr>
            <w:r w:rsidRPr="00EF0985">
              <w:rPr>
                <w:color w:val="000000"/>
                <w:sz w:val="18"/>
                <w:szCs w:val="18"/>
                <w:lang w:eastAsia="en-CA"/>
              </w:rPr>
              <w:t>89.929</w:t>
            </w:r>
          </w:p>
        </w:tc>
        <w:tc>
          <w:tcPr>
            <w:tcW w:w="1087" w:type="dxa"/>
          </w:tcPr>
          <w:p w14:paraId="5837BEC2" w14:textId="77777777" w:rsidR="00EF0985" w:rsidRPr="00EF0985" w:rsidRDefault="00EF0985" w:rsidP="003F12E9">
            <w:pPr>
              <w:jc w:val="right"/>
              <w:rPr>
                <w:color w:val="000000"/>
                <w:sz w:val="18"/>
                <w:szCs w:val="18"/>
                <w:lang w:eastAsia="en-CA"/>
              </w:rPr>
            </w:pPr>
            <w:r w:rsidRPr="00EF0985">
              <w:rPr>
                <w:color w:val="000000"/>
                <w:sz w:val="18"/>
                <w:szCs w:val="18"/>
                <w:lang w:eastAsia="en-CA"/>
              </w:rPr>
              <w:t>100.460</w:t>
            </w:r>
          </w:p>
        </w:tc>
        <w:tc>
          <w:tcPr>
            <w:tcW w:w="1087" w:type="dxa"/>
          </w:tcPr>
          <w:p w14:paraId="6D9E1082" w14:textId="77777777" w:rsidR="00EF0985" w:rsidRPr="00EF0985" w:rsidRDefault="00EF0985" w:rsidP="003F12E9">
            <w:pPr>
              <w:jc w:val="right"/>
              <w:rPr>
                <w:color w:val="000000"/>
                <w:sz w:val="18"/>
                <w:szCs w:val="18"/>
                <w:lang w:eastAsia="en-CA"/>
              </w:rPr>
            </w:pPr>
            <w:r w:rsidRPr="00EF0985">
              <w:rPr>
                <w:color w:val="000000"/>
                <w:sz w:val="18"/>
                <w:szCs w:val="18"/>
                <w:lang w:eastAsia="en-CA"/>
              </w:rPr>
              <w:t>0</w:t>
            </w:r>
          </w:p>
        </w:tc>
        <w:tc>
          <w:tcPr>
            <w:tcW w:w="1087" w:type="dxa"/>
          </w:tcPr>
          <w:p w14:paraId="63EC4AFA" w14:textId="77777777" w:rsidR="00EF0985" w:rsidRPr="00EF0985" w:rsidRDefault="00EF0985" w:rsidP="003F12E9">
            <w:pPr>
              <w:jc w:val="right"/>
              <w:rPr>
                <w:color w:val="000000"/>
                <w:sz w:val="18"/>
                <w:szCs w:val="18"/>
                <w:lang w:eastAsia="en-CA"/>
              </w:rPr>
            </w:pPr>
            <w:r w:rsidRPr="00EF0985">
              <w:rPr>
                <w:color w:val="000000"/>
                <w:sz w:val="18"/>
                <w:szCs w:val="18"/>
                <w:lang w:eastAsia="en-CA"/>
              </w:rPr>
              <w:t>45.290</w:t>
            </w:r>
          </w:p>
        </w:tc>
        <w:tc>
          <w:tcPr>
            <w:tcW w:w="887" w:type="dxa"/>
          </w:tcPr>
          <w:p w14:paraId="7B054D7B" w14:textId="77777777" w:rsidR="00EF0985" w:rsidRPr="00EF0985" w:rsidRDefault="00EF0985" w:rsidP="003F12E9">
            <w:pPr>
              <w:jc w:val="right"/>
              <w:rPr>
                <w:color w:val="000000"/>
                <w:sz w:val="18"/>
                <w:szCs w:val="18"/>
                <w:lang w:eastAsia="en-CA"/>
              </w:rPr>
            </w:pPr>
            <w:r w:rsidRPr="00EF0985">
              <w:rPr>
                <w:color w:val="000000"/>
                <w:sz w:val="18"/>
                <w:szCs w:val="18"/>
                <w:lang w:eastAsia="en-CA"/>
              </w:rPr>
              <w:t>276.100</w:t>
            </w:r>
          </w:p>
        </w:tc>
      </w:tr>
      <w:tr w:rsidR="00EF0985" w:rsidRPr="00EF0985" w14:paraId="7601F559" w14:textId="77777777" w:rsidTr="00EF0985">
        <w:trPr>
          <w:trHeight w:val="240"/>
          <w:jc w:val="center"/>
        </w:trPr>
        <w:tc>
          <w:tcPr>
            <w:tcW w:w="551" w:type="dxa"/>
            <w:hideMark/>
          </w:tcPr>
          <w:p w14:paraId="12DF2D6D" w14:textId="77777777" w:rsidR="00EF0985" w:rsidRPr="00EF0985" w:rsidRDefault="00EF0985" w:rsidP="003F12E9">
            <w:pPr>
              <w:widowControl w:val="0"/>
              <w:rPr>
                <w:sz w:val="18"/>
                <w:szCs w:val="18"/>
                <w:lang w:val="es-ES"/>
              </w:rPr>
            </w:pPr>
            <w:r w:rsidRPr="00EF0985">
              <w:rPr>
                <w:sz w:val="18"/>
                <w:szCs w:val="18"/>
                <w:lang w:val="es-ES"/>
              </w:rPr>
              <w:t>3.3</w:t>
            </w:r>
          </w:p>
        </w:tc>
        <w:tc>
          <w:tcPr>
            <w:tcW w:w="2688" w:type="dxa"/>
          </w:tcPr>
          <w:p w14:paraId="16DE697E" w14:textId="77777777" w:rsidR="00EF0985" w:rsidRPr="00EF0985" w:rsidRDefault="00EF0985" w:rsidP="003F12E9">
            <w:pPr>
              <w:widowControl w:val="0"/>
              <w:jc w:val="left"/>
              <w:rPr>
                <w:sz w:val="18"/>
                <w:szCs w:val="18"/>
                <w:lang w:val="es-ES"/>
              </w:rPr>
            </w:pPr>
            <w:r w:rsidRPr="00EF0985">
              <w:rPr>
                <w:sz w:val="18"/>
                <w:szCs w:val="18"/>
                <w:lang w:val="es-ES"/>
              </w:rPr>
              <w:t>Total de gastos convenidos ($EUA)</w:t>
            </w:r>
          </w:p>
        </w:tc>
        <w:tc>
          <w:tcPr>
            <w:tcW w:w="1087" w:type="dxa"/>
          </w:tcPr>
          <w:p w14:paraId="6D81D7C5" w14:textId="77777777" w:rsidR="00EF0985" w:rsidRPr="00EF0985" w:rsidRDefault="00EF0985" w:rsidP="003F12E9">
            <w:pPr>
              <w:jc w:val="right"/>
              <w:rPr>
                <w:color w:val="000000"/>
                <w:sz w:val="18"/>
                <w:szCs w:val="18"/>
                <w:lang w:eastAsia="en-CA"/>
              </w:rPr>
            </w:pPr>
            <w:r w:rsidRPr="00EF0985">
              <w:rPr>
                <w:color w:val="000000"/>
                <w:sz w:val="18"/>
                <w:szCs w:val="18"/>
                <w:lang w:eastAsia="en-CA"/>
              </w:rPr>
              <w:t>400.421</w:t>
            </w:r>
          </w:p>
        </w:tc>
        <w:tc>
          <w:tcPr>
            <w:tcW w:w="1087" w:type="dxa"/>
          </w:tcPr>
          <w:p w14:paraId="293F87F8" w14:textId="77777777" w:rsidR="00EF0985" w:rsidRPr="00EF0985" w:rsidRDefault="00EF0985" w:rsidP="003F12E9">
            <w:pPr>
              <w:jc w:val="right"/>
              <w:rPr>
                <w:color w:val="000000"/>
                <w:sz w:val="18"/>
                <w:szCs w:val="18"/>
                <w:lang w:eastAsia="en-CA"/>
              </w:rPr>
            </w:pPr>
            <w:r w:rsidRPr="00EF0985">
              <w:rPr>
                <w:color w:val="000000"/>
                <w:sz w:val="18"/>
                <w:szCs w:val="18"/>
                <w:lang w:eastAsia="en-CA"/>
              </w:rPr>
              <w:t>994.929</w:t>
            </w:r>
          </w:p>
        </w:tc>
        <w:tc>
          <w:tcPr>
            <w:tcW w:w="1087" w:type="dxa"/>
          </w:tcPr>
          <w:p w14:paraId="0550020D" w14:textId="77777777" w:rsidR="00EF0985" w:rsidRPr="00EF0985" w:rsidRDefault="00EF0985" w:rsidP="003F12E9">
            <w:pPr>
              <w:jc w:val="right"/>
              <w:rPr>
                <w:color w:val="000000"/>
                <w:sz w:val="18"/>
                <w:szCs w:val="18"/>
                <w:lang w:eastAsia="en-CA"/>
              </w:rPr>
            </w:pPr>
            <w:r w:rsidRPr="00EF0985">
              <w:rPr>
                <w:color w:val="000000"/>
                <w:sz w:val="18"/>
                <w:szCs w:val="18"/>
                <w:lang w:eastAsia="en-CA"/>
              </w:rPr>
              <w:t>1.110.460</w:t>
            </w:r>
          </w:p>
        </w:tc>
        <w:tc>
          <w:tcPr>
            <w:tcW w:w="1087" w:type="dxa"/>
          </w:tcPr>
          <w:p w14:paraId="696B4EBD" w14:textId="77777777" w:rsidR="00EF0985" w:rsidRPr="00EF0985" w:rsidRDefault="00EF0985" w:rsidP="003F12E9">
            <w:pPr>
              <w:jc w:val="right"/>
              <w:rPr>
                <w:color w:val="000000"/>
                <w:sz w:val="18"/>
                <w:szCs w:val="18"/>
                <w:lang w:eastAsia="en-CA"/>
              </w:rPr>
            </w:pPr>
            <w:r w:rsidRPr="00EF0985">
              <w:rPr>
                <w:color w:val="000000"/>
                <w:sz w:val="18"/>
                <w:szCs w:val="18"/>
                <w:lang w:eastAsia="en-CA"/>
              </w:rPr>
              <w:t>0</w:t>
            </w:r>
          </w:p>
        </w:tc>
        <w:tc>
          <w:tcPr>
            <w:tcW w:w="1087" w:type="dxa"/>
          </w:tcPr>
          <w:p w14:paraId="54B89455" w14:textId="77777777" w:rsidR="00EF0985" w:rsidRPr="00EF0985" w:rsidRDefault="00EF0985" w:rsidP="003F12E9">
            <w:pPr>
              <w:jc w:val="right"/>
              <w:rPr>
                <w:color w:val="000000"/>
                <w:sz w:val="18"/>
                <w:szCs w:val="18"/>
                <w:lang w:eastAsia="en-CA"/>
              </w:rPr>
            </w:pPr>
            <w:r w:rsidRPr="00EF0985">
              <w:rPr>
                <w:color w:val="000000"/>
                <w:sz w:val="18"/>
                <w:szCs w:val="18"/>
                <w:lang w:eastAsia="en-CA"/>
              </w:rPr>
              <w:t>520.290</w:t>
            </w:r>
          </w:p>
        </w:tc>
        <w:tc>
          <w:tcPr>
            <w:tcW w:w="887" w:type="dxa"/>
          </w:tcPr>
          <w:p w14:paraId="481F5B64" w14:textId="77777777" w:rsidR="00EF0985" w:rsidRPr="00EF0985" w:rsidRDefault="00EF0985" w:rsidP="003F12E9">
            <w:pPr>
              <w:jc w:val="right"/>
              <w:rPr>
                <w:color w:val="000000"/>
                <w:sz w:val="18"/>
                <w:szCs w:val="18"/>
                <w:lang w:eastAsia="en-CA"/>
              </w:rPr>
            </w:pPr>
            <w:r w:rsidRPr="00EF0985">
              <w:rPr>
                <w:color w:val="000000"/>
                <w:sz w:val="18"/>
                <w:szCs w:val="18"/>
                <w:lang w:eastAsia="en-CA"/>
              </w:rPr>
              <w:t>3.026.100</w:t>
            </w:r>
          </w:p>
        </w:tc>
      </w:tr>
      <w:tr w:rsidR="00EF0985" w:rsidRPr="00EF0985" w14:paraId="72373F49" w14:textId="77777777" w:rsidTr="00EF0985">
        <w:trPr>
          <w:trHeight w:val="134"/>
          <w:jc w:val="center"/>
        </w:trPr>
        <w:tc>
          <w:tcPr>
            <w:tcW w:w="551" w:type="dxa"/>
          </w:tcPr>
          <w:p w14:paraId="442E585C" w14:textId="77777777" w:rsidR="00EF0985" w:rsidRPr="00EF0985" w:rsidRDefault="00EF0985" w:rsidP="003F12E9">
            <w:pPr>
              <w:jc w:val="left"/>
              <w:rPr>
                <w:color w:val="000000"/>
                <w:sz w:val="18"/>
                <w:szCs w:val="18"/>
              </w:rPr>
            </w:pPr>
            <w:r w:rsidRPr="00EF0985">
              <w:rPr>
                <w:color w:val="000000"/>
                <w:sz w:val="18"/>
                <w:szCs w:val="18"/>
              </w:rPr>
              <w:t>4.1.1</w:t>
            </w:r>
          </w:p>
        </w:tc>
        <w:tc>
          <w:tcPr>
            <w:tcW w:w="8123" w:type="dxa"/>
            <w:gridSpan w:val="6"/>
          </w:tcPr>
          <w:p w14:paraId="4100932B" w14:textId="77777777" w:rsidR="00EF0985" w:rsidRPr="00EF0985" w:rsidRDefault="00EF0985" w:rsidP="003F12E9">
            <w:pPr>
              <w:keepNext/>
              <w:keepLines/>
              <w:pageBreakBefore/>
              <w:jc w:val="left"/>
              <w:rPr>
                <w:color w:val="000000"/>
                <w:sz w:val="18"/>
                <w:szCs w:val="18"/>
                <w:lang w:val="es-AR"/>
              </w:rPr>
            </w:pPr>
            <w:r w:rsidRPr="00EF0985">
              <w:rPr>
                <w:sz w:val="18"/>
                <w:szCs w:val="18"/>
                <w:lang w:val="es-AR"/>
              </w:rPr>
              <w:t xml:space="preserve">Total convenido de eliminación de </w:t>
            </w:r>
            <w:r w:rsidRPr="00EF0985">
              <w:rPr>
                <w:color w:val="000000"/>
                <w:sz w:val="18"/>
                <w:szCs w:val="18"/>
                <w:lang w:val="es-AR" w:eastAsia="en-CA"/>
              </w:rPr>
              <w:t>HCFC-22</w:t>
            </w:r>
            <w:r w:rsidRPr="00EF0985">
              <w:rPr>
                <w:sz w:val="18"/>
                <w:szCs w:val="18"/>
                <w:lang w:val="es-AR"/>
              </w:rPr>
              <w:t xml:space="preserve"> por lograr, conforme a este Acuerdo (toneladas PAO)</w:t>
            </w:r>
          </w:p>
        </w:tc>
        <w:tc>
          <w:tcPr>
            <w:tcW w:w="887" w:type="dxa"/>
          </w:tcPr>
          <w:p w14:paraId="4E1AB8FA" w14:textId="77777777" w:rsidR="00EF0985" w:rsidRPr="00EF0985" w:rsidRDefault="00EF0985" w:rsidP="003F12E9">
            <w:pPr>
              <w:jc w:val="right"/>
              <w:rPr>
                <w:color w:val="000000"/>
                <w:sz w:val="18"/>
                <w:szCs w:val="18"/>
                <w:lang w:val="es-ES"/>
              </w:rPr>
            </w:pPr>
            <w:r w:rsidRPr="00EF0985">
              <w:rPr>
                <w:color w:val="000000"/>
                <w:sz w:val="18"/>
                <w:szCs w:val="18"/>
                <w:lang w:val="es-ES"/>
              </w:rPr>
              <w:t>32.79</w:t>
            </w:r>
          </w:p>
        </w:tc>
      </w:tr>
      <w:tr w:rsidR="00EF0985" w:rsidRPr="00EF0985" w14:paraId="24169142" w14:textId="77777777" w:rsidTr="00EF0985">
        <w:trPr>
          <w:trHeight w:val="152"/>
          <w:jc w:val="center"/>
        </w:trPr>
        <w:tc>
          <w:tcPr>
            <w:tcW w:w="551" w:type="dxa"/>
          </w:tcPr>
          <w:p w14:paraId="4C83C602" w14:textId="77777777" w:rsidR="00EF0985" w:rsidRPr="00EF0985" w:rsidRDefault="00EF0985" w:rsidP="003F12E9">
            <w:pPr>
              <w:jc w:val="left"/>
              <w:rPr>
                <w:color w:val="000000"/>
                <w:sz w:val="18"/>
                <w:szCs w:val="18"/>
              </w:rPr>
            </w:pPr>
            <w:r w:rsidRPr="00EF0985">
              <w:rPr>
                <w:color w:val="000000"/>
                <w:sz w:val="18"/>
                <w:szCs w:val="18"/>
              </w:rPr>
              <w:t>4.1.2</w:t>
            </w:r>
          </w:p>
        </w:tc>
        <w:tc>
          <w:tcPr>
            <w:tcW w:w="8123" w:type="dxa"/>
            <w:gridSpan w:val="6"/>
          </w:tcPr>
          <w:p w14:paraId="7650298B" w14:textId="77777777" w:rsidR="00EF0985" w:rsidRPr="00EF0985" w:rsidRDefault="00EF0985" w:rsidP="003F12E9">
            <w:pPr>
              <w:keepNext/>
              <w:keepLines/>
              <w:jc w:val="left"/>
              <w:rPr>
                <w:color w:val="000000"/>
                <w:sz w:val="18"/>
                <w:szCs w:val="18"/>
                <w:lang w:val="es-AR"/>
              </w:rPr>
            </w:pPr>
            <w:r w:rsidRPr="00EF0985">
              <w:rPr>
                <w:color w:val="000000"/>
                <w:sz w:val="18"/>
                <w:szCs w:val="18"/>
                <w:lang w:val="es-AR"/>
              </w:rPr>
              <w:t xml:space="preserve">Eliminación de </w:t>
            </w:r>
            <w:r w:rsidRPr="00EF0985">
              <w:rPr>
                <w:color w:val="000000"/>
                <w:sz w:val="18"/>
                <w:szCs w:val="18"/>
                <w:lang w:val="es-AR" w:eastAsia="en-CA"/>
              </w:rPr>
              <w:t xml:space="preserve">HCFC-22 </w:t>
            </w:r>
            <w:r w:rsidRPr="00EF0985">
              <w:rPr>
                <w:color w:val="000000"/>
                <w:sz w:val="18"/>
                <w:szCs w:val="18"/>
                <w:lang w:val="es-AR"/>
              </w:rPr>
              <w:t>por lograr en la etapa previa</w:t>
            </w:r>
            <w:r w:rsidRPr="00EF0985">
              <w:rPr>
                <w:color w:val="000000"/>
                <w:sz w:val="18"/>
                <w:szCs w:val="18"/>
                <w:lang w:val="es-AR" w:eastAsia="en-CA"/>
              </w:rPr>
              <w:t xml:space="preserve"> (toneladas PAO)</w:t>
            </w:r>
          </w:p>
        </w:tc>
        <w:tc>
          <w:tcPr>
            <w:tcW w:w="887" w:type="dxa"/>
          </w:tcPr>
          <w:p w14:paraId="7C56AC22" w14:textId="77777777" w:rsidR="00EF0985" w:rsidRPr="00EF0985" w:rsidRDefault="00EF0985" w:rsidP="003F12E9">
            <w:pPr>
              <w:jc w:val="right"/>
              <w:rPr>
                <w:color w:val="000000"/>
                <w:sz w:val="18"/>
                <w:szCs w:val="18"/>
                <w:lang w:val="es-ES"/>
              </w:rPr>
            </w:pPr>
            <w:r w:rsidRPr="00EF0985">
              <w:rPr>
                <w:color w:val="000000"/>
                <w:sz w:val="18"/>
                <w:szCs w:val="18"/>
                <w:lang w:val="es-ES"/>
              </w:rPr>
              <w:t>**41.99</w:t>
            </w:r>
          </w:p>
        </w:tc>
      </w:tr>
      <w:tr w:rsidR="00EF0985" w:rsidRPr="00EF0985" w14:paraId="34F004AC" w14:textId="77777777" w:rsidTr="00EF0985">
        <w:trPr>
          <w:trHeight w:val="116"/>
          <w:jc w:val="center"/>
        </w:trPr>
        <w:tc>
          <w:tcPr>
            <w:tcW w:w="551" w:type="dxa"/>
          </w:tcPr>
          <w:p w14:paraId="10CF6307" w14:textId="77777777" w:rsidR="00EF0985" w:rsidRPr="00EF0985" w:rsidRDefault="00EF0985" w:rsidP="003F12E9">
            <w:pPr>
              <w:jc w:val="left"/>
              <w:rPr>
                <w:color w:val="000000"/>
                <w:sz w:val="18"/>
                <w:szCs w:val="18"/>
              </w:rPr>
            </w:pPr>
            <w:r w:rsidRPr="00EF0985">
              <w:rPr>
                <w:color w:val="000000"/>
                <w:sz w:val="18"/>
                <w:szCs w:val="18"/>
              </w:rPr>
              <w:t>4.1.3</w:t>
            </w:r>
          </w:p>
        </w:tc>
        <w:tc>
          <w:tcPr>
            <w:tcW w:w="8123" w:type="dxa"/>
            <w:gridSpan w:val="6"/>
          </w:tcPr>
          <w:p w14:paraId="7F16B30B" w14:textId="77777777" w:rsidR="00EF0985" w:rsidRPr="00EF0985" w:rsidRDefault="00EF0985" w:rsidP="003F12E9">
            <w:pPr>
              <w:keepNext/>
              <w:keepLines/>
              <w:jc w:val="left"/>
              <w:rPr>
                <w:color w:val="000000"/>
                <w:sz w:val="18"/>
                <w:szCs w:val="18"/>
                <w:lang w:val="es-AR"/>
              </w:rPr>
            </w:pPr>
            <w:r w:rsidRPr="00EF0985">
              <w:rPr>
                <w:sz w:val="18"/>
                <w:szCs w:val="18"/>
                <w:lang w:val="es-ES"/>
              </w:rPr>
              <w:t xml:space="preserve">Consumo admisible remanente de </w:t>
            </w:r>
            <w:r w:rsidRPr="00EF0985">
              <w:rPr>
                <w:color w:val="000000"/>
                <w:sz w:val="18"/>
                <w:szCs w:val="18"/>
                <w:lang w:val="es-AR" w:eastAsia="en-CA"/>
              </w:rPr>
              <w:t xml:space="preserve">HCFC-22 </w:t>
            </w:r>
            <w:r w:rsidRPr="00EF0985">
              <w:rPr>
                <w:color w:val="000000"/>
                <w:sz w:val="18"/>
                <w:szCs w:val="18"/>
                <w:lang w:val="es-AR"/>
              </w:rPr>
              <w:t>(toneladas PAO)</w:t>
            </w:r>
          </w:p>
        </w:tc>
        <w:tc>
          <w:tcPr>
            <w:tcW w:w="887" w:type="dxa"/>
          </w:tcPr>
          <w:p w14:paraId="24DFB358" w14:textId="77777777" w:rsidR="00EF0985" w:rsidRPr="00EF0985" w:rsidRDefault="00EF0985" w:rsidP="003F12E9">
            <w:pPr>
              <w:jc w:val="right"/>
              <w:rPr>
                <w:color w:val="000000"/>
                <w:sz w:val="18"/>
                <w:szCs w:val="18"/>
                <w:lang w:val="es-ES"/>
              </w:rPr>
            </w:pPr>
            <w:r w:rsidRPr="00EF0985">
              <w:rPr>
                <w:color w:val="000000"/>
                <w:sz w:val="18"/>
                <w:szCs w:val="18"/>
                <w:lang w:val="es-ES"/>
              </w:rPr>
              <w:t>33.60</w:t>
            </w:r>
          </w:p>
        </w:tc>
      </w:tr>
    </w:tbl>
    <w:p w14:paraId="76EFFBD2" w14:textId="77777777" w:rsidR="00EF0985" w:rsidRDefault="00EF0985" w:rsidP="00EF0985">
      <w:pPr>
        <w:pStyle w:val="0Heading0"/>
        <w:rPr>
          <w:sz w:val="16"/>
          <w:szCs w:val="16"/>
          <w:lang w:val="es-AR"/>
        </w:rPr>
      </w:pPr>
      <w:r w:rsidRPr="007C545F">
        <w:rPr>
          <w:sz w:val="16"/>
          <w:szCs w:val="16"/>
          <w:lang w:val="es-AR"/>
        </w:rPr>
        <w:t>*Fecha de terminación de la etapa I, conforme al Acuerdo sobre la etapa I: 31 diciembre 2021</w:t>
      </w:r>
    </w:p>
    <w:p w14:paraId="6F9C901C" w14:textId="77777777" w:rsidR="00EF0985" w:rsidRPr="00722428" w:rsidRDefault="00EF0985" w:rsidP="00EF0985">
      <w:pPr>
        <w:pStyle w:val="0Heading0"/>
        <w:rPr>
          <w:sz w:val="18"/>
          <w:szCs w:val="18"/>
          <w:lang w:val="es-AR"/>
        </w:rPr>
      </w:pPr>
      <w:r w:rsidRPr="00EF0985">
        <w:rPr>
          <w:sz w:val="18"/>
          <w:szCs w:val="18"/>
          <w:lang w:val="es-AR"/>
        </w:rPr>
        <w:t>**Incluye 14,98 toneladas PAO financiadas en la etapa I y 27,01 toneladas PAO eliminadas por el Gobierno de Iraq sin la asistencia del Fondo Multilateral.</w:t>
      </w:r>
    </w:p>
    <w:p w14:paraId="645186DE" w14:textId="77777777" w:rsidR="00EF0985" w:rsidRPr="00722428" w:rsidRDefault="00EF0985" w:rsidP="00EF0985">
      <w:pPr>
        <w:jc w:val="left"/>
        <w:rPr>
          <w:b/>
          <w:bCs/>
          <w:lang w:val="es-AR"/>
        </w:rPr>
      </w:pPr>
    </w:p>
    <w:p w14:paraId="26AFE6DD" w14:textId="77777777" w:rsidR="00EF0985" w:rsidRDefault="00EF0985" w:rsidP="00EF0985">
      <w:pPr>
        <w:widowControl w:val="0"/>
        <w:rPr>
          <w:b/>
          <w:lang w:val="es-ES"/>
        </w:rPr>
      </w:pPr>
      <w:r>
        <w:rPr>
          <w:b/>
          <w:bCs/>
          <w:lang w:val="es-ES"/>
        </w:rPr>
        <w:t>APÉNDICE 3-A: CALENDARIO DE APROBACIÓN DE LA FINANCIACIÓN</w:t>
      </w:r>
    </w:p>
    <w:p w14:paraId="45387B8F" w14:textId="77777777" w:rsidR="00EF0985" w:rsidRDefault="00EF0985" w:rsidP="00EF0985">
      <w:pPr>
        <w:widowControl w:val="0"/>
        <w:rPr>
          <w:lang w:val="es-ES"/>
        </w:rPr>
      </w:pPr>
    </w:p>
    <w:p w14:paraId="22E8FD89" w14:textId="77777777" w:rsidR="00EF0985" w:rsidRPr="00EF0985" w:rsidRDefault="00EF0985" w:rsidP="00EF0985">
      <w:pPr>
        <w:pStyle w:val="Heading1"/>
        <w:widowControl w:val="0"/>
        <w:numPr>
          <w:ilvl w:val="0"/>
          <w:numId w:val="42"/>
        </w:numPr>
        <w:rPr>
          <w:lang w:val="es-ES"/>
        </w:rPr>
      </w:pPr>
      <w:r w:rsidRPr="00EF0985">
        <w:rPr>
          <w:lang w:val="es-ES"/>
        </w:rPr>
        <w:t xml:space="preserve">La financiación para los tramos futuros se considerará para aprobación en la </w:t>
      </w:r>
      <w:r w:rsidRPr="00EF0985">
        <w:rPr>
          <w:lang w:val="es-AR"/>
        </w:rPr>
        <w:t xml:space="preserve">segunda </w:t>
      </w:r>
      <w:r w:rsidRPr="00EF0985">
        <w:rPr>
          <w:lang w:val="es-ES"/>
        </w:rPr>
        <w:t>reunión del año especificado en el Apéndice 2</w:t>
      </w:r>
      <w:r w:rsidRPr="00EF0985">
        <w:rPr>
          <w:lang w:val="es-ES"/>
        </w:rPr>
        <w:noBreakHyphen/>
        <w:t>A.</w:t>
      </w:r>
    </w:p>
    <w:p w14:paraId="5F53296A" w14:textId="77777777" w:rsidR="00EF0985" w:rsidRDefault="00EF0985" w:rsidP="00EF0985">
      <w:pPr>
        <w:widowControl w:val="0"/>
        <w:rPr>
          <w:b/>
          <w:lang w:val="es-ES"/>
        </w:rPr>
      </w:pPr>
      <w:r>
        <w:rPr>
          <w:b/>
          <w:bCs/>
          <w:lang w:val="es-ES"/>
        </w:rPr>
        <w:t>APÉNDICE 4-A: FORMATO DE LOS INFORMES Y PLANES DE EJECUCIÓN DE TRAMOS</w:t>
      </w:r>
    </w:p>
    <w:p w14:paraId="1468ADA3" w14:textId="77777777" w:rsidR="00EF0985" w:rsidRDefault="00EF0985" w:rsidP="00EF0985">
      <w:pPr>
        <w:widowControl w:val="0"/>
        <w:rPr>
          <w:lang w:val="es-ES"/>
        </w:rPr>
      </w:pPr>
    </w:p>
    <w:p w14:paraId="0EDA0FCC" w14:textId="77777777" w:rsidR="00EF0985" w:rsidRPr="00EF0985" w:rsidRDefault="00EF0985" w:rsidP="00EF0985">
      <w:pPr>
        <w:pStyle w:val="Heading1"/>
        <w:widowControl w:val="0"/>
        <w:numPr>
          <w:ilvl w:val="0"/>
          <w:numId w:val="43"/>
        </w:numPr>
        <w:rPr>
          <w:lang w:val="es-ES"/>
        </w:rPr>
      </w:pPr>
      <w:r w:rsidRPr="00EF0985">
        <w:rPr>
          <w:lang w:val="es-ES"/>
        </w:rPr>
        <w:t>La presentación del Informe de Ejecución de Tramos y de los Planes para cada tramo solicitado constará de cinco partes:</w:t>
      </w:r>
    </w:p>
    <w:p w14:paraId="5E9CC6D2" w14:textId="77777777" w:rsidR="00EF0985" w:rsidRDefault="00EF0985" w:rsidP="00EF0985">
      <w:pPr>
        <w:widowControl w:val="0"/>
        <w:numPr>
          <w:ilvl w:val="1"/>
          <w:numId w:val="1"/>
        </w:numPr>
        <w:spacing w:after="240"/>
        <w:outlineLvl w:val="1"/>
        <w:rPr>
          <w:lang w:val="es-ES"/>
        </w:rPr>
      </w:pPr>
      <w:r>
        <w:rPr>
          <w:lang w:val="es-ES"/>
        </w:rPr>
        <w:lastRenderedPageBreak/>
        <w:t xml:space="preserve">Un informe descriptivo, que proporcione datos por tramo, que describa el progreso logrado desde el informe anterior, que refleje la situación del País respecto a la eliminación de las Sustancias, cómo las diferentes actividades contribuyen a la misma y cómo se relacionan entre sí.  El informe debería incluir la cantidad de SAO eliminadas como resultado directo de la ejecución de las actividades, por sustancia, y la tecnología de alternativa utilizada y la incorporación gradual de dichas alternativas, a fin de que la Secretaría pueda proporcionar al Comité Ejecutivo información acerca del cambio resultante en las emisiones que afectan al clima. El informe debería además destacar los logros, experiencias y problemas relacionados con las diferentes actividades incluidas en el Plan, reflejando los cambios que pudiera haber en las circunstancias del País, y proporcionar toda otra información pertinente. El informe también debería incluir información y una justificación de los cambios respecto al Plan o a los Planes de Ejecución de Tramos presentado(s) anteriormente, tales como demoras, uso de la flexibilidad para reasignar fondos durante la ejecución de un tramo, como se estipula en el párrafo 7 de este Acuerdo, u otros cambios; </w:t>
      </w:r>
    </w:p>
    <w:p w14:paraId="3F844B98" w14:textId="77777777" w:rsidR="00EF0985" w:rsidRDefault="00EF0985" w:rsidP="00EF0985">
      <w:pPr>
        <w:widowControl w:val="0"/>
        <w:numPr>
          <w:ilvl w:val="1"/>
          <w:numId w:val="1"/>
        </w:numPr>
        <w:spacing w:after="240"/>
        <w:outlineLvl w:val="1"/>
        <w:rPr>
          <w:lang w:val="es-ES"/>
        </w:rPr>
      </w:pPr>
      <w:r>
        <w:rPr>
          <w:lang w:val="es-ES"/>
        </w:rPr>
        <w:t>Un informe de verificación independiente de los resultados y el consumo de las Sustancias conforme al inciso 5 b) del Acuerdo. Excepto que el Comité Ejecutivo decida otra cosa, dicha verificación se deberá suministrar junto con cada solicitud de tramo y deberá abarcar el consumo para todos los años pertinentes tal como se especifica en el inciso 5 a) del Acuerdo para los que el Comité Ejecutivo no haya recibido aún un informe de verificación;</w:t>
      </w:r>
    </w:p>
    <w:p w14:paraId="5154CFDF" w14:textId="77777777" w:rsidR="00EF0985" w:rsidRDefault="00EF0985" w:rsidP="00EF0985">
      <w:pPr>
        <w:widowControl w:val="0"/>
        <w:numPr>
          <w:ilvl w:val="1"/>
          <w:numId w:val="1"/>
        </w:numPr>
        <w:spacing w:after="240"/>
        <w:outlineLvl w:val="1"/>
        <w:rPr>
          <w:lang w:val="es-ES"/>
        </w:rPr>
      </w:pPr>
      <w:r>
        <w:rPr>
          <w:lang w:val="es-ES"/>
        </w:rPr>
        <w:t xml:space="preserve">Una descripción por escrito de las actividades por llevar a cabo durante el período abarcado por el tramo solicitado destacando los hitos de ejecución, la fecha de terminación y la interdependencia de las actividades, y tomando en cuenta la experiencia adquirida y el progreso logrado en la ejecución de los tramos anteriores; los datos del plan se proporcionarán por año civil. La descripción debería incluir asimismo una referencia al Plan general y los progresos logrados, así como a los posibles cambios al Plan general que se prevén. </w:t>
      </w:r>
      <w:proofErr w:type="gramStart"/>
      <w:r>
        <w:rPr>
          <w:lang w:val="es-ES"/>
        </w:rPr>
        <w:t>Igualmente</w:t>
      </w:r>
      <w:proofErr w:type="gramEnd"/>
      <w:r>
        <w:rPr>
          <w:lang w:val="es-ES"/>
        </w:rPr>
        <w:t xml:space="preserve"> la descripción debería especificar y explicar en detalle tales cambios al Plan general. La descripción de las actividades futuras se puede presentar como parte del mismo documento donde figure el informe descriptivo previsto en el inciso b) </w:t>
      </w:r>
      <w:r>
        <w:rPr>
          <w:i/>
          <w:iCs/>
          <w:lang w:val="es-ES"/>
        </w:rPr>
        <w:t>supra</w:t>
      </w:r>
      <w:r>
        <w:rPr>
          <w:lang w:val="es-ES"/>
        </w:rPr>
        <w:t xml:space="preserve">; </w:t>
      </w:r>
    </w:p>
    <w:p w14:paraId="3DB78D0E" w14:textId="77777777" w:rsidR="00EF0985" w:rsidRDefault="00EF0985" w:rsidP="00EF0985">
      <w:pPr>
        <w:widowControl w:val="0"/>
        <w:numPr>
          <w:ilvl w:val="1"/>
          <w:numId w:val="1"/>
        </w:numPr>
        <w:spacing w:after="240"/>
        <w:outlineLvl w:val="1"/>
        <w:rPr>
          <w:lang w:val="es-ES"/>
        </w:rPr>
      </w:pPr>
      <w:r>
        <w:rPr>
          <w:lang w:val="es-ES"/>
        </w:rPr>
        <w:t>Un conjunto de información cuantitativa para todos los Informes y Planes de Ejecución de Tramos, presentada a través de una base de datos en Internet; y</w:t>
      </w:r>
    </w:p>
    <w:p w14:paraId="45AB3345" w14:textId="77777777" w:rsidR="00EF0985" w:rsidRDefault="00EF0985" w:rsidP="00EF0985">
      <w:pPr>
        <w:widowControl w:val="0"/>
        <w:numPr>
          <w:ilvl w:val="1"/>
          <w:numId w:val="1"/>
        </w:numPr>
        <w:spacing w:after="240"/>
        <w:outlineLvl w:val="1"/>
        <w:rPr>
          <w:lang w:val="es-ES"/>
        </w:rPr>
      </w:pPr>
      <w:r>
        <w:rPr>
          <w:lang w:val="es-ES"/>
        </w:rPr>
        <w:t xml:space="preserve">Un Resumen Ejecutivo de unos cinco párrafos con una síntesis de la información estipulada en los incisos 1 a) a 1 d) </w:t>
      </w:r>
      <w:r>
        <w:rPr>
          <w:i/>
          <w:iCs/>
          <w:lang w:val="es-ES"/>
        </w:rPr>
        <w:t>supra</w:t>
      </w:r>
      <w:r>
        <w:rPr>
          <w:lang w:val="es-ES"/>
        </w:rPr>
        <w:t xml:space="preserve">. </w:t>
      </w:r>
    </w:p>
    <w:p w14:paraId="53DAA818" w14:textId="77777777" w:rsidR="00EF0985" w:rsidRDefault="00EF0985" w:rsidP="00EF0985">
      <w:pPr>
        <w:numPr>
          <w:ilvl w:val="0"/>
          <w:numId w:val="1"/>
        </w:numPr>
        <w:spacing w:after="240"/>
        <w:outlineLvl w:val="0"/>
        <w:rPr>
          <w:lang w:val="es-ES"/>
        </w:rPr>
      </w:pPr>
      <w:r>
        <w:rPr>
          <w:lang w:val="es-ES"/>
        </w:rPr>
        <w:t>En el caso en que en un año en particular se ejecute de forma paralela dos etapas del plan de gestión de eliminación de los HCFC, deberían tenerse en cuenta las siguientes consideraciones al elaborar los Informes y Planes de Ejecución de Tramos:</w:t>
      </w:r>
    </w:p>
    <w:p w14:paraId="066F8C3F" w14:textId="77777777" w:rsidR="00EF0985" w:rsidRDefault="00EF0985" w:rsidP="00EF0985">
      <w:pPr>
        <w:widowControl w:val="0"/>
        <w:numPr>
          <w:ilvl w:val="1"/>
          <w:numId w:val="1"/>
        </w:numPr>
        <w:spacing w:after="240"/>
        <w:outlineLvl w:val="1"/>
        <w:rPr>
          <w:lang w:val="es-ES"/>
        </w:rPr>
      </w:pPr>
      <w:r>
        <w:rPr>
          <w:lang w:val="es-ES"/>
        </w:rPr>
        <w:t>Los Informes y Planes de Ejecución de Tramos a los que se haga referencia como parte de este Acuerdo harán referencia exclusivamente a las actividades y fondos cubiertos por este Acuerdo; y</w:t>
      </w:r>
    </w:p>
    <w:p w14:paraId="0063F31B" w14:textId="77777777" w:rsidR="00EF0985" w:rsidRDefault="00EF0985" w:rsidP="00EF0985">
      <w:pPr>
        <w:widowControl w:val="0"/>
        <w:numPr>
          <w:ilvl w:val="1"/>
          <w:numId w:val="1"/>
        </w:numPr>
        <w:spacing w:after="240"/>
        <w:outlineLvl w:val="1"/>
        <w:rPr>
          <w:lang w:val="es-ES"/>
        </w:rPr>
      </w:pPr>
      <w:r>
        <w:rPr>
          <w:lang w:val="es-ES"/>
        </w:rPr>
        <w:t>Si las etapas en curso de ejecución tuvieran diferentes objetivos de eliminación de consumo de HCFC bajo el Apéndice 2-A de cada Acuerdo en un año en particular, el objetivo de consumo más bajo se utilizará como referencia para los fines del cumplimiento de esos Acuerdos y servirá de base para la verificación independiente.</w:t>
      </w:r>
    </w:p>
    <w:p w14:paraId="1571F85A" w14:textId="77777777" w:rsidR="00EF0985" w:rsidRDefault="00EF0985" w:rsidP="00EF0985">
      <w:pPr>
        <w:rPr>
          <w:lang w:val="es-ES"/>
        </w:rPr>
      </w:pPr>
    </w:p>
    <w:p w14:paraId="67F12FD3" w14:textId="77777777" w:rsidR="001B79A2" w:rsidRDefault="001B79A2">
      <w:pPr>
        <w:jc w:val="left"/>
        <w:rPr>
          <w:b/>
          <w:bCs/>
          <w:lang w:val="es-ES"/>
        </w:rPr>
      </w:pPr>
      <w:r>
        <w:rPr>
          <w:b/>
          <w:bCs/>
          <w:lang w:val="es-ES"/>
        </w:rPr>
        <w:br w:type="page"/>
      </w:r>
    </w:p>
    <w:p w14:paraId="5051483F" w14:textId="335F3E99" w:rsidR="00EF0985" w:rsidRDefault="00EF0985" w:rsidP="00EF0985">
      <w:pPr>
        <w:rPr>
          <w:b/>
          <w:lang w:val="es-ES"/>
        </w:rPr>
      </w:pPr>
      <w:r>
        <w:rPr>
          <w:b/>
          <w:bCs/>
          <w:lang w:val="es-ES"/>
        </w:rPr>
        <w:lastRenderedPageBreak/>
        <w:t xml:space="preserve">APÉNDICE 5-A: INSTITUCIONES DE SUPERVISIÓN Y FUNCIONES </w:t>
      </w:r>
    </w:p>
    <w:p w14:paraId="594D7FE5" w14:textId="77777777" w:rsidR="00EF0985" w:rsidRDefault="00EF0985" w:rsidP="00EF0985">
      <w:pPr>
        <w:rPr>
          <w:lang w:val="es-ES"/>
        </w:rPr>
      </w:pPr>
    </w:p>
    <w:p w14:paraId="0D304C89" w14:textId="77777777" w:rsidR="00EF0985" w:rsidRPr="00EF0985" w:rsidRDefault="00EF0985" w:rsidP="00EF0985">
      <w:pPr>
        <w:pStyle w:val="Heading1"/>
        <w:widowControl w:val="0"/>
        <w:numPr>
          <w:ilvl w:val="0"/>
          <w:numId w:val="40"/>
        </w:numPr>
        <w:rPr>
          <w:lang w:val="es-ES"/>
        </w:rPr>
      </w:pPr>
      <w:r w:rsidRPr="00EF0985">
        <w:rPr>
          <w:lang w:val="es-ES"/>
        </w:rPr>
        <w:t>El Centro Nacional del Ozono es una parte integral del Ministerio de Salud y Medio Ambiente, bajo la responsabilidad directa del viceministro de Asuntos Ambientales, que tendrá la responsabilidad de ejecutar, coordinar, supervisar e informar sobre la marcha de las actividades del PGEH, lo que incluye desarrollar políticas, llevar a cabo programas de capacitación, proporcionar asistencia técnica y organizar actividades de concienciación.</w:t>
      </w:r>
    </w:p>
    <w:p w14:paraId="10F4DD2B" w14:textId="77777777" w:rsidR="00EF0985" w:rsidRPr="00EF0985" w:rsidRDefault="00EF0985" w:rsidP="00EF0985">
      <w:pPr>
        <w:pStyle w:val="Heading1"/>
        <w:numPr>
          <w:ilvl w:val="0"/>
          <w:numId w:val="23"/>
        </w:numPr>
        <w:rPr>
          <w:lang w:val="es-ES"/>
        </w:rPr>
      </w:pPr>
      <w:r w:rsidRPr="00EF0985">
        <w:rPr>
          <w:lang w:val="es-ES"/>
        </w:rPr>
        <w:t xml:space="preserve">Teniendo en cuenta la experiencia adquirida y las lecciones aprendidas durante la ejecución de la etapa I, así como la compleja naturaleza del PGEH en el contexto de Iraq, que requiere apoyo interdepartamental, un seguimiento estrecho y continua supervisión de las actividades, así como una amplia concienciación y el soporte de la sociedad civil, la coordinación y la gestión del Plan contarán con el apoyo de un comité interdepartamental y multidisciplinario. </w:t>
      </w:r>
    </w:p>
    <w:p w14:paraId="1CD57358" w14:textId="77777777" w:rsidR="00EF0985" w:rsidRPr="00EF0985" w:rsidRDefault="00EF0985" w:rsidP="00EF0985">
      <w:pPr>
        <w:pStyle w:val="Heading1"/>
        <w:numPr>
          <w:ilvl w:val="0"/>
          <w:numId w:val="23"/>
        </w:numPr>
        <w:rPr>
          <w:lang w:val="es-ES"/>
        </w:rPr>
      </w:pPr>
      <w:r w:rsidRPr="00EF0985">
        <w:rPr>
          <w:lang w:val="es-ES"/>
        </w:rPr>
        <w:t xml:space="preserve">Bajo la supervisión directa del Centro Nacional del Ozono, se creará una dependencia de gestión de proyectos (DGP) a fin de proporcionar asistencia al Centro Nacional del Ozono y al verificador independiente en el proceso de verificación (p. ej. reuniones con los grupos de interés pertinentes, coordinación de la recogida de datos e información sobre los hallazgos de los exámenes). </w:t>
      </w:r>
    </w:p>
    <w:p w14:paraId="43B6BDB3" w14:textId="77777777" w:rsidR="00EF0985" w:rsidRPr="00EF0985" w:rsidRDefault="00EF0985" w:rsidP="00EF0985">
      <w:pPr>
        <w:pStyle w:val="Heading1"/>
        <w:numPr>
          <w:ilvl w:val="0"/>
          <w:numId w:val="23"/>
        </w:numPr>
        <w:rPr>
          <w:lang w:val="es-ES"/>
        </w:rPr>
      </w:pPr>
      <w:r w:rsidRPr="00EF0985">
        <w:rPr>
          <w:lang w:val="es-ES"/>
        </w:rPr>
        <w:t>El coordinador de la DGP será responsable de la gestión directa de la DGP. Tiene como función la coordinación de los grupos de interés no gubernamentales, así como de los departamentos gubernamentales, para la ejecución de las actividades del PGEH.</w:t>
      </w:r>
    </w:p>
    <w:p w14:paraId="549867D9" w14:textId="77777777" w:rsidR="00EF0985" w:rsidRPr="00EF0985" w:rsidRDefault="00EF0985" w:rsidP="00EF0985">
      <w:pPr>
        <w:pStyle w:val="Heading1"/>
        <w:numPr>
          <w:ilvl w:val="0"/>
          <w:numId w:val="23"/>
        </w:numPr>
        <w:rPr>
          <w:lang w:val="es-ES"/>
        </w:rPr>
      </w:pPr>
      <w:r w:rsidRPr="00EF0985">
        <w:rPr>
          <w:lang w:val="es-ES"/>
        </w:rPr>
        <w:t>Mientras que la principal responsabilidad de la recogida, análisis y presentación de datos sigue recayendo en el Centro Nacional del Ozono, en algunos casos la DGP participa en la recopilación y análisis de los datos de consumo de sustancias controladas asociados con la ejecución del PGEH.</w:t>
      </w:r>
    </w:p>
    <w:p w14:paraId="75D4D847" w14:textId="77777777" w:rsidR="00EF0985" w:rsidRPr="00EF0985" w:rsidRDefault="00EF0985" w:rsidP="00EF0985">
      <w:pPr>
        <w:pStyle w:val="Heading1"/>
        <w:widowControl w:val="0"/>
        <w:numPr>
          <w:ilvl w:val="0"/>
          <w:numId w:val="23"/>
        </w:numPr>
        <w:rPr>
          <w:lang w:val="es-ES"/>
        </w:rPr>
      </w:pPr>
      <w:r w:rsidRPr="00EF0985">
        <w:rPr>
          <w:lang w:val="es-ES"/>
        </w:rPr>
        <w:t>Verificación y presentación de informes: De acuerdo con las discusiones mantenidas con el País, el Organismo de Ejecución Principal ha de solicitar a un organismo independiente que realice la verificación anual de los resultados del Plan y del consumo de las sustancias mencionadas en el Apéndice 1-A y en este programa de supervisión independiente.</w:t>
      </w:r>
    </w:p>
    <w:p w14:paraId="017A23F1" w14:textId="77777777" w:rsidR="00EF0985" w:rsidRDefault="00EF0985" w:rsidP="00EF0985">
      <w:pPr>
        <w:keepNext/>
        <w:keepLines/>
        <w:rPr>
          <w:b/>
          <w:lang w:val="es-ES"/>
        </w:rPr>
      </w:pPr>
      <w:r>
        <w:rPr>
          <w:b/>
          <w:bCs/>
          <w:lang w:val="es-ES"/>
        </w:rPr>
        <w:t xml:space="preserve">APÉNDICE 6-A: FUNCIÓN DEL ORGANISMO DE EJECUCIÓN PRINCIPAL </w:t>
      </w:r>
    </w:p>
    <w:p w14:paraId="45C189AD" w14:textId="77777777" w:rsidR="00EF0985" w:rsidRDefault="00EF0985" w:rsidP="00EF0985">
      <w:pPr>
        <w:keepNext/>
        <w:keepLines/>
        <w:rPr>
          <w:lang w:val="es-ES"/>
        </w:rPr>
      </w:pPr>
    </w:p>
    <w:p w14:paraId="2CCB835F" w14:textId="77777777" w:rsidR="00EF0985" w:rsidRPr="00EF0985" w:rsidRDefault="00EF0985" w:rsidP="00EF0985">
      <w:pPr>
        <w:pStyle w:val="Heading1"/>
        <w:keepNext/>
        <w:keepLines/>
        <w:numPr>
          <w:ilvl w:val="0"/>
          <w:numId w:val="44"/>
        </w:numPr>
        <w:rPr>
          <w:lang w:val="es-ES"/>
        </w:rPr>
      </w:pPr>
      <w:r w:rsidRPr="00EF0985">
        <w:rPr>
          <w:lang w:val="es-ES"/>
        </w:rPr>
        <w:t>El Organismo de Ejecución Principal tendrá a su cargo diversas responsabilidades, entre las que se incluyen, como mínimo, las siguientes:</w:t>
      </w:r>
    </w:p>
    <w:p w14:paraId="167BAA6E" w14:textId="77777777" w:rsidR="00EF0985" w:rsidRDefault="00EF0985" w:rsidP="00EF0985">
      <w:pPr>
        <w:keepNext/>
        <w:keepLines/>
        <w:widowControl w:val="0"/>
        <w:numPr>
          <w:ilvl w:val="1"/>
          <w:numId w:val="1"/>
        </w:numPr>
        <w:spacing w:after="240"/>
        <w:outlineLvl w:val="1"/>
        <w:rPr>
          <w:lang w:val="es-ES"/>
        </w:rPr>
      </w:pPr>
      <w:r>
        <w:rPr>
          <w:lang w:val="es-ES"/>
        </w:rPr>
        <w:t>Asegurar la verificación del desempeño y de los aspectos financieros de conformidad con el presente Acuerdo y con sus procedimientos y requisitos internos específicos, establecidos en el plan de gestión de eliminación de los HCFC del País;</w:t>
      </w:r>
    </w:p>
    <w:p w14:paraId="21460C6A" w14:textId="77777777" w:rsidR="00EF0985" w:rsidRDefault="00EF0985" w:rsidP="00EF0985">
      <w:pPr>
        <w:widowControl w:val="0"/>
        <w:numPr>
          <w:ilvl w:val="1"/>
          <w:numId w:val="1"/>
        </w:numPr>
        <w:spacing w:after="240"/>
        <w:outlineLvl w:val="1"/>
        <w:rPr>
          <w:lang w:val="es-ES"/>
        </w:rPr>
      </w:pPr>
      <w:r>
        <w:rPr>
          <w:lang w:val="es-ES"/>
        </w:rPr>
        <w:t>Brindar asistencia al País para preparar los Informes y Planes de Ejecución de Tramos conforme al Apéndice 4</w:t>
      </w:r>
      <w:r>
        <w:rPr>
          <w:lang w:val="es-ES"/>
        </w:rPr>
        <w:noBreakHyphen/>
        <w:t>A;</w:t>
      </w:r>
    </w:p>
    <w:p w14:paraId="1756F8CE" w14:textId="77777777" w:rsidR="00EF0985" w:rsidRDefault="00EF0985" w:rsidP="00EF0985">
      <w:pPr>
        <w:widowControl w:val="0"/>
        <w:numPr>
          <w:ilvl w:val="1"/>
          <w:numId w:val="1"/>
        </w:numPr>
        <w:spacing w:after="240"/>
        <w:outlineLvl w:val="1"/>
        <w:rPr>
          <w:lang w:val="es-ES"/>
        </w:rPr>
      </w:pPr>
      <w:r>
        <w:rPr>
          <w:lang w:val="es-ES"/>
        </w:rPr>
        <w:t>Proporcionar al Comité Ejecutivo una verificación independiente de que se han alcanzado los Objetivos y se han completado las correspondientes actividades previstas en los tramos según lo indicado en el Plan de Ejecución de Tramos de conformidad con el Apéndice 4</w:t>
      </w:r>
      <w:r>
        <w:rPr>
          <w:lang w:val="es-ES"/>
        </w:rPr>
        <w:noBreakHyphen/>
        <w:t xml:space="preserve">A; </w:t>
      </w:r>
    </w:p>
    <w:p w14:paraId="7E93B672" w14:textId="77777777" w:rsidR="00EF0985" w:rsidRDefault="00EF0985" w:rsidP="00EF0985">
      <w:pPr>
        <w:widowControl w:val="0"/>
        <w:numPr>
          <w:ilvl w:val="1"/>
          <w:numId w:val="1"/>
        </w:numPr>
        <w:spacing w:after="240"/>
        <w:outlineLvl w:val="1"/>
        <w:rPr>
          <w:lang w:val="es-ES"/>
        </w:rPr>
      </w:pPr>
      <w:r>
        <w:rPr>
          <w:lang w:val="es-ES"/>
        </w:rPr>
        <w:t>Asegurar que las experiencias y logros se reflejen en actualizaciones del Plan general y en los Planes de Ejecución de Tramos futuros, de conformidad con los incisos 1 c) y 1 d) del Apéndice 4</w:t>
      </w:r>
      <w:r>
        <w:rPr>
          <w:lang w:val="es-ES"/>
        </w:rPr>
        <w:noBreakHyphen/>
        <w:t>A;</w:t>
      </w:r>
    </w:p>
    <w:p w14:paraId="03CB3BCA" w14:textId="77777777" w:rsidR="00EF0985" w:rsidRDefault="00EF0985" w:rsidP="001B79A2">
      <w:pPr>
        <w:keepNext/>
        <w:keepLines/>
        <w:widowControl w:val="0"/>
        <w:numPr>
          <w:ilvl w:val="1"/>
          <w:numId w:val="1"/>
        </w:numPr>
        <w:spacing w:after="240"/>
        <w:outlineLvl w:val="1"/>
        <w:rPr>
          <w:lang w:val="es-ES"/>
        </w:rPr>
      </w:pPr>
      <w:r>
        <w:rPr>
          <w:lang w:val="es-ES"/>
        </w:rPr>
        <w:lastRenderedPageBreak/>
        <w:t>Cumplir con los requisitos de información respecto de los Informes y Planes de Ejecución de Tramos y el Plan general especificados en el Apéndice 4</w:t>
      </w:r>
      <w:r>
        <w:rPr>
          <w:lang w:val="es-ES"/>
        </w:rPr>
        <w:noBreakHyphen/>
        <w:t>A que se deben presentar al Comité Ejecutivo. Este debería incluir las actividades desempeñadas por el Organismo de Ejecución Cooperante;</w:t>
      </w:r>
    </w:p>
    <w:p w14:paraId="26C157FA" w14:textId="77777777" w:rsidR="00EF0985" w:rsidRDefault="00EF0985" w:rsidP="00EF0985">
      <w:pPr>
        <w:keepNext/>
        <w:keepLines/>
        <w:widowControl w:val="0"/>
        <w:numPr>
          <w:ilvl w:val="1"/>
          <w:numId w:val="1"/>
        </w:numPr>
        <w:spacing w:after="240"/>
        <w:outlineLvl w:val="1"/>
        <w:rPr>
          <w:lang w:val="es-ES"/>
        </w:rPr>
      </w:pPr>
      <w:r>
        <w:rPr>
          <w:lang w:val="es-ES"/>
        </w:rPr>
        <w:t xml:space="preserve">En el caso en que se solicite el último tramo de financiación con uno o más años de antelación al </w:t>
      </w:r>
      <w:proofErr w:type="gramStart"/>
      <w:r>
        <w:rPr>
          <w:lang w:val="es-ES"/>
        </w:rPr>
        <w:t>último años</w:t>
      </w:r>
      <w:proofErr w:type="gramEnd"/>
      <w:r>
        <w:rPr>
          <w:lang w:val="es-ES"/>
        </w:rPr>
        <w:t xml:space="preserve"> para el cual se haya establecido un objetivo de consumo, los informes de ejecución de tramos y, donde proceda, los informes de verificación de la etapa actual del Plan deberían presentarse hasta que todas las actividades previstas se hayan concluido y los objetivos de consumo de HCFC se hayan logrado; </w:t>
      </w:r>
    </w:p>
    <w:p w14:paraId="6258D002" w14:textId="77777777" w:rsidR="00EF0985" w:rsidRDefault="00EF0985" w:rsidP="00EF0985">
      <w:pPr>
        <w:widowControl w:val="0"/>
        <w:numPr>
          <w:ilvl w:val="1"/>
          <w:numId w:val="1"/>
        </w:numPr>
        <w:spacing w:after="240"/>
        <w:outlineLvl w:val="1"/>
        <w:rPr>
          <w:lang w:val="es-ES"/>
        </w:rPr>
      </w:pPr>
      <w:r>
        <w:rPr>
          <w:lang w:val="es-ES"/>
        </w:rPr>
        <w:t>Asegurar que expertos técnicos independientes y competentes lleven a cabo las revisiones técnicas;</w:t>
      </w:r>
    </w:p>
    <w:p w14:paraId="0430D3CB" w14:textId="77777777" w:rsidR="00EF0985" w:rsidRDefault="00EF0985" w:rsidP="00EF0985">
      <w:pPr>
        <w:widowControl w:val="0"/>
        <w:numPr>
          <w:ilvl w:val="1"/>
          <w:numId w:val="1"/>
        </w:numPr>
        <w:spacing w:after="240"/>
        <w:outlineLvl w:val="1"/>
        <w:rPr>
          <w:lang w:val="es-ES"/>
        </w:rPr>
      </w:pPr>
      <w:r>
        <w:rPr>
          <w:lang w:val="es-ES"/>
        </w:rPr>
        <w:t>Emprender las misiones de supervisión requeridas;</w:t>
      </w:r>
    </w:p>
    <w:p w14:paraId="6039B7E9" w14:textId="77777777" w:rsidR="00EF0985" w:rsidRDefault="00EF0985" w:rsidP="00EF0985">
      <w:pPr>
        <w:widowControl w:val="0"/>
        <w:numPr>
          <w:ilvl w:val="1"/>
          <w:numId w:val="1"/>
        </w:numPr>
        <w:spacing w:after="240"/>
        <w:outlineLvl w:val="1"/>
        <w:rPr>
          <w:lang w:val="es-ES"/>
        </w:rPr>
      </w:pPr>
      <w:r>
        <w:rPr>
          <w:lang w:val="es-ES"/>
        </w:rPr>
        <w:t>Asegurar la existencia de un mecanismo operativo que permita la ejecución eficaz y transparente del Plan de Ejecución de Tramos y la presentación de datos exactos;</w:t>
      </w:r>
    </w:p>
    <w:p w14:paraId="21514315" w14:textId="77777777" w:rsidR="00EF0985" w:rsidRDefault="00EF0985" w:rsidP="00EF0985">
      <w:pPr>
        <w:widowControl w:val="0"/>
        <w:numPr>
          <w:ilvl w:val="1"/>
          <w:numId w:val="1"/>
        </w:numPr>
        <w:spacing w:after="240"/>
        <w:outlineLvl w:val="1"/>
        <w:rPr>
          <w:lang w:val="es-ES"/>
        </w:rPr>
      </w:pPr>
      <w:r>
        <w:rPr>
          <w:lang w:val="es-ES"/>
        </w:rPr>
        <w:t>Coordinar las actividades del Organismo de Ejecución Cooperante y asegurar que las actividades se ejecuten en la secuencia apropiada</w:t>
      </w:r>
      <w:r>
        <w:rPr>
          <w:lang w:val="es-AR"/>
        </w:rPr>
        <w:t>;</w:t>
      </w:r>
    </w:p>
    <w:p w14:paraId="45874383" w14:textId="77777777" w:rsidR="00EF0985" w:rsidRDefault="00EF0985" w:rsidP="00EF0985">
      <w:pPr>
        <w:widowControl w:val="0"/>
        <w:numPr>
          <w:ilvl w:val="1"/>
          <w:numId w:val="1"/>
        </w:numPr>
        <w:spacing w:after="240"/>
        <w:outlineLvl w:val="1"/>
        <w:rPr>
          <w:lang w:val="es-ES"/>
        </w:rPr>
      </w:pPr>
      <w:r>
        <w:rPr>
          <w:lang w:val="es-ES"/>
        </w:rPr>
        <w:t xml:space="preserve">En el caso de que se reduzca la financiación por falta de cumplimiento conforme al párrafo 11 del Acuerdo, determinar, en consulta con el País y el Organismo de Ejecución Cooperante, la asignación de las reducciones a las diferentes partidas presupuestarias y a la financiación del Organismo de Ejecución Principal y del Organismo de Ejecución Cooperante; </w:t>
      </w:r>
    </w:p>
    <w:p w14:paraId="7135CBFB" w14:textId="77777777" w:rsidR="00EF0985" w:rsidRDefault="00EF0985" w:rsidP="00EF0985">
      <w:pPr>
        <w:widowControl w:val="0"/>
        <w:numPr>
          <w:ilvl w:val="1"/>
          <w:numId w:val="1"/>
        </w:numPr>
        <w:spacing w:after="240"/>
        <w:outlineLvl w:val="1"/>
        <w:rPr>
          <w:lang w:val="es-ES"/>
        </w:rPr>
      </w:pPr>
      <w:r>
        <w:rPr>
          <w:lang w:val="es-ES"/>
        </w:rPr>
        <w:t xml:space="preserve">Asegurar que los desembolsos a favor del País se basen en el uso de los indicadores; </w:t>
      </w:r>
    </w:p>
    <w:p w14:paraId="37DF62C1" w14:textId="77777777" w:rsidR="00EF0985" w:rsidRDefault="00EF0985" w:rsidP="00EF0985">
      <w:pPr>
        <w:widowControl w:val="0"/>
        <w:numPr>
          <w:ilvl w:val="1"/>
          <w:numId w:val="1"/>
        </w:numPr>
        <w:spacing w:after="240"/>
        <w:outlineLvl w:val="1"/>
        <w:rPr>
          <w:lang w:val="es-ES"/>
        </w:rPr>
      </w:pPr>
      <w:r>
        <w:rPr>
          <w:lang w:val="es-ES"/>
        </w:rPr>
        <w:t>Brindar asistencia respecto de políticas, gestión y apoyo técnico, cuando sea necesario;</w:t>
      </w:r>
    </w:p>
    <w:p w14:paraId="0FDC68A6" w14:textId="77777777" w:rsidR="00EF0985" w:rsidRDefault="00EF0985" w:rsidP="00EF0985">
      <w:pPr>
        <w:widowControl w:val="0"/>
        <w:numPr>
          <w:ilvl w:val="1"/>
          <w:numId w:val="1"/>
        </w:numPr>
        <w:spacing w:after="240"/>
        <w:outlineLvl w:val="1"/>
        <w:rPr>
          <w:lang w:val="es-ES"/>
        </w:rPr>
      </w:pPr>
      <w:r>
        <w:rPr>
          <w:lang w:val="es-ES"/>
        </w:rPr>
        <w:t>Lograr un consenso con el Organismo de Ejecución Cooperante sobre toda planificación, coordinación y presentación de informes requeridas para facilitar la ejecución del Plan; y</w:t>
      </w:r>
    </w:p>
    <w:p w14:paraId="15A75650" w14:textId="77777777" w:rsidR="00EF0985" w:rsidRDefault="00EF0985" w:rsidP="00EF0985">
      <w:pPr>
        <w:widowControl w:val="0"/>
        <w:numPr>
          <w:ilvl w:val="1"/>
          <w:numId w:val="1"/>
        </w:numPr>
        <w:spacing w:after="240"/>
        <w:outlineLvl w:val="1"/>
        <w:rPr>
          <w:lang w:val="es-ES"/>
        </w:rPr>
      </w:pPr>
      <w:r>
        <w:rPr>
          <w:lang w:val="es-ES"/>
        </w:rPr>
        <w:t>Liberación de fondos en fecha al País/empresas participantes para terminar las actividades relacionadas con el proyecto.</w:t>
      </w:r>
    </w:p>
    <w:p w14:paraId="4FA702C5" w14:textId="77777777" w:rsidR="00EF0985" w:rsidRDefault="00EF0985" w:rsidP="00EF0985">
      <w:pPr>
        <w:widowControl w:val="0"/>
        <w:numPr>
          <w:ilvl w:val="0"/>
          <w:numId w:val="1"/>
        </w:numPr>
        <w:spacing w:after="240"/>
        <w:outlineLvl w:val="0"/>
        <w:rPr>
          <w:lang w:val="es-ES"/>
        </w:rPr>
      </w:pPr>
      <w:r>
        <w:rPr>
          <w:lang w:val="es-ES"/>
        </w:rPr>
        <w:t>Tras consultar con el País y teniendo en cuenta las opiniones que pudieran expresarse, el Organismo de Ejecución Principal seleccionará y encomendará a una entidad independiente la verificación de los resultados del plan de gestión de eliminación de los HCFC y el consumo de las Sustancias mencionadas en el Apéndice 1</w:t>
      </w:r>
      <w:r>
        <w:rPr>
          <w:lang w:val="es-ES"/>
        </w:rPr>
        <w:noBreakHyphen/>
        <w:t>A, conforme al inciso 5 b) del Acuerdo y el inciso 1 b) del Apéndice 4</w:t>
      </w:r>
      <w:r>
        <w:rPr>
          <w:lang w:val="es-ES"/>
        </w:rPr>
        <w:noBreakHyphen/>
        <w:t>A.</w:t>
      </w:r>
    </w:p>
    <w:p w14:paraId="552212E3" w14:textId="77777777" w:rsidR="00EF0985" w:rsidRDefault="00EF0985" w:rsidP="00EF0985">
      <w:pPr>
        <w:widowControl w:val="0"/>
        <w:rPr>
          <w:b/>
          <w:lang w:val="es-ES"/>
        </w:rPr>
      </w:pPr>
      <w:r>
        <w:rPr>
          <w:b/>
          <w:bCs/>
          <w:lang w:val="es-ES"/>
        </w:rPr>
        <w:t>APÉNDICE 6</w:t>
      </w:r>
      <w:r>
        <w:rPr>
          <w:b/>
          <w:bCs/>
          <w:lang w:val="es-ES"/>
        </w:rPr>
        <w:noBreakHyphen/>
        <w:t>B: FUNCIÓN DE LOS ORGANISMOS DE EJECUCIÓN COOPERANTES</w:t>
      </w:r>
    </w:p>
    <w:p w14:paraId="173B67B5" w14:textId="77777777" w:rsidR="00EF0985" w:rsidRDefault="00EF0985" w:rsidP="00EF0985">
      <w:pPr>
        <w:widowControl w:val="0"/>
        <w:rPr>
          <w:lang w:val="es-ES"/>
        </w:rPr>
      </w:pPr>
    </w:p>
    <w:p w14:paraId="5D064B0A" w14:textId="77777777" w:rsidR="00EF0985" w:rsidRPr="00EF0985" w:rsidRDefault="00EF0985" w:rsidP="00EF0985">
      <w:pPr>
        <w:pStyle w:val="Heading1"/>
        <w:widowControl w:val="0"/>
        <w:numPr>
          <w:ilvl w:val="0"/>
          <w:numId w:val="45"/>
        </w:numPr>
        <w:rPr>
          <w:lang w:val="es-ES"/>
        </w:rPr>
      </w:pPr>
      <w:r w:rsidRPr="00EF0985">
        <w:rPr>
          <w:lang w:val="es-ES"/>
        </w:rPr>
        <w:t xml:space="preserve">El Organismo de Ejecución Cooperante tendrá a su cargo diversas actividades. Estas se especifican con más detalle en el Plan, e incluyen como mínimo las siguientes: </w:t>
      </w:r>
    </w:p>
    <w:p w14:paraId="5579B8FD" w14:textId="77777777" w:rsidR="00EF0985" w:rsidRDefault="00EF0985" w:rsidP="00EF0985">
      <w:pPr>
        <w:widowControl w:val="0"/>
        <w:numPr>
          <w:ilvl w:val="1"/>
          <w:numId w:val="1"/>
        </w:numPr>
        <w:spacing w:after="240"/>
        <w:outlineLvl w:val="1"/>
        <w:rPr>
          <w:lang w:val="es-ES"/>
        </w:rPr>
      </w:pPr>
      <w:r>
        <w:rPr>
          <w:lang w:val="es-ES"/>
        </w:rPr>
        <w:t xml:space="preserve">Proporcionar asistencia para la elaboración de políticas cuando se requiera; </w:t>
      </w:r>
    </w:p>
    <w:p w14:paraId="39BAB381" w14:textId="77777777" w:rsidR="00EF0985" w:rsidRDefault="00EF0985" w:rsidP="00EF0985">
      <w:pPr>
        <w:widowControl w:val="0"/>
        <w:numPr>
          <w:ilvl w:val="1"/>
          <w:numId w:val="1"/>
        </w:numPr>
        <w:spacing w:after="240"/>
        <w:outlineLvl w:val="1"/>
        <w:rPr>
          <w:lang w:val="es-ES"/>
        </w:rPr>
      </w:pPr>
      <w:r>
        <w:rPr>
          <w:lang w:val="es-ES"/>
        </w:rPr>
        <w:t xml:space="preserve">Brindar asistencia al País en la ejecución y evaluación de las actividades que financie el Organismo de Ejecución Cooperante, remitiéndose al Organismo de Ejecución Principal para asegurar que las actividades se ejecuten en una secuencia coordinada; </w:t>
      </w:r>
    </w:p>
    <w:p w14:paraId="4A851D6D" w14:textId="77777777" w:rsidR="00EF0985" w:rsidRDefault="00EF0985" w:rsidP="00EF0985">
      <w:pPr>
        <w:widowControl w:val="0"/>
        <w:numPr>
          <w:ilvl w:val="1"/>
          <w:numId w:val="1"/>
        </w:numPr>
        <w:spacing w:after="240"/>
        <w:outlineLvl w:val="1"/>
        <w:rPr>
          <w:lang w:val="es-ES"/>
        </w:rPr>
      </w:pPr>
      <w:r>
        <w:rPr>
          <w:lang w:val="es-ES"/>
        </w:rPr>
        <w:lastRenderedPageBreak/>
        <w:t>Dar informes al Organismo de Ejecución Principal sobre estas actividades para su inclusión en los informes refundidos con arreglo al Apéndice 4</w:t>
      </w:r>
      <w:r>
        <w:rPr>
          <w:lang w:val="es-ES"/>
        </w:rPr>
        <w:noBreakHyphen/>
        <w:t>A; y</w:t>
      </w:r>
    </w:p>
    <w:p w14:paraId="6FC6B5F6" w14:textId="77777777" w:rsidR="00EF0985" w:rsidRDefault="00EF0985" w:rsidP="00EF0985">
      <w:pPr>
        <w:widowControl w:val="0"/>
        <w:numPr>
          <w:ilvl w:val="1"/>
          <w:numId w:val="1"/>
        </w:numPr>
        <w:spacing w:after="240"/>
        <w:outlineLvl w:val="1"/>
        <w:rPr>
          <w:lang w:val="es-ES"/>
        </w:rPr>
      </w:pPr>
      <w:r>
        <w:rPr>
          <w:lang w:val="es-ES"/>
        </w:rPr>
        <w:t>Lograr un consenso con el Organismo de Ejecución Principal sobre toda planificación, coordinación y presentación de informes requeridas para facilitar la ejecución del Plan.</w:t>
      </w:r>
    </w:p>
    <w:p w14:paraId="353F96A1" w14:textId="77777777" w:rsidR="00EF0985" w:rsidRDefault="00EF0985" w:rsidP="00EF0985">
      <w:pPr>
        <w:widowControl w:val="0"/>
        <w:rPr>
          <w:b/>
          <w:lang w:val="es-ES"/>
        </w:rPr>
      </w:pPr>
      <w:r>
        <w:rPr>
          <w:b/>
          <w:bCs/>
          <w:lang w:val="es-ES"/>
        </w:rPr>
        <w:t>APÉNDICE 7-A: REDUCCIONES DE LA FINANCIACIÓN EN CASO DE INCUMPLIMIENTO</w:t>
      </w:r>
    </w:p>
    <w:p w14:paraId="6382667E" w14:textId="77777777" w:rsidR="00EF0985" w:rsidRDefault="00EF0985" w:rsidP="00EF0985">
      <w:pPr>
        <w:widowControl w:val="0"/>
        <w:rPr>
          <w:lang w:val="es-ES"/>
        </w:rPr>
      </w:pPr>
    </w:p>
    <w:p w14:paraId="1CA2DEF8" w14:textId="77777777" w:rsidR="00EF0985" w:rsidRPr="00EF0985" w:rsidRDefault="00EF0985" w:rsidP="00EF0985">
      <w:pPr>
        <w:pStyle w:val="Heading1"/>
        <w:widowControl w:val="0"/>
        <w:numPr>
          <w:ilvl w:val="0"/>
          <w:numId w:val="46"/>
        </w:numPr>
        <w:rPr>
          <w:lang w:val="es-ES"/>
        </w:rPr>
      </w:pPr>
      <w:r w:rsidRPr="00EF0985">
        <w:rPr>
          <w:lang w:val="es-ES"/>
        </w:rPr>
        <w:t>De conformidad con el párrafo 11 del Acuerdo, el monto de financiación proporcionada podrá reducirse en 167.75</w:t>
      </w:r>
      <w:r w:rsidRPr="00EF0985">
        <w:rPr>
          <w:lang w:val="es-AR"/>
        </w:rPr>
        <w:t xml:space="preserve"> </w:t>
      </w:r>
      <w:r w:rsidRPr="00EF0985">
        <w:rPr>
          <w:lang w:val="es-ES"/>
        </w:rPr>
        <w:t>$EUA por kg PAO de consumo que supere el nivel definido en la fila 1.2 del Apéndice 2</w:t>
      </w:r>
      <w:r w:rsidRPr="00EF0985">
        <w:rPr>
          <w:lang w:val="es-ES"/>
        </w:rPr>
        <w:noBreakHyphen/>
        <w:t xml:space="preserve">A para cada año en que no se haya logrado el objetivo especificado en la fila 1.2 del Apéndice 2-A, quedando entendido que la reducción de financiación máxima no excedería el nivel de financiación del tramo que se solicita. Otras medidas podrían considerarse en casos donde el incumplimiento se extiende durante dos años consecutivos. </w:t>
      </w:r>
    </w:p>
    <w:p w14:paraId="2F5098DA" w14:textId="77777777" w:rsidR="00EF0985" w:rsidRDefault="00EF0985" w:rsidP="00EF0985">
      <w:pPr>
        <w:widowControl w:val="0"/>
        <w:numPr>
          <w:ilvl w:val="0"/>
          <w:numId w:val="23"/>
        </w:numPr>
        <w:spacing w:after="240"/>
        <w:outlineLvl w:val="0"/>
        <w:rPr>
          <w:lang w:val="es-ES"/>
        </w:rPr>
      </w:pPr>
      <w:r>
        <w:rPr>
          <w:lang w:val="es-ES"/>
        </w:rPr>
        <w:t>En el caso de que deba aplicarse esta sanción respecto a un año en el que estén vigentes dos acuerdos (dos etapas del plan de gestión de eliminación de los HCFC que se ejecuten en forma paralela) que prevean sanciones de diferente cuantía, la aplicación de la sanción se determinará caso por caso tomando en cuenta los sectores específicos que llevan al incumplimiento. Si no fuera posible precisar el sector, o si ambas etapas se ocuparan del mismo sector, se aplicará de ambas sanciones la que fuera mayor.</w:t>
      </w:r>
    </w:p>
    <w:p w14:paraId="1A80FD7D" w14:textId="20A0BA6B" w:rsidR="00BF7A8D" w:rsidRPr="00EF0985" w:rsidRDefault="00BF7A8D" w:rsidP="00BF7A8D">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64C20" w:rsidRPr="00166373" w14:paraId="5D4EF2E5" w14:textId="77777777" w:rsidTr="0087504A">
        <w:trPr>
          <w:hidden/>
        </w:trPr>
        <w:tc>
          <w:tcPr>
            <w:tcW w:w="1871" w:type="dxa"/>
          </w:tcPr>
          <w:p w14:paraId="2F825452" w14:textId="77777777" w:rsidR="00464C20" w:rsidRPr="001B79A2" w:rsidRDefault="00464C20" w:rsidP="0087504A">
            <w:pPr>
              <w:rPr>
                <w:vanish/>
                <w:lang w:val="es-AR"/>
              </w:rPr>
            </w:pPr>
            <w:bookmarkStart w:id="0" w:name="_GoBack"/>
            <w:bookmarkEnd w:id="0"/>
          </w:p>
        </w:tc>
        <w:tc>
          <w:tcPr>
            <w:tcW w:w="1872" w:type="dxa"/>
          </w:tcPr>
          <w:p w14:paraId="35E98E9A" w14:textId="77777777" w:rsidR="00464C20" w:rsidRPr="001B79A2" w:rsidRDefault="00464C20" w:rsidP="0087504A">
            <w:pPr>
              <w:rPr>
                <w:vanish/>
                <w:lang w:val="es-AR"/>
              </w:rPr>
            </w:pPr>
          </w:p>
        </w:tc>
        <w:tc>
          <w:tcPr>
            <w:tcW w:w="1872" w:type="dxa"/>
            <w:tcBorders>
              <w:bottom w:val="single" w:sz="4" w:space="0" w:color="auto"/>
            </w:tcBorders>
          </w:tcPr>
          <w:p w14:paraId="5C10885B" w14:textId="77777777" w:rsidR="00464C20" w:rsidRPr="001B79A2" w:rsidRDefault="00464C20" w:rsidP="0087504A">
            <w:pPr>
              <w:rPr>
                <w:vanish/>
                <w:lang w:val="es-AR"/>
              </w:rPr>
            </w:pPr>
          </w:p>
        </w:tc>
        <w:tc>
          <w:tcPr>
            <w:tcW w:w="1872" w:type="dxa"/>
          </w:tcPr>
          <w:p w14:paraId="014BDFCF" w14:textId="77777777" w:rsidR="00464C20" w:rsidRPr="001B79A2" w:rsidRDefault="00464C20" w:rsidP="0087504A">
            <w:pPr>
              <w:rPr>
                <w:vanish/>
                <w:lang w:val="es-AR"/>
              </w:rPr>
            </w:pPr>
          </w:p>
        </w:tc>
        <w:tc>
          <w:tcPr>
            <w:tcW w:w="1873" w:type="dxa"/>
          </w:tcPr>
          <w:p w14:paraId="56D5A605" w14:textId="77777777" w:rsidR="00464C20" w:rsidRPr="001B79A2" w:rsidRDefault="00464C20" w:rsidP="0087504A">
            <w:pPr>
              <w:rPr>
                <w:lang w:val="es-AR"/>
              </w:rPr>
            </w:pPr>
          </w:p>
        </w:tc>
      </w:tr>
    </w:tbl>
    <w:p w14:paraId="38C921C5" w14:textId="77777777" w:rsidR="00464C20" w:rsidRPr="001B79A2" w:rsidRDefault="00464C20" w:rsidP="00464C20">
      <w:pPr>
        <w:rPr>
          <w:lang w:val="es-AR"/>
        </w:rPr>
      </w:pPr>
    </w:p>
    <w:p w14:paraId="7530E8CC" w14:textId="77777777" w:rsidR="00365451" w:rsidRPr="001B79A2" w:rsidRDefault="00365451" w:rsidP="004E7F9C">
      <w:pPr>
        <w:rPr>
          <w:lang w:val="es-AR"/>
        </w:rPr>
      </w:pPr>
    </w:p>
    <w:sectPr w:rsidR="00365451" w:rsidRPr="001B79A2" w:rsidSect="00365451">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A1518" w14:textId="77777777" w:rsidR="00DF3C16" w:rsidRDefault="00DF3C16" w:rsidP="004A504B">
      <w:r>
        <w:separator/>
      </w:r>
    </w:p>
  </w:endnote>
  <w:endnote w:type="continuationSeparator" w:id="0">
    <w:p w14:paraId="5A15F7D6" w14:textId="77777777" w:rsidR="00DF3C16" w:rsidRDefault="00DF3C1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BD34" w14:textId="7BF5DEB7" w:rsidR="00DF3C16" w:rsidRPr="0033525D" w:rsidRDefault="00DF3C16">
    <w:pPr>
      <w:jc w:val="center"/>
    </w:pPr>
    <w:r>
      <w:fldChar w:fldCharType="begin"/>
    </w:r>
    <w:r>
      <w:instrText xml:space="preserve"> PAGE </w:instrText>
    </w:r>
    <w:r>
      <w:fldChar w:fldCharType="separate"/>
    </w:r>
    <w:r w:rsidR="00166373">
      <w:rPr>
        <w:noProof/>
      </w:rPr>
      <w:t>14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28B8" w14:textId="1FDBAD54" w:rsidR="00DF3C16" w:rsidRPr="0033525D" w:rsidRDefault="00DF3C16">
    <w:pPr>
      <w:jc w:val="center"/>
    </w:pPr>
    <w:r>
      <w:fldChar w:fldCharType="begin"/>
    </w:r>
    <w:r>
      <w:instrText xml:space="preserve"> PAGE </w:instrText>
    </w:r>
    <w:r>
      <w:fldChar w:fldCharType="separate"/>
    </w:r>
    <w:r w:rsidR="00166373">
      <w:rPr>
        <w:noProof/>
      </w:rPr>
      <w:t>13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52E1" w14:textId="66136D86" w:rsidR="00DF3C16" w:rsidRPr="00C57356" w:rsidRDefault="00DF3C16" w:rsidP="004E7F9C">
    <w:pPr>
      <w:pBdr>
        <w:top w:val="single" w:sz="4" w:space="1" w:color="auto"/>
        <w:left w:val="single" w:sz="4" w:space="4" w:color="auto"/>
        <w:bottom w:val="single" w:sz="4" w:space="1" w:color="auto"/>
        <w:right w:val="single" w:sz="4" w:space="4" w:color="auto"/>
      </w:pBdr>
      <w:jc w:val="center"/>
      <w:rPr>
        <w:sz w:val="18"/>
        <w:szCs w:val="18"/>
        <w:lang w:val="es-ES_tradnl"/>
      </w:rPr>
    </w:pPr>
    <w:r>
      <w:rPr>
        <w:sz w:val="18"/>
        <w:szCs w:val="18"/>
        <w:lang w:val="es-ES_tradnl"/>
      </w:rPr>
      <w:t>Los documentos previos al período de sesiones del Comité Ejecutivo del Fondo Multilateral para la Aplicación del Protocolo de Montreal no van en perjuicio de las decisiones que el Comité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8542" w14:textId="26822D09" w:rsidR="00DF3C16" w:rsidRPr="0033525D" w:rsidRDefault="00DF3C16">
    <w:pPr>
      <w:jc w:val="center"/>
    </w:pPr>
    <w:r>
      <w:fldChar w:fldCharType="begin"/>
    </w:r>
    <w:r>
      <w:instrText xml:space="preserve"> PAGE </w:instrText>
    </w:r>
    <w:r>
      <w:fldChar w:fldCharType="separate"/>
    </w:r>
    <w:r w:rsidR="00166373">
      <w:rPr>
        <w:noProof/>
      </w:rPr>
      <w:t>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43E4" w14:textId="3CFCC204" w:rsidR="00DF3C16" w:rsidRPr="0033525D" w:rsidRDefault="00DF3C16">
    <w:pPr>
      <w:jc w:val="center"/>
    </w:pPr>
    <w:r>
      <w:fldChar w:fldCharType="begin"/>
    </w:r>
    <w:r>
      <w:instrText xml:space="preserve"> PAGE </w:instrText>
    </w:r>
    <w:r>
      <w:fldChar w:fldCharType="separate"/>
    </w:r>
    <w:r w:rsidR="00166373">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01B2" w14:textId="77777777" w:rsidR="00DF3C16" w:rsidRDefault="00DF3C16">
    <w:pPr>
      <w:pStyle w:val="Footer"/>
      <w:jc w:val="center"/>
    </w:pPr>
  </w:p>
  <w:p w14:paraId="72C6E60C" w14:textId="77777777" w:rsidR="00DF3C16" w:rsidRDefault="00166373">
    <w:pPr>
      <w:pStyle w:val="Footer"/>
      <w:jc w:val="center"/>
    </w:pPr>
    <w:sdt>
      <w:sdtPr>
        <w:id w:val="-343856423"/>
        <w:docPartObj>
          <w:docPartGallery w:val="Page Numbers (Bottom of Page)"/>
          <w:docPartUnique/>
        </w:docPartObj>
      </w:sdtPr>
      <w:sdtEndPr>
        <w:rPr>
          <w:noProof/>
        </w:rPr>
      </w:sdtEndPr>
      <w:sdtContent>
        <w:r w:rsidR="00DF3C16">
          <w:fldChar w:fldCharType="begin"/>
        </w:r>
        <w:r w:rsidR="00DF3C16">
          <w:instrText xml:space="preserve"> PAGE   \* MERGEFORMAT </w:instrText>
        </w:r>
        <w:r w:rsidR="00DF3C16">
          <w:fldChar w:fldCharType="separate"/>
        </w:r>
        <w:r w:rsidR="00DF3C16">
          <w:rPr>
            <w:noProof/>
          </w:rPr>
          <w:t>1</w:t>
        </w:r>
        <w:r w:rsidR="00DF3C16">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F8F95" w14:textId="77777777" w:rsidR="00DF3C16" w:rsidRDefault="00DF3C16" w:rsidP="004A504B">
      <w:r>
        <w:separator/>
      </w:r>
    </w:p>
  </w:footnote>
  <w:footnote w:type="continuationSeparator" w:id="0">
    <w:p w14:paraId="5750A302" w14:textId="77777777" w:rsidR="00DF3C16" w:rsidRDefault="00DF3C16" w:rsidP="004A504B">
      <w:r>
        <w:continuationSeparator/>
      </w:r>
    </w:p>
  </w:footnote>
  <w:footnote w:id="1">
    <w:p w14:paraId="0024F58E" w14:textId="102568C6" w:rsidR="00DF3C16" w:rsidRDefault="00DF3C16" w:rsidP="00C57356">
      <w:pPr>
        <w:pStyle w:val="FootnoteText"/>
        <w:jc w:val="left"/>
        <w:rPr>
          <w:lang w:val="es-ES_tradnl"/>
        </w:rPr>
      </w:pPr>
      <w:r w:rsidRPr="00B42AEE">
        <w:rPr>
          <w:rStyle w:val="FootnoteReference"/>
          <w:lang w:val="es-ES_tradnl"/>
        </w:rPr>
        <w:footnoteRef/>
      </w:r>
      <w:r w:rsidRPr="00B42AEE">
        <w:rPr>
          <w:lang w:val="es-ES_tradnl"/>
        </w:rPr>
        <w:t xml:space="preserve"> </w:t>
      </w:r>
      <w:r w:rsidRPr="00CE0383">
        <w:rPr>
          <w:lang w:val="es-ES_tradnl"/>
        </w:rPr>
        <w:t>Debido a la pandemia del Covid-19, las reuniones de junio y julio de 2021 serán de carácter telemático y el proceso de aprobación se realizará entre sesiones.</w:t>
      </w:r>
    </w:p>
    <w:p w14:paraId="0631296F" w14:textId="77777777" w:rsidR="00166373" w:rsidRPr="00B42AEE" w:rsidRDefault="00166373" w:rsidP="00C57356">
      <w:pPr>
        <w:pStyle w:val="FootnoteText"/>
        <w:jc w:val="left"/>
        <w:rPr>
          <w:lang w:val="es-ES_tradnl"/>
        </w:rPr>
      </w:pPr>
    </w:p>
  </w:footnote>
  <w:footnote w:id="2">
    <w:p w14:paraId="75421C03" w14:textId="3ADDBA06" w:rsidR="00DF3C16" w:rsidRPr="00B42AEE" w:rsidRDefault="00DF3C16" w:rsidP="00197D03">
      <w:pPr>
        <w:pStyle w:val="FootnoteText"/>
        <w:rPr>
          <w:lang w:val="es-ES_tradnl"/>
        </w:rPr>
      </w:pPr>
      <w:r w:rsidRPr="00B42AEE">
        <w:rPr>
          <w:rStyle w:val="FootnoteReference"/>
          <w:lang w:val="es-ES_tradnl"/>
        </w:rPr>
        <w:footnoteRef/>
      </w:r>
      <w:r w:rsidRPr="00B42AEE">
        <w:rPr>
          <w:lang w:val="es-ES_tradnl"/>
        </w:rPr>
        <w:t xml:space="preserve"> Según nota de</w:t>
      </w:r>
      <w:r>
        <w:rPr>
          <w:lang w:val="es-ES_tradnl"/>
        </w:rPr>
        <w:t>l</w:t>
      </w:r>
      <w:r w:rsidRPr="00B42AEE">
        <w:rPr>
          <w:lang w:val="es-ES_tradnl"/>
        </w:rPr>
        <w:t xml:space="preserve"> 16 de marzo de 2021 </w:t>
      </w:r>
      <w:r w:rsidRPr="000F5549">
        <w:rPr>
          <w:lang w:val="es-ES_tradnl"/>
        </w:rPr>
        <w:t xml:space="preserve">dirigida al PNUMA </w:t>
      </w:r>
      <w:r>
        <w:rPr>
          <w:lang w:val="es-ES_tradnl"/>
        </w:rPr>
        <w:t xml:space="preserve">por </w:t>
      </w:r>
      <w:r w:rsidRPr="00B42AEE">
        <w:rPr>
          <w:lang w:val="es-ES_tradnl"/>
        </w:rPr>
        <w:t xml:space="preserve">el Ministerio de </w:t>
      </w:r>
      <w:r>
        <w:rPr>
          <w:lang w:val="es-ES_tradnl"/>
        </w:rPr>
        <w:t>Salud</w:t>
      </w:r>
      <w:r w:rsidRPr="00B42AEE">
        <w:rPr>
          <w:lang w:val="es-ES_tradnl"/>
        </w:rPr>
        <w:t xml:space="preserve"> y Medio Ambiente de Iraq.</w:t>
      </w:r>
    </w:p>
  </w:footnote>
  <w:footnote w:id="3">
    <w:p w14:paraId="04398C90" w14:textId="47236733" w:rsidR="00DF3C16" w:rsidRPr="00B42AEE" w:rsidRDefault="00DF3C16" w:rsidP="00C679D6">
      <w:pPr>
        <w:pStyle w:val="FootnoteText"/>
        <w:rPr>
          <w:lang w:val="es-ES_tradnl"/>
        </w:rPr>
      </w:pPr>
      <w:r w:rsidRPr="00B42AEE">
        <w:rPr>
          <w:rStyle w:val="FootnoteReference"/>
          <w:lang w:val="es-ES_tradnl"/>
        </w:rPr>
        <w:footnoteRef/>
      </w:r>
      <w:r w:rsidRPr="00B42AEE">
        <w:rPr>
          <w:lang w:val="es-ES_tradnl"/>
        </w:rPr>
        <w:t xml:space="preserve"> UNEP/</w:t>
      </w:r>
      <w:proofErr w:type="spellStart"/>
      <w:r w:rsidRPr="00B42AEE">
        <w:rPr>
          <w:lang w:val="es-ES_tradnl"/>
        </w:rPr>
        <w:t>OzL.Pro</w:t>
      </w:r>
      <w:proofErr w:type="spellEnd"/>
      <w:r w:rsidRPr="00B42AEE">
        <w:rPr>
          <w:lang w:val="es-ES_tradnl"/>
        </w:rPr>
        <w:t>/</w:t>
      </w:r>
      <w:proofErr w:type="spellStart"/>
      <w:r w:rsidRPr="00B42AEE">
        <w:rPr>
          <w:lang w:val="es-ES_tradnl"/>
        </w:rPr>
        <w:t>ExCom</w:t>
      </w:r>
      <w:proofErr w:type="spellEnd"/>
      <w:r w:rsidRPr="00B42AEE">
        <w:rPr>
          <w:lang w:val="es-ES_tradnl"/>
        </w:rPr>
        <w:t>/65/38 y Anexo XXV UNEP/</w:t>
      </w:r>
      <w:proofErr w:type="spellStart"/>
      <w:r w:rsidRPr="00B42AEE">
        <w:rPr>
          <w:lang w:val="es-ES_tradnl"/>
        </w:rPr>
        <w:t>OzL.Pro</w:t>
      </w:r>
      <w:proofErr w:type="spellEnd"/>
      <w:r w:rsidRPr="00B42AEE">
        <w:rPr>
          <w:lang w:val="es-ES_tradnl"/>
        </w:rPr>
        <w:t>/</w:t>
      </w:r>
      <w:proofErr w:type="spellStart"/>
      <w:r w:rsidRPr="00B42AEE">
        <w:rPr>
          <w:lang w:val="es-ES_tradnl"/>
        </w:rPr>
        <w:t>ExCom</w:t>
      </w:r>
      <w:proofErr w:type="spellEnd"/>
      <w:r w:rsidRPr="00B42AEE">
        <w:rPr>
          <w:lang w:val="es-ES_tradnl"/>
        </w:rPr>
        <w:t>/65/60</w:t>
      </w:r>
      <w:r>
        <w:rPr>
          <w:lang w:val="es-ES_tradnl"/>
        </w:rPr>
        <w:t>.</w:t>
      </w:r>
    </w:p>
  </w:footnote>
  <w:footnote w:id="4">
    <w:p w14:paraId="2ED23253" w14:textId="4C82CCE8" w:rsidR="00DF3C16" w:rsidRPr="00B42AEE" w:rsidRDefault="00DF3C16" w:rsidP="00344939">
      <w:pPr>
        <w:pStyle w:val="FootnoteText"/>
        <w:rPr>
          <w:lang w:val="es-ES_tradnl"/>
        </w:rPr>
      </w:pPr>
      <w:r w:rsidRPr="00B42AEE">
        <w:rPr>
          <w:rStyle w:val="FootnoteReference"/>
          <w:lang w:val="es-ES_tradnl"/>
        </w:rPr>
        <w:footnoteRef/>
      </w:r>
      <w:r w:rsidRPr="00B42AEE">
        <w:rPr>
          <w:lang w:val="es-ES_tradnl"/>
        </w:rPr>
        <w:t xml:space="preserve"> UNEP/</w:t>
      </w:r>
      <w:proofErr w:type="spellStart"/>
      <w:r w:rsidRPr="00B42AEE">
        <w:rPr>
          <w:lang w:val="es-ES_tradnl"/>
        </w:rPr>
        <w:t>OzL.Pro</w:t>
      </w:r>
      <w:proofErr w:type="spellEnd"/>
      <w:r w:rsidRPr="00B42AEE">
        <w:rPr>
          <w:lang w:val="es-ES_tradnl"/>
        </w:rPr>
        <w:t>/</w:t>
      </w:r>
      <w:proofErr w:type="spellStart"/>
      <w:r w:rsidRPr="00B42AEE">
        <w:rPr>
          <w:lang w:val="es-ES_tradnl"/>
        </w:rPr>
        <w:t>ExCom</w:t>
      </w:r>
      <w:proofErr w:type="spellEnd"/>
      <w:r w:rsidRPr="00B42AEE">
        <w:rPr>
          <w:lang w:val="es-ES_tradnl"/>
        </w:rPr>
        <w:t>/74/34 y Anexo XV UNEP/</w:t>
      </w:r>
      <w:proofErr w:type="spellStart"/>
      <w:r w:rsidRPr="00B42AEE">
        <w:rPr>
          <w:lang w:val="es-ES_tradnl"/>
        </w:rPr>
        <w:t>OzL.Pro</w:t>
      </w:r>
      <w:proofErr w:type="spellEnd"/>
      <w:r w:rsidRPr="00B42AEE">
        <w:rPr>
          <w:lang w:val="es-ES_tradnl"/>
        </w:rPr>
        <w:t>/</w:t>
      </w:r>
      <w:proofErr w:type="spellStart"/>
      <w:r w:rsidRPr="00B42AEE">
        <w:rPr>
          <w:lang w:val="es-ES_tradnl"/>
        </w:rPr>
        <w:t>ExCom</w:t>
      </w:r>
      <w:proofErr w:type="spellEnd"/>
      <w:r w:rsidRPr="00B42AEE">
        <w:rPr>
          <w:lang w:val="es-ES_tradnl"/>
        </w:rPr>
        <w:t>/74/56</w:t>
      </w:r>
      <w:r>
        <w:rPr>
          <w:lang w:val="es-ES_tradnl"/>
        </w:rPr>
        <w:t>;</w:t>
      </w:r>
      <w:r w:rsidRPr="00B42AEE">
        <w:rPr>
          <w:lang w:val="es-ES_tradnl"/>
        </w:rPr>
        <w:t xml:space="preserve"> UNEP/</w:t>
      </w:r>
      <w:proofErr w:type="spellStart"/>
      <w:r w:rsidRPr="00B42AEE">
        <w:rPr>
          <w:lang w:val="es-ES_tradnl"/>
        </w:rPr>
        <w:t>OzL.Pro</w:t>
      </w:r>
      <w:proofErr w:type="spellEnd"/>
      <w:r w:rsidRPr="00B42AEE">
        <w:rPr>
          <w:lang w:val="es-ES_tradnl"/>
        </w:rPr>
        <w:t>/</w:t>
      </w:r>
      <w:proofErr w:type="spellStart"/>
      <w:r w:rsidRPr="00B42AEE">
        <w:rPr>
          <w:lang w:val="es-ES_tradnl"/>
        </w:rPr>
        <w:t>ExCom</w:t>
      </w:r>
      <w:proofErr w:type="spellEnd"/>
      <w:r w:rsidRPr="00B42AEE">
        <w:rPr>
          <w:lang w:val="es-ES_tradnl"/>
        </w:rPr>
        <w:t>/84/52 y Anexo XXV del documento UNEP/</w:t>
      </w:r>
      <w:proofErr w:type="spellStart"/>
      <w:r w:rsidRPr="00B42AEE">
        <w:rPr>
          <w:lang w:val="es-ES_tradnl"/>
        </w:rPr>
        <w:t>OzL.Pro</w:t>
      </w:r>
      <w:proofErr w:type="spellEnd"/>
      <w:r w:rsidRPr="00B42AEE">
        <w:rPr>
          <w:lang w:val="es-ES_tradnl"/>
        </w:rPr>
        <w:t>/</w:t>
      </w:r>
      <w:proofErr w:type="spellStart"/>
      <w:r w:rsidRPr="00B42AEE">
        <w:rPr>
          <w:lang w:val="es-ES_tradnl"/>
        </w:rPr>
        <w:t>ExCom</w:t>
      </w:r>
      <w:proofErr w:type="spellEnd"/>
      <w:r w:rsidRPr="00B42AEE">
        <w:rPr>
          <w:lang w:val="es-ES_tradnl"/>
        </w:rPr>
        <w:t>/84/7</w:t>
      </w:r>
      <w:r>
        <w:rPr>
          <w:lang w:val="es-ES_tradnl"/>
        </w:rPr>
        <w:t>5,</w:t>
      </w:r>
      <w:r w:rsidRPr="00B42AEE">
        <w:rPr>
          <w:lang w:val="es-ES_tradnl"/>
        </w:rPr>
        <w:t xml:space="preserve"> y párrafos 35</w:t>
      </w:r>
      <w:r>
        <w:rPr>
          <w:lang w:val="es-ES_tradnl"/>
        </w:rPr>
        <w:t xml:space="preserve"> d)</w:t>
      </w:r>
      <w:r w:rsidRPr="00B42AEE">
        <w:rPr>
          <w:lang w:val="es-ES_tradnl"/>
        </w:rPr>
        <w:t xml:space="preserve"> y 37</w:t>
      </w:r>
      <w:r>
        <w:rPr>
          <w:lang w:val="es-ES_tradnl"/>
        </w:rPr>
        <w:t xml:space="preserve"> d)</w:t>
      </w:r>
      <w:r w:rsidRPr="00B42AEE">
        <w:rPr>
          <w:lang w:val="es-ES_tradnl"/>
        </w:rPr>
        <w:t xml:space="preserve"> del documento UNEP/</w:t>
      </w:r>
      <w:proofErr w:type="spellStart"/>
      <w:r w:rsidRPr="00B42AEE">
        <w:rPr>
          <w:lang w:val="es-ES_tradnl"/>
        </w:rPr>
        <w:t>OzL.Pro</w:t>
      </w:r>
      <w:proofErr w:type="spellEnd"/>
      <w:r w:rsidRPr="00B42AEE">
        <w:rPr>
          <w:lang w:val="es-ES_tradnl"/>
        </w:rPr>
        <w:t>/</w:t>
      </w:r>
      <w:proofErr w:type="spellStart"/>
      <w:r w:rsidRPr="00B42AEE">
        <w:rPr>
          <w:lang w:val="es-ES_tradnl"/>
        </w:rPr>
        <w:t>ExCom</w:t>
      </w:r>
      <w:proofErr w:type="spellEnd"/>
      <w:r w:rsidRPr="00B42AEE">
        <w:rPr>
          <w:lang w:val="es-ES_tradnl"/>
        </w:rPr>
        <w:t>/86/IAP/3</w:t>
      </w:r>
      <w:r>
        <w:rPr>
          <w:lang w:val="es-ES_tradnl"/>
        </w:rPr>
        <w:t>.</w:t>
      </w:r>
    </w:p>
  </w:footnote>
  <w:footnote w:id="5">
    <w:p w14:paraId="23BFF926" w14:textId="201B53B6" w:rsidR="00DF3C16" w:rsidRPr="00B42AEE" w:rsidRDefault="00DF3C16" w:rsidP="005D03D7">
      <w:pPr>
        <w:pStyle w:val="FootnoteText"/>
        <w:rPr>
          <w:lang w:val="es-ES_tradnl"/>
        </w:rPr>
      </w:pPr>
      <w:r w:rsidRPr="00B42AEE">
        <w:rPr>
          <w:rStyle w:val="FootnoteReference"/>
          <w:lang w:val="es-ES_tradnl"/>
        </w:rPr>
        <w:footnoteRef/>
      </w:r>
      <w:r w:rsidRPr="00B42AEE">
        <w:rPr>
          <w:lang w:val="es-ES_tradnl"/>
        </w:rPr>
        <w:t xml:space="preserve"> </w:t>
      </w:r>
      <w:r>
        <w:rPr>
          <w:lang w:val="es-ES_tradnl"/>
        </w:rPr>
        <w:t>Las importaciones de</w:t>
      </w:r>
      <w:r w:rsidRPr="00B42AEE">
        <w:rPr>
          <w:lang w:val="es-ES_tradnl"/>
        </w:rPr>
        <w:t xml:space="preserve"> HCFC </w:t>
      </w:r>
      <w:r>
        <w:rPr>
          <w:lang w:val="es-ES_tradnl"/>
        </w:rPr>
        <w:t>informadas en virtud</w:t>
      </w:r>
      <w:r w:rsidRPr="00B42AEE">
        <w:rPr>
          <w:lang w:val="es-ES_tradnl"/>
        </w:rPr>
        <w:t xml:space="preserve"> del artículo 7 </w:t>
      </w:r>
      <w:r>
        <w:rPr>
          <w:lang w:val="es-ES_tradnl"/>
        </w:rPr>
        <w:t>para 2017 a</w:t>
      </w:r>
      <w:r w:rsidRPr="00D37669">
        <w:rPr>
          <w:lang w:val="es-ES_tradnl"/>
        </w:rPr>
        <w:t xml:space="preserve"> 2019</w:t>
      </w:r>
      <w:r>
        <w:rPr>
          <w:lang w:val="es-ES_tradnl"/>
        </w:rPr>
        <w:t xml:space="preserve"> fueron </w:t>
      </w:r>
      <w:r w:rsidRPr="00941D79">
        <w:rPr>
          <w:lang w:val="es-ES_tradnl"/>
        </w:rPr>
        <w:t>ligeramente</w:t>
      </w:r>
      <w:r w:rsidRPr="00B42AEE">
        <w:rPr>
          <w:lang w:val="es-ES_tradnl"/>
        </w:rPr>
        <w:t xml:space="preserve"> </w:t>
      </w:r>
      <w:r>
        <w:rPr>
          <w:lang w:val="es-ES_tradnl"/>
        </w:rPr>
        <w:t>mayores</w:t>
      </w:r>
      <w:r w:rsidRPr="00B42AEE">
        <w:rPr>
          <w:lang w:val="es-ES_tradnl"/>
        </w:rPr>
        <w:t xml:space="preserve"> (</w:t>
      </w:r>
      <w:r>
        <w:rPr>
          <w:lang w:val="es-ES_tradnl"/>
        </w:rPr>
        <w:t xml:space="preserve">en cerca de </w:t>
      </w:r>
      <w:r w:rsidRPr="00B42AEE">
        <w:rPr>
          <w:lang w:val="es-ES_tradnl"/>
        </w:rPr>
        <w:t xml:space="preserve">9 </w:t>
      </w:r>
      <w:proofErr w:type="spellStart"/>
      <w:r w:rsidRPr="00B42AEE">
        <w:rPr>
          <w:lang w:val="es-ES_tradnl"/>
        </w:rPr>
        <w:t>tm</w:t>
      </w:r>
      <w:proofErr w:type="spellEnd"/>
      <w:r w:rsidRPr="00B42AEE">
        <w:rPr>
          <w:lang w:val="es-ES_tradnl"/>
        </w:rPr>
        <w:t xml:space="preserve"> o 0.50 </w:t>
      </w:r>
      <w:proofErr w:type="spellStart"/>
      <w:r w:rsidRPr="00B42AEE">
        <w:rPr>
          <w:lang w:val="es-ES_tradnl"/>
        </w:rPr>
        <w:t>tons</w:t>
      </w:r>
      <w:proofErr w:type="spellEnd"/>
      <w:r w:rsidRPr="00B42AEE">
        <w:rPr>
          <w:lang w:val="es-ES_tradnl"/>
        </w:rPr>
        <w:t xml:space="preserve">. PAO) </w:t>
      </w:r>
      <w:r>
        <w:rPr>
          <w:lang w:val="es-ES_tradnl"/>
        </w:rPr>
        <w:t xml:space="preserve">al uso sectorial </w:t>
      </w:r>
      <w:r w:rsidRPr="00B42AEE">
        <w:rPr>
          <w:lang w:val="es-ES_tradnl"/>
        </w:rPr>
        <w:t xml:space="preserve">estimado en </w:t>
      </w:r>
      <w:r>
        <w:rPr>
          <w:lang w:val="es-ES_tradnl"/>
        </w:rPr>
        <w:t>los</w:t>
      </w:r>
      <w:r w:rsidRPr="00B42AEE">
        <w:rPr>
          <w:lang w:val="es-ES_tradnl"/>
        </w:rPr>
        <w:t xml:space="preserve"> </w:t>
      </w:r>
      <w:r w:rsidRPr="001F4889">
        <w:rPr>
          <w:lang w:val="es-ES_tradnl"/>
        </w:rPr>
        <w:t xml:space="preserve">informes de </w:t>
      </w:r>
      <w:r>
        <w:rPr>
          <w:lang w:val="es-ES_tradnl"/>
        </w:rPr>
        <w:t>ejecución</w:t>
      </w:r>
      <w:r w:rsidRPr="001F4889">
        <w:rPr>
          <w:lang w:val="es-ES_tradnl"/>
        </w:rPr>
        <w:t xml:space="preserve"> </w:t>
      </w:r>
      <w:r>
        <w:rPr>
          <w:lang w:val="es-ES_tradnl"/>
        </w:rPr>
        <w:t xml:space="preserve">del </w:t>
      </w:r>
      <w:r w:rsidRPr="00B42AEE">
        <w:rPr>
          <w:lang w:val="es-ES_tradnl"/>
        </w:rPr>
        <w:t>programa país.</w:t>
      </w:r>
    </w:p>
  </w:footnote>
  <w:footnote w:id="6">
    <w:p w14:paraId="25A567C3" w14:textId="4A244A2B" w:rsidR="00DF3C16" w:rsidRPr="00B42AEE" w:rsidRDefault="00DF3C16">
      <w:pPr>
        <w:pStyle w:val="FootnoteText"/>
        <w:rPr>
          <w:lang w:val="es-ES_tradnl"/>
        </w:rPr>
      </w:pPr>
      <w:r w:rsidRPr="00B42AEE">
        <w:rPr>
          <w:rStyle w:val="FootnoteReference"/>
          <w:lang w:val="es-ES_tradnl"/>
        </w:rPr>
        <w:footnoteRef/>
      </w:r>
      <w:r w:rsidRPr="00B42AEE">
        <w:rPr>
          <w:lang w:val="es-ES_tradnl"/>
        </w:rPr>
        <w:t xml:space="preserve"> </w:t>
      </w:r>
      <w:r>
        <w:rPr>
          <w:lang w:val="es-ES_tradnl"/>
        </w:rPr>
        <w:t>A</w:t>
      </w:r>
      <w:r w:rsidRPr="00412149">
        <w:rPr>
          <w:lang w:val="es-ES_tradnl"/>
        </w:rPr>
        <w:t xml:space="preserve"> fines de junio de 2021</w:t>
      </w:r>
      <w:r>
        <w:rPr>
          <w:lang w:val="es-ES_tradnl"/>
        </w:rPr>
        <w:t xml:space="preserve"> se espera haber capacitado a un </w:t>
      </w:r>
      <w:r w:rsidRPr="00B42AEE">
        <w:rPr>
          <w:lang w:val="es-ES_tradnl"/>
        </w:rPr>
        <w:t>total</w:t>
      </w:r>
      <w:r>
        <w:rPr>
          <w:lang w:val="es-ES_tradnl"/>
        </w:rPr>
        <w:t xml:space="preserve"> de</w:t>
      </w:r>
      <w:r w:rsidRPr="00B42AEE">
        <w:rPr>
          <w:lang w:val="es-ES_tradnl"/>
        </w:rPr>
        <w:t xml:space="preserve"> 300 funcionarios aduaneros.</w:t>
      </w:r>
    </w:p>
  </w:footnote>
  <w:footnote w:id="7">
    <w:p w14:paraId="0B3E2A2F" w14:textId="662EF9A2" w:rsidR="00DF3C16" w:rsidRPr="00B42AEE" w:rsidRDefault="00DF3C16">
      <w:pPr>
        <w:pStyle w:val="FootnoteText"/>
        <w:rPr>
          <w:lang w:val="es-ES_tradnl"/>
        </w:rPr>
      </w:pPr>
      <w:r w:rsidRPr="00B42AEE">
        <w:rPr>
          <w:rStyle w:val="FootnoteReference"/>
          <w:lang w:val="es-ES_tradnl"/>
        </w:rPr>
        <w:footnoteRef/>
      </w:r>
      <w:r w:rsidRPr="00B42AEE">
        <w:rPr>
          <w:lang w:val="es-ES_tradnl"/>
        </w:rPr>
        <w:t xml:space="preserve"> </w:t>
      </w:r>
      <w:r w:rsidRPr="00641608">
        <w:rPr>
          <w:lang w:val="es-ES_tradnl"/>
        </w:rPr>
        <w:t xml:space="preserve">A fines de junio de 2021 se espera haber capacitado a un total de </w:t>
      </w:r>
      <w:r w:rsidRPr="00B42AEE">
        <w:rPr>
          <w:lang w:val="es-ES_tradnl"/>
        </w:rPr>
        <w:t>400 técnicos.</w:t>
      </w:r>
    </w:p>
  </w:footnote>
  <w:footnote w:id="8">
    <w:p w14:paraId="639085E1" w14:textId="1453925D" w:rsidR="00DF3C16" w:rsidRPr="00B42AEE" w:rsidRDefault="00DF3C16">
      <w:pPr>
        <w:pStyle w:val="FootnoteText"/>
        <w:rPr>
          <w:lang w:val="es-ES_tradnl"/>
        </w:rPr>
      </w:pPr>
      <w:r w:rsidRPr="00B42AEE">
        <w:rPr>
          <w:rStyle w:val="FootnoteReference"/>
          <w:lang w:val="es-ES_tradnl"/>
        </w:rPr>
        <w:footnoteRef/>
      </w:r>
      <w:r w:rsidRPr="00B42AEE">
        <w:rPr>
          <w:lang w:val="es-ES_tradnl"/>
        </w:rPr>
        <w:t xml:space="preserve"> </w:t>
      </w:r>
      <w:r>
        <w:rPr>
          <w:lang w:val="es-ES_tradnl"/>
        </w:rPr>
        <w:t xml:space="preserve">Los </w:t>
      </w:r>
      <w:r w:rsidRPr="00253204">
        <w:rPr>
          <w:lang w:val="es-ES_tradnl"/>
        </w:rPr>
        <w:t xml:space="preserve">códigos </w:t>
      </w:r>
      <w:r>
        <w:rPr>
          <w:lang w:val="es-ES_tradnl"/>
        </w:rPr>
        <w:t xml:space="preserve">abarcan, </w:t>
      </w:r>
      <w:r w:rsidRPr="000259EF">
        <w:rPr>
          <w:lang w:val="es-ES_tradnl"/>
        </w:rPr>
        <w:t>entre otros</w:t>
      </w:r>
      <w:r>
        <w:rPr>
          <w:lang w:val="es-ES_tradnl"/>
        </w:rPr>
        <w:t xml:space="preserve">, </w:t>
      </w:r>
      <w:r w:rsidRPr="00B42AEE">
        <w:rPr>
          <w:lang w:val="es-ES_tradnl"/>
        </w:rPr>
        <w:t xml:space="preserve">manejo de refrigerantes, </w:t>
      </w:r>
      <w:r>
        <w:rPr>
          <w:lang w:val="es-ES_tradnl"/>
        </w:rPr>
        <w:t>normas técnicas para</w:t>
      </w:r>
      <w:r w:rsidRPr="00B42AEE">
        <w:rPr>
          <w:lang w:val="es-ES_tradnl"/>
        </w:rPr>
        <w:t xml:space="preserve"> </w:t>
      </w:r>
      <w:r>
        <w:rPr>
          <w:lang w:val="es-ES_tradnl"/>
        </w:rPr>
        <w:t>unidades de climatización doméstica</w:t>
      </w:r>
      <w:r w:rsidRPr="00B42AEE">
        <w:rPr>
          <w:lang w:val="es-ES_tradnl"/>
        </w:rPr>
        <w:t xml:space="preserve">, </w:t>
      </w:r>
      <w:r>
        <w:rPr>
          <w:lang w:val="es-ES_tradnl"/>
        </w:rPr>
        <w:t>clasificación de refrigerantes</w:t>
      </w:r>
      <w:r w:rsidRPr="00B42AEE">
        <w:rPr>
          <w:lang w:val="es-ES_tradnl"/>
        </w:rPr>
        <w:t xml:space="preserve"> </w:t>
      </w:r>
      <w:r>
        <w:rPr>
          <w:lang w:val="es-ES_tradnl"/>
        </w:rPr>
        <w:t xml:space="preserve">según efectos </w:t>
      </w:r>
      <w:r w:rsidRPr="00B42AEE">
        <w:rPr>
          <w:lang w:val="es-ES_tradnl"/>
        </w:rPr>
        <w:t xml:space="preserve">en la capa de ozono, </w:t>
      </w:r>
      <w:r>
        <w:rPr>
          <w:lang w:val="es-ES_tradnl"/>
        </w:rPr>
        <w:t>control de fugas</w:t>
      </w:r>
      <w:r w:rsidRPr="00B42AEE">
        <w:rPr>
          <w:lang w:val="es-ES_tradnl"/>
        </w:rPr>
        <w:t xml:space="preserve">, </w:t>
      </w:r>
      <w:r>
        <w:rPr>
          <w:lang w:val="es-ES_tradnl"/>
        </w:rPr>
        <w:t>métodos</w:t>
      </w:r>
      <w:r w:rsidRPr="00B42AEE">
        <w:rPr>
          <w:lang w:val="es-ES_tradnl"/>
        </w:rPr>
        <w:t xml:space="preserve"> de transporte y </w:t>
      </w:r>
      <w:r>
        <w:rPr>
          <w:lang w:val="es-ES_tradnl"/>
        </w:rPr>
        <w:t>manejo</w:t>
      </w:r>
      <w:r w:rsidRPr="00B42AEE">
        <w:rPr>
          <w:lang w:val="es-ES_tradnl"/>
        </w:rPr>
        <w:t xml:space="preserve">, </w:t>
      </w:r>
      <w:r>
        <w:rPr>
          <w:lang w:val="es-ES_tradnl"/>
        </w:rPr>
        <w:t>inspección</w:t>
      </w:r>
      <w:r w:rsidRPr="00B42AEE">
        <w:rPr>
          <w:lang w:val="es-ES_tradnl"/>
        </w:rPr>
        <w:t xml:space="preserve"> y </w:t>
      </w:r>
      <w:r>
        <w:rPr>
          <w:lang w:val="es-ES_tradnl"/>
        </w:rPr>
        <w:t>prueba</w:t>
      </w:r>
      <w:r w:rsidRPr="00B42AEE">
        <w:rPr>
          <w:lang w:val="es-ES_tradnl"/>
        </w:rPr>
        <w:t xml:space="preserve"> de </w:t>
      </w:r>
      <w:r>
        <w:rPr>
          <w:lang w:val="es-ES_tradnl"/>
        </w:rPr>
        <w:t>envases de refrigerante</w:t>
      </w:r>
      <w:r w:rsidRPr="00B42AEE">
        <w:rPr>
          <w:lang w:val="es-ES_tradnl"/>
        </w:rPr>
        <w:t xml:space="preserve"> y </w:t>
      </w:r>
      <w:r>
        <w:rPr>
          <w:lang w:val="es-ES_tradnl"/>
        </w:rPr>
        <w:t xml:space="preserve">descarte </w:t>
      </w:r>
      <w:r w:rsidRPr="00B42AEE">
        <w:rPr>
          <w:lang w:val="es-ES_tradnl"/>
        </w:rPr>
        <w:t xml:space="preserve">de </w:t>
      </w:r>
      <w:r>
        <w:rPr>
          <w:lang w:val="es-ES_tradnl"/>
        </w:rPr>
        <w:t>cilindros</w:t>
      </w:r>
      <w:r w:rsidRPr="0083084B">
        <w:rPr>
          <w:lang w:val="es-419"/>
        </w:rPr>
        <w:t xml:space="preserve"> </w:t>
      </w:r>
      <w:r w:rsidRPr="00A35436">
        <w:rPr>
          <w:lang w:val="es-ES_tradnl"/>
        </w:rPr>
        <w:t>no recargable</w:t>
      </w:r>
      <w:r>
        <w:rPr>
          <w:lang w:val="es-ES_tradnl"/>
        </w:rPr>
        <w:t>s</w:t>
      </w:r>
      <w:r w:rsidRPr="00B42AEE">
        <w:rPr>
          <w:lang w:val="es-ES_tradnl"/>
        </w:rPr>
        <w:t>.</w:t>
      </w:r>
    </w:p>
  </w:footnote>
  <w:footnote w:id="9">
    <w:p w14:paraId="3A6D0259" w14:textId="71FFD392" w:rsidR="00DF3C16" w:rsidRPr="00791FD9" w:rsidRDefault="00DF3C16" w:rsidP="00925198">
      <w:pPr>
        <w:rPr>
          <w:lang w:val="es-ES_tradnl"/>
        </w:rPr>
      </w:pPr>
      <w:r w:rsidRPr="00B42AEE">
        <w:rPr>
          <w:rStyle w:val="FootnoteReference"/>
          <w:lang w:val="es-ES_tradnl"/>
        </w:rPr>
        <w:footnoteRef/>
      </w:r>
      <w:r w:rsidRPr="00B42AEE">
        <w:rPr>
          <w:lang w:val="es-ES_tradnl"/>
        </w:rPr>
        <w:t xml:space="preserve"> </w:t>
      </w:r>
      <w:r>
        <w:rPr>
          <w:sz w:val="20"/>
          <w:szCs w:val="20"/>
          <w:lang w:val="es-ES_tradnl"/>
        </w:rPr>
        <w:t>Los que c</w:t>
      </w:r>
      <w:r w:rsidRPr="00D140E5">
        <w:rPr>
          <w:sz w:val="20"/>
          <w:szCs w:val="20"/>
          <w:lang w:val="es-ES_tradnl"/>
        </w:rPr>
        <w:t>ontiene</w:t>
      </w:r>
      <w:r>
        <w:rPr>
          <w:sz w:val="20"/>
          <w:szCs w:val="20"/>
          <w:lang w:val="es-ES_tradnl"/>
        </w:rPr>
        <w:t>n</w:t>
      </w:r>
      <w:r w:rsidRPr="00D140E5">
        <w:rPr>
          <w:sz w:val="20"/>
          <w:szCs w:val="20"/>
          <w:lang w:val="es-ES_tradnl"/>
        </w:rPr>
        <w:t xml:space="preserve"> llaves de trinquete, herramientas de acampanado y abocardado, </w:t>
      </w:r>
      <w:r w:rsidRPr="007A1439">
        <w:rPr>
          <w:sz w:val="20"/>
          <w:szCs w:val="20"/>
          <w:lang w:val="es-ES_tradnl"/>
        </w:rPr>
        <w:t>cortatubos</w:t>
      </w:r>
      <w:r w:rsidRPr="00D140E5">
        <w:rPr>
          <w:sz w:val="20"/>
          <w:szCs w:val="20"/>
          <w:lang w:val="es-ES_tradnl"/>
        </w:rPr>
        <w:t>, alicates de corte, escariadores, llaves dinamométricas, juego de herramientas de aluminio con cerradura, llaves hexagonales, destornilladores múltiples, manómetros de cuatro válvulas con manguera</w:t>
      </w:r>
      <w:r>
        <w:rPr>
          <w:sz w:val="20"/>
          <w:szCs w:val="20"/>
          <w:lang w:val="es-ES_tradnl"/>
        </w:rPr>
        <w:t>s</w:t>
      </w:r>
      <w:r w:rsidRPr="00D140E5">
        <w:rPr>
          <w:sz w:val="20"/>
          <w:szCs w:val="20"/>
          <w:lang w:val="es-ES_tradnl"/>
        </w:rPr>
        <w:t xml:space="preserve">, bombas de vacío, </w:t>
      </w:r>
      <w:proofErr w:type="spellStart"/>
      <w:r w:rsidRPr="00D140E5">
        <w:rPr>
          <w:sz w:val="20"/>
          <w:szCs w:val="20"/>
          <w:lang w:val="es-ES_tradnl"/>
        </w:rPr>
        <w:t>vacuómetros</w:t>
      </w:r>
      <w:proofErr w:type="spellEnd"/>
      <w:r w:rsidRPr="00D140E5">
        <w:rPr>
          <w:sz w:val="20"/>
          <w:szCs w:val="20"/>
          <w:lang w:val="es-ES_tradnl"/>
        </w:rPr>
        <w:t>, multímetro</w:t>
      </w:r>
      <w:r>
        <w:rPr>
          <w:sz w:val="20"/>
          <w:szCs w:val="20"/>
          <w:lang w:val="es-ES_tradnl"/>
        </w:rPr>
        <w:t>s</w:t>
      </w:r>
      <w:r w:rsidRPr="00D140E5">
        <w:rPr>
          <w:sz w:val="20"/>
          <w:szCs w:val="20"/>
          <w:lang w:val="es-ES_tradnl"/>
        </w:rPr>
        <w:t xml:space="preserve"> digital</w:t>
      </w:r>
      <w:r>
        <w:rPr>
          <w:sz w:val="20"/>
          <w:szCs w:val="20"/>
          <w:lang w:val="es-ES_tradnl"/>
        </w:rPr>
        <w:t>es</w:t>
      </w:r>
      <w:r w:rsidRPr="0083084B">
        <w:rPr>
          <w:lang w:val="es-419"/>
        </w:rPr>
        <w:t xml:space="preserve"> </w:t>
      </w:r>
      <w:r w:rsidRPr="004E4E4F">
        <w:rPr>
          <w:sz w:val="20"/>
          <w:szCs w:val="20"/>
          <w:lang w:val="es-ES_tradnl"/>
        </w:rPr>
        <w:t>portátil</w:t>
      </w:r>
      <w:r>
        <w:rPr>
          <w:sz w:val="20"/>
          <w:szCs w:val="20"/>
          <w:lang w:val="es-ES_tradnl"/>
        </w:rPr>
        <w:t>es</w:t>
      </w:r>
      <w:r w:rsidRPr="00D140E5">
        <w:rPr>
          <w:sz w:val="20"/>
          <w:szCs w:val="20"/>
          <w:lang w:val="es-ES_tradnl"/>
        </w:rPr>
        <w:t>, balanza</w:t>
      </w:r>
      <w:r>
        <w:rPr>
          <w:sz w:val="20"/>
          <w:szCs w:val="20"/>
          <w:lang w:val="es-ES_tradnl"/>
        </w:rPr>
        <w:t>s</w:t>
      </w:r>
      <w:r w:rsidRPr="00D140E5">
        <w:rPr>
          <w:sz w:val="20"/>
          <w:szCs w:val="20"/>
          <w:lang w:val="es-ES_tradnl"/>
        </w:rPr>
        <w:t xml:space="preserve">, </w:t>
      </w:r>
      <w:r>
        <w:rPr>
          <w:sz w:val="20"/>
          <w:szCs w:val="20"/>
          <w:lang w:val="es-ES_tradnl"/>
        </w:rPr>
        <w:t>detectores</w:t>
      </w:r>
      <w:r w:rsidRPr="00D140E5">
        <w:rPr>
          <w:sz w:val="20"/>
          <w:szCs w:val="20"/>
          <w:lang w:val="es-ES_tradnl"/>
        </w:rPr>
        <w:t xml:space="preserve"> </w:t>
      </w:r>
      <w:r>
        <w:rPr>
          <w:sz w:val="20"/>
          <w:szCs w:val="20"/>
          <w:lang w:val="es-ES_tradnl"/>
        </w:rPr>
        <w:t>electrónicos</w:t>
      </w:r>
      <w:r w:rsidRPr="00D140E5">
        <w:rPr>
          <w:sz w:val="20"/>
          <w:szCs w:val="20"/>
          <w:lang w:val="es-ES_tradnl"/>
        </w:rPr>
        <w:t xml:space="preserve"> de fugas, antiparras y guantes de seguridad.</w:t>
      </w:r>
    </w:p>
  </w:footnote>
  <w:footnote w:id="10">
    <w:p w14:paraId="5675EE67" w14:textId="1A8F73EC" w:rsidR="00DF3C16" w:rsidRPr="00B42AEE" w:rsidRDefault="00DF3C16" w:rsidP="00602308">
      <w:pPr>
        <w:pStyle w:val="FootnoteText"/>
        <w:rPr>
          <w:lang w:val="es-ES_tradnl"/>
        </w:rPr>
      </w:pPr>
      <w:r w:rsidRPr="00B42AEE">
        <w:rPr>
          <w:rStyle w:val="FootnoteReference"/>
          <w:lang w:val="es-ES_tradnl"/>
        </w:rPr>
        <w:footnoteRef/>
      </w:r>
      <w:r w:rsidRPr="00B42AEE">
        <w:rPr>
          <w:lang w:val="es-ES_tradnl"/>
        </w:rPr>
        <w:t xml:space="preserve"> </w:t>
      </w:r>
      <w:r>
        <w:rPr>
          <w:lang w:val="es-ES_tradnl"/>
        </w:rPr>
        <w:t>Se solicita</w:t>
      </w:r>
      <w:r w:rsidRPr="004D33D9">
        <w:rPr>
          <w:lang w:val="es-ES_tradnl"/>
        </w:rPr>
        <w:t xml:space="preserve"> a los organismos bilaterales y de ejecución aplicar las políticas operativas sobre integración de la perspectiva de género a cada aspecto del ciclo de proyectos.</w:t>
      </w:r>
    </w:p>
  </w:footnote>
  <w:footnote w:id="11">
    <w:p w14:paraId="2DA518B8" w14:textId="06E807A3" w:rsidR="00DF3C16" w:rsidRPr="00B42AEE" w:rsidRDefault="00DF3C16">
      <w:pPr>
        <w:pStyle w:val="FootnoteText"/>
        <w:rPr>
          <w:lang w:val="es-ES_tradnl"/>
        </w:rPr>
      </w:pPr>
      <w:r w:rsidRPr="00B42AEE">
        <w:rPr>
          <w:rStyle w:val="FootnoteReference"/>
          <w:lang w:val="es-ES_tradnl"/>
        </w:rPr>
        <w:footnoteRef/>
      </w:r>
      <w:r w:rsidRPr="00B42AEE">
        <w:rPr>
          <w:lang w:val="es-ES_tradnl"/>
        </w:rPr>
        <w:t xml:space="preserve"> UNEP/</w:t>
      </w:r>
      <w:proofErr w:type="spellStart"/>
      <w:r w:rsidRPr="00B42AEE">
        <w:rPr>
          <w:lang w:val="es-ES_tradnl"/>
        </w:rPr>
        <w:t>OzL.Pro</w:t>
      </w:r>
      <w:proofErr w:type="spellEnd"/>
      <w:r w:rsidRPr="00B42AEE">
        <w:rPr>
          <w:lang w:val="es-ES_tradnl"/>
        </w:rPr>
        <w:t>/</w:t>
      </w:r>
      <w:proofErr w:type="spellStart"/>
      <w:r w:rsidRPr="00B42AEE">
        <w:rPr>
          <w:lang w:val="es-ES_tradnl"/>
        </w:rPr>
        <w:t>ExCom</w:t>
      </w:r>
      <w:proofErr w:type="spellEnd"/>
      <w:r w:rsidRPr="00B42AEE">
        <w:rPr>
          <w:lang w:val="es-ES_tradnl"/>
        </w:rPr>
        <w:t>/86/IAP/</w:t>
      </w:r>
      <w:r>
        <w:rPr>
          <w:lang w:val="es-ES_tradnl"/>
        </w:rPr>
        <w:t xml:space="preserve">3, </w:t>
      </w:r>
      <w:r w:rsidRPr="00B42AEE">
        <w:rPr>
          <w:lang w:val="es-ES_tradnl"/>
        </w:rPr>
        <w:t>párrafos 35</w:t>
      </w:r>
      <w:r>
        <w:rPr>
          <w:lang w:val="es-ES_tradnl"/>
        </w:rPr>
        <w:t xml:space="preserve"> d)</w:t>
      </w:r>
      <w:r w:rsidRPr="00B42AEE">
        <w:rPr>
          <w:lang w:val="es-ES_tradnl"/>
        </w:rPr>
        <w:t xml:space="preserve"> y 37</w:t>
      </w:r>
      <w:r>
        <w:rPr>
          <w:lang w:val="es-ES_tradnl"/>
        </w:rPr>
        <w:t xml:space="preserve"> e)</w:t>
      </w:r>
      <w:r w:rsidRPr="00B42AEE">
        <w:rPr>
          <w:lang w:val="es-ES_tradnl"/>
        </w:rPr>
        <w:t>.</w:t>
      </w:r>
    </w:p>
  </w:footnote>
  <w:footnote w:id="12">
    <w:p w14:paraId="7F316928" w14:textId="6411D66D" w:rsidR="00DF3C16" w:rsidRPr="00B42AEE" w:rsidRDefault="00DF3C16">
      <w:pPr>
        <w:pStyle w:val="FootnoteText"/>
        <w:rPr>
          <w:lang w:val="es-ES_tradnl"/>
        </w:rPr>
      </w:pPr>
      <w:r w:rsidRPr="00B42AEE">
        <w:rPr>
          <w:rStyle w:val="FootnoteReference"/>
          <w:lang w:val="es-ES_tradnl"/>
        </w:rPr>
        <w:footnoteRef/>
      </w:r>
      <w:r w:rsidRPr="00B42AEE">
        <w:rPr>
          <w:lang w:val="es-ES_tradnl"/>
        </w:rPr>
        <w:t xml:space="preserve"> </w:t>
      </w:r>
      <w:r>
        <w:rPr>
          <w:lang w:val="es-ES_tradnl"/>
        </w:rPr>
        <w:t xml:space="preserve">Contabilizados </w:t>
      </w:r>
      <w:r w:rsidRPr="00B42AEE">
        <w:rPr>
          <w:lang w:val="es-ES_tradnl"/>
        </w:rPr>
        <w:t>en el Cuadro 2.</w:t>
      </w:r>
    </w:p>
  </w:footnote>
  <w:footnote w:id="13">
    <w:p w14:paraId="3581B2DE" w14:textId="24803854" w:rsidR="00DF3C16" w:rsidRPr="00B42AEE" w:rsidRDefault="00DF3C16" w:rsidP="00AE32F1">
      <w:pPr>
        <w:pStyle w:val="FootnoteText"/>
        <w:rPr>
          <w:lang w:val="es-ES_tradnl"/>
        </w:rPr>
      </w:pPr>
      <w:r w:rsidRPr="00B42AEE">
        <w:rPr>
          <w:rStyle w:val="FootnoteReference"/>
          <w:lang w:val="es-ES_tradnl"/>
        </w:rPr>
        <w:footnoteRef/>
      </w:r>
      <w:r w:rsidRPr="00B42AEE">
        <w:rPr>
          <w:lang w:val="es-ES_tradnl"/>
        </w:rPr>
        <w:t xml:space="preserve"> Por ejemplo</w:t>
      </w:r>
      <w:r>
        <w:rPr>
          <w:lang w:val="es-ES_tradnl"/>
        </w:rPr>
        <w:t>,</w:t>
      </w:r>
      <w:r w:rsidRPr="00B42AEE">
        <w:rPr>
          <w:lang w:val="es-ES_tradnl"/>
        </w:rPr>
        <w:t xml:space="preserve"> </w:t>
      </w:r>
      <w:r>
        <w:rPr>
          <w:lang w:val="es-ES_tradnl"/>
        </w:rPr>
        <w:t xml:space="preserve">para </w:t>
      </w:r>
      <w:r w:rsidRPr="00811427">
        <w:rPr>
          <w:lang w:val="es-ES_tradnl"/>
        </w:rPr>
        <w:t>solucionar</w:t>
      </w:r>
      <w:r>
        <w:rPr>
          <w:lang w:val="es-ES_tradnl"/>
        </w:rPr>
        <w:t xml:space="preserve"> la prolongada </w:t>
      </w:r>
      <w:r w:rsidRPr="00B42AEE">
        <w:rPr>
          <w:lang w:val="es-ES_tradnl"/>
        </w:rPr>
        <w:t xml:space="preserve">demora </w:t>
      </w:r>
      <w:r>
        <w:rPr>
          <w:lang w:val="es-ES_tradnl"/>
        </w:rPr>
        <w:t>en adquirir</w:t>
      </w:r>
      <w:r w:rsidRPr="00B42AEE">
        <w:rPr>
          <w:lang w:val="es-ES_tradnl"/>
        </w:rPr>
        <w:t xml:space="preserve"> e </w:t>
      </w:r>
      <w:r>
        <w:rPr>
          <w:lang w:val="es-ES_tradnl"/>
        </w:rPr>
        <w:t xml:space="preserve">instalar equipamiento de laboratorio para certificar </w:t>
      </w:r>
      <w:r w:rsidRPr="00B42AEE">
        <w:rPr>
          <w:lang w:val="es-ES_tradnl"/>
        </w:rPr>
        <w:t>refrigerante</w:t>
      </w:r>
      <w:r>
        <w:rPr>
          <w:lang w:val="es-ES_tradnl"/>
        </w:rPr>
        <w:t>s</w:t>
      </w:r>
      <w:r w:rsidRPr="00B42AEE">
        <w:rPr>
          <w:lang w:val="es-ES_tradnl"/>
        </w:rPr>
        <w:t xml:space="preserve"> </w:t>
      </w:r>
      <w:r>
        <w:rPr>
          <w:lang w:val="es-ES_tradnl"/>
        </w:rPr>
        <w:t xml:space="preserve">recuperados bajo la norma </w:t>
      </w:r>
      <w:r w:rsidRPr="00B42AEE">
        <w:rPr>
          <w:lang w:val="es-ES_tradnl"/>
        </w:rPr>
        <w:t>AHRI-70</w:t>
      </w:r>
      <w:r>
        <w:rPr>
          <w:lang w:val="es-ES_tradnl"/>
        </w:rPr>
        <w:t>0,</w:t>
      </w:r>
      <w:r w:rsidRPr="00B42AEE">
        <w:rPr>
          <w:lang w:val="es-ES_tradnl"/>
        </w:rPr>
        <w:t xml:space="preserve"> </w:t>
      </w:r>
      <w:r>
        <w:rPr>
          <w:lang w:val="es-ES_tradnl"/>
        </w:rPr>
        <w:t>materia que exigía la presencia de expertos</w:t>
      </w:r>
      <w:r w:rsidRPr="00B42AEE">
        <w:rPr>
          <w:lang w:val="es-ES_tradnl"/>
        </w:rPr>
        <w:t xml:space="preserve"> </w:t>
      </w:r>
      <w:r>
        <w:rPr>
          <w:lang w:val="es-ES_tradnl"/>
        </w:rPr>
        <w:t xml:space="preserve">que no podían desplazarse hasta el </w:t>
      </w:r>
      <w:r w:rsidRPr="00B42AEE">
        <w:rPr>
          <w:lang w:val="es-ES_tradnl"/>
        </w:rPr>
        <w:t xml:space="preserve">país, </w:t>
      </w:r>
      <w:r>
        <w:rPr>
          <w:lang w:val="es-ES_tradnl"/>
        </w:rPr>
        <w:t xml:space="preserve">se optó por redestinar los recursos a la compra de </w:t>
      </w:r>
      <w:r w:rsidRPr="00354B4C">
        <w:rPr>
          <w:lang w:val="es-ES_tradnl"/>
        </w:rPr>
        <w:t xml:space="preserve">herramientas </w:t>
      </w:r>
      <w:r>
        <w:rPr>
          <w:lang w:val="es-ES_tradnl"/>
        </w:rPr>
        <w:t>y unidades de recuperación</w:t>
      </w:r>
      <w:r w:rsidRPr="00B42AEE">
        <w:rPr>
          <w:lang w:val="es-ES_tradnl"/>
        </w:rPr>
        <w:t xml:space="preserve"> </w:t>
      </w:r>
      <w:r>
        <w:rPr>
          <w:lang w:val="es-ES_tradnl"/>
        </w:rPr>
        <w:t xml:space="preserve">para el </w:t>
      </w:r>
      <w:r w:rsidRPr="00B42AEE">
        <w:rPr>
          <w:lang w:val="es-ES_tradnl"/>
        </w:rPr>
        <w:t>sistema</w:t>
      </w:r>
      <w:r>
        <w:rPr>
          <w:lang w:val="es-ES_tradnl"/>
        </w:rPr>
        <w:t xml:space="preserve"> de regeneración</w:t>
      </w:r>
      <w:r w:rsidRPr="00B42AEE">
        <w:rPr>
          <w:lang w:val="es-ES_tradnl"/>
        </w:rPr>
        <w:t xml:space="preserve">, </w:t>
      </w:r>
      <w:r>
        <w:rPr>
          <w:lang w:val="es-ES_tradnl"/>
        </w:rPr>
        <w:t xml:space="preserve">el que podrá operar </w:t>
      </w:r>
      <w:r w:rsidRPr="00B42AEE">
        <w:rPr>
          <w:lang w:val="es-ES_tradnl"/>
        </w:rPr>
        <w:t xml:space="preserve">sin </w:t>
      </w:r>
      <w:r>
        <w:rPr>
          <w:lang w:val="es-ES_tradnl"/>
        </w:rPr>
        <w:t xml:space="preserve">la certificación de la norma </w:t>
      </w:r>
      <w:r w:rsidRPr="00B42AEE">
        <w:rPr>
          <w:lang w:val="es-ES_tradnl"/>
        </w:rPr>
        <w:t>AHRI-700.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391A2" w14:textId="60A8AC2E" w:rsidR="00DF3C16" w:rsidRPr="0033525D" w:rsidRDefault="00EF0985">
    <w:r>
      <w:fldChar w:fldCharType="begin"/>
    </w:r>
    <w:r>
      <w:instrText xml:space="preserve"> DOCPROPERTY "Document number"  \* MERGEFORMAT </w:instrText>
    </w:r>
    <w:r>
      <w:fldChar w:fldCharType="separate"/>
    </w:r>
    <w:r w:rsidR="00DF3C16">
      <w:t>UNEP/</w:t>
    </w:r>
    <w:proofErr w:type="spellStart"/>
    <w:r w:rsidR="00DF3C16">
      <w:t>OzL.Pro</w:t>
    </w:r>
    <w:proofErr w:type="spellEnd"/>
    <w:r w:rsidR="00DF3C16">
      <w:t>/</w:t>
    </w:r>
    <w:proofErr w:type="spellStart"/>
    <w:r w:rsidR="00DF3C16" w:rsidRPr="00EE70D2">
      <w:rPr>
        <w:lang w:val="en-CA"/>
      </w:rPr>
      <w:t>ExCom</w:t>
    </w:r>
    <w:proofErr w:type="spellEnd"/>
    <w:r w:rsidR="00DF3C16">
      <w:t>/87/30</w:t>
    </w:r>
    <w:r>
      <w:fldChar w:fldCharType="end"/>
    </w:r>
  </w:p>
  <w:p w14:paraId="69C6D615" w14:textId="77777777" w:rsidR="00DF3C16" w:rsidRPr="0033525D" w:rsidRDefault="00DF3C16"/>
  <w:p w14:paraId="0C0FC27E" w14:textId="77777777" w:rsidR="00DF3C16" w:rsidRPr="0033525D" w:rsidRDefault="00DF3C1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9EC3" w14:textId="78123FED" w:rsidR="00DF3C16" w:rsidRPr="0033525D" w:rsidRDefault="00EF0985">
    <w:pPr>
      <w:jc w:val="right"/>
    </w:pPr>
    <w:r>
      <w:fldChar w:fldCharType="begin"/>
    </w:r>
    <w:r>
      <w:instrText xml:space="preserve"> DOCPROPERTY "Document number"  \* MERGEFORMAT </w:instrText>
    </w:r>
    <w:r>
      <w:fldChar w:fldCharType="separate"/>
    </w:r>
    <w:r w:rsidR="00DF3C16">
      <w:t>UNEP/</w:t>
    </w:r>
    <w:proofErr w:type="spellStart"/>
    <w:r w:rsidR="00DF3C16">
      <w:t>OzL.Pro</w:t>
    </w:r>
    <w:proofErr w:type="spellEnd"/>
    <w:r w:rsidR="00DF3C16">
      <w:t>/</w:t>
    </w:r>
    <w:proofErr w:type="spellStart"/>
    <w:r w:rsidR="00DF3C16" w:rsidRPr="00DF3C16">
      <w:rPr>
        <w:lang w:val="en-CA"/>
      </w:rPr>
      <w:t>ExCom</w:t>
    </w:r>
    <w:proofErr w:type="spellEnd"/>
    <w:r w:rsidR="00DF3C16">
      <w:t>/87/30</w:t>
    </w:r>
    <w:r>
      <w:fldChar w:fldCharType="end"/>
    </w:r>
  </w:p>
  <w:p w14:paraId="0562AC88" w14:textId="77777777" w:rsidR="00DF3C16" w:rsidRPr="0033525D" w:rsidRDefault="00DF3C16" w:rsidP="00DB23C6">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58EE" w14:textId="1DC5A093" w:rsidR="00DF3C16" w:rsidRPr="0033525D" w:rsidRDefault="00EF0985">
    <w:r>
      <w:fldChar w:fldCharType="begin"/>
    </w:r>
    <w:r>
      <w:instrText xml:space="preserve"> DOCPROPERTY "Document number"  \* MERGEFORMAT </w:instrText>
    </w:r>
    <w:r>
      <w:fldChar w:fldCharType="separate"/>
    </w:r>
    <w:r w:rsidR="00DF3C16">
      <w:t>UNEP/</w:t>
    </w:r>
    <w:proofErr w:type="spellStart"/>
    <w:r w:rsidR="00DF3C16">
      <w:t>OzL.Pro</w:t>
    </w:r>
    <w:proofErr w:type="spellEnd"/>
    <w:r w:rsidR="00DF3C16">
      <w:t>/</w:t>
    </w:r>
    <w:proofErr w:type="spellStart"/>
    <w:r w:rsidR="00DF3C16" w:rsidRPr="00EE70D2">
      <w:rPr>
        <w:lang w:val="en-CA"/>
      </w:rPr>
      <w:t>ExCom</w:t>
    </w:r>
    <w:proofErr w:type="spellEnd"/>
    <w:r w:rsidR="00DF3C16">
      <w:t>/87/30</w:t>
    </w:r>
    <w:r>
      <w:fldChar w:fldCharType="end"/>
    </w:r>
  </w:p>
  <w:p w14:paraId="3531B420" w14:textId="77777777" w:rsidR="00EF0985" w:rsidRDefault="00EF0985" w:rsidP="00EF0985">
    <w:pPr>
      <w:pStyle w:val="Header"/>
      <w:jc w:val="left"/>
      <w:rPr>
        <w:lang w:val="en-CA"/>
      </w:rPr>
    </w:pPr>
    <w:proofErr w:type="spellStart"/>
    <w:r>
      <w:rPr>
        <w:lang w:val="en-CA"/>
      </w:rPr>
      <w:t>Anexo</w:t>
    </w:r>
    <w:proofErr w:type="spellEnd"/>
    <w:r>
      <w:rPr>
        <w:lang w:val="en-CA"/>
      </w:rPr>
      <w:t xml:space="preserve"> I</w:t>
    </w:r>
  </w:p>
  <w:p w14:paraId="7FB030B2" w14:textId="77777777" w:rsidR="00DF3C16" w:rsidRPr="0033525D" w:rsidRDefault="00DF3C1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E2FB" w14:textId="643B08DA" w:rsidR="00DF3C16" w:rsidRDefault="00EF0985">
    <w:pPr>
      <w:jc w:val="right"/>
    </w:pPr>
    <w:r>
      <w:fldChar w:fldCharType="begin"/>
    </w:r>
    <w:r>
      <w:instrText xml:space="preserve"> DOCPROPERTY "Document number"  \* MERGEFORMAT </w:instrText>
    </w:r>
    <w:r>
      <w:fldChar w:fldCharType="separate"/>
    </w:r>
    <w:r w:rsidR="00DF3C16">
      <w:t>UNEP/</w:t>
    </w:r>
    <w:proofErr w:type="spellStart"/>
    <w:r w:rsidR="00DF3C16">
      <w:t>OzL.Pro</w:t>
    </w:r>
    <w:proofErr w:type="spellEnd"/>
    <w:r w:rsidR="00DF3C16">
      <w:t>/</w:t>
    </w:r>
    <w:proofErr w:type="spellStart"/>
    <w:r w:rsidR="00DF3C16" w:rsidRPr="00EE70D2">
      <w:rPr>
        <w:lang w:val="en-CA"/>
      </w:rPr>
      <w:t>ExCom</w:t>
    </w:r>
    <w:proofErr w:type="spellEnd"/>
    <w:r w:rsidR="00DF3C16">
      <w:t>/87/30</w:t>
    </w:r>
    <w:r>
      <w:fldChar w:fldCharType="end"/>
    </w:r>
  </w:p>
  <w:p w14:paraId="1D883797" w14:textId="77777777" w:rsidR="00EF0985" w:rsidRDefault="00EF0985" w:rsidP="00EF0985">
    <w:pPr>
      <w:pStyle w:val="Header"/>
      <w:jc w:val="right"/>
      <w:rPr>
        <w:lang w:val="en-CA"/>
      </w:rPr>
    </w:pPr>
    <w:proofErr w:type="spellStart"/>
    <w:r>
      <w:rPr>
        <w:lang w:val="en-CA"/>
      </w:rPr>
      <w:t>Anexo</w:t>
    </w:r>
    <w:proofErr w:type="spellEnd"/>
    <w:r>
      <w:rPr>
        <w:lang w:val="en-CA"/>
      </w:rPr>
      <w:t xml:space="preserve"> I</w:t>
    </w:r>
  </w:p>
  <w:p w14:paraId="1149B2E2" w14:textId="77777777" w:rsidR="00DF3C16" w:rsidRPr="0033525D" w:rsidRDefault="00DF3C1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5B60" w14:textId="77777777" w:rsidR="00DF3C16" w:rsidRPr="00365451" w:rsidRDefault="00DF3C16">
    <w:pPr>
      <w:pStyle w:val="Header"/>
    </w:pPr>
    <w:r w:rsidRPr="00365451">
      <w:t>UNEP/</w:t>
    </w:r>
    <w:proofErr w:type="spellStart"/>
    <w:r w:rsidRPr="00365451">
      <w:t>OzL.Pro</w:t>
    </w:r>
    <w:proofErr w:type="spellEnd"/>
    <w:r w:rsidRPr="00365451">
      <w:t>/</w:t>
    </w:r>
    <w:proofErr w:type="spellStart"/>
    <w:r w:rsidRPr="00365451">
      <w:t>ExCom</w:t>
    </w:r>
    <w:proofErr w:type="spellEnd"/>
    <w:r w:rsidRPr="00365451">
      <w:t>/87/?</w:t>
    </w:r>
  </w:p>
  <w:p w14:paraId="074664AB" w14:textId="77777777" w:rsidR="00DF3C16" w:rsidRPr="00365451" w:rsidRDefault="00DF3C16">
    <w:pPr>
      <w:pStyle w:val="Header"/>
    </w:pPr>
    <w:r>
      <w:t>Annex I</w:t>
    </w:r>
  </w:p>
  <w:p w14:paraId="3290B217" w14:textId="77777777" w:rsidR="00DF3C16" w:rsidRPr="00365451" w:rsidRDefault="00DF3C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A20160"/>
    <w:lvl w:ilvl="0">
      <w:start w:val="1"/>
      <w:numFmt w:val="decimal"/>
      <w:pStyle w:val="Heading1"/>
      <w:lvlText w:val="%1."/>
      <w:lvlJc w:val="left"/>
      <w:pPr>
        <w:tabs>
          <w:tab w:val="num" w:pos="0"/>
        </w:tabs>
        <w:ind w:left="0" w:firstLine="0"/>
      </w:pPr>
      <w:rPr>
        <w:rFonts w:hint="default"/>
        <w:b w:val="0"/>
        <w:i w:val="0"/>
      </w:rPr>
    </w:lvl>
    <w:lvl w:ilvl="1">
      <w:start w:val="1"/>
      <w:numFmt w:val="lowerLetter"/>
      <w:pStyle w:val="Heading2"/>
      <w:lvlText w:val="%2)"/>
      <w:lvlJc w:val="left"/>
      <w:pPr>
        <w:tabs>
          <w:tab w:val="num" w:pos="0"/>
        </w:tabs>
        <w:ind w:left="1440" w:hanging="720"/>
      </w:pPr>
      <w:rPr>
        <w:rFonts w:hint="default"/>
        <w:i w:val="0"/>
        <w:sz w:val="22"/>
        <w:szCs w:val="20"/>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09CC06D9"/>
    <w:multiLevelType w:val="hybridMultilevel"/>
    <w:tmpl w:val="56CAE616"/>
    <w:lvl w:ilvl="0" w:tplc="2CB45D86">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9F0560"/>
    <w:multiLevelType w:val="hybridMultilevel"/>
    <w:tmpl w:val="B1DA7A0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8D26E1"/>
    <w:multiLevelType w:val="multilevel"/>
    <w:tmpl w:val="9ED4D13C"/>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1440" w:hanging="720"/>
      </w:pPr>
      <w:rPr>
        <w:rFonts w:hint="default"/>
        <w:i w:val="0"/>
        <w:sz w:val="20"/>
        <w:szCs w:val="2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7E7381A"/>
    <w:multiLevelType w:val="multilevel"/>
    <w:tmpl w:val="CCFC5932"/>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1440" w:hanging="720"/>
      </w:pPr>
      <w:rPr>
        <w:i w:val="0"/>
        <w:sz w:val="20"/>
        <w:szCs w:val="20"/>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116C85"/>
    <w:multiLevelType w:val="hybridMultilevel"/>
    <w:tmpl w:val="DBBA0B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C93F68"/>
    <w:multiLevelType w:val="hybridMultilevel"/>
    <w:tmpl w:val="9B0EF268"/>
    <w:lvl w:ilvl="0" w:tplc="D444CA3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72647"/>
    <w:multiLevelType w:val="hybridMultilevel"/>
    <w:tmpl w:val="7DACB7E4"/>
    <w:lvl w:ilvl="0" w:tplc="31B66A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9"/>
  </w:num>
  <w:num w:numId="19">
    <w:abstractNumId w:val="24"/>
  </w:num>
  <w:num w:numId="20">
    <w:abstractNumId w:val="15"/>
  </w:num>
  <w:num w:numId="21">
    <w:abstractNumId w:val="20"/>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 w:numId="27">
    <w:abstractNumId w:val="22"/>
  </w:num>
  <w:num w:numId="28">
    <w:abstractNumId w:val="23"/>
  </w:num>
  <w:num w:numId="29">
    <w:abstractNumId w:val="1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3"/>
  </w:num>
  <w:num w:numId="39">
    <w:abstractNumId w:val="10"/>
    <w:lvlOverride w:ilvl="0">
      <w:startOverride w:val="11"/>
    </w:lvlOverride>
  </w:num>
  <w:num w:numId="40">
    <w:abstractNumId w:val="10"/>
    <w:lvlOverride w:ilvl="0">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mwqAUAPF0b4SwAAAA="/>
  </w:docVars>
  <w:rsids>
    <w:rsidRoot w:val="00C679D6"/>
    <w:rsid w:val="0000009C"/>
    <w:rsid w:val="00000FED"/>
    <w:rsid w:val="00001818"/>
    <w:rsid w:val="00001C8E"/>
    <w:rsid w:val="00002C47"/>
    <w:rsid w:val="00003BB2"/>
    <w:rsid w:val="0000434E"/>
    <w:rsid w:val="0000450A"/>
    <w:rsid w:val="00004855"/>
    <w:rsid w:val="00004DE7"/>
    <w:rsid w:val="00005E56"/>
    <w:rsid w:val="000060A9"/>
    <w:rsid w:val="000067D8"/>
    <w:rsid w:val="00006B3A"/>
    <w:rsid w:val="0000791E"/>
    <w:rsid w:val="00007A94"/>
    <w:rsid w:val="00007D06"/>
    <w:rsid w:val="00007EF9"/>
    <w:rsid w:val="000105E6"/>
    <w:rsid w:val="00010A72"/>
    <w:rsid w:val="00011521"/>
    <w:rsid w:val="000115EA"/>
    <w:rsid w:val="00011BE6"/>
    <w:rsid w:val="00011DBE"/>
    <w:rsid w:val="00012E42"/>
    <w:rsid w:val="00012FB7"/>
    <w:rsid w:val="000131E9"/>
    <w:rsid w:val="00013266"/>
    <w:rsid w:val="0001354A"/>
    <w:rsid w:val="00013A81"/>
    <w:rsid w:val="00014084"/>
    <w:rsid w:val="00014C60"/>
    <w:rsid w:val="00014C89"/>
    <w:rsid w:val="00015937"/>
    <w:rsid w:val="00015C0A"/>
    <w:rsid w:val="00015DD2"/>
    <w:rsid w:val="00015E25"/>
    <w:rsid w:val="0001622C"/>
    <w:rsid w:val="00016AE6"/>
    <w:rsid w:val="00016DA4"/>
    <w:rsid w:val="00017515"/>
    <w:rsid w:val="000178D9"/>
    <w:rsid w:val="00020393"/>
    <w:rsid w:val="000203D6"/>
    <w:rsid w:val="00020B58"/>
    <w:rsid w:val="00020D73"/>
    <w:rsid w:val="000211A9"/>
    <w:rsid w:val="00021EB4"/>
    <w:rsid w:val="00022173"/>
    <w:rsid w:val="0002248F"/>
    <w:rsid w:val="00022824"/>
    <w:rsid w:val="000235EB"/>
    <w:rsid w:val="00023AE6"/>
    <w:rsid w:val="00024907"/>
    <w:rsid w:val="00024C8D"/>
    <w:rsid w:val="00024E56"/>
    <w:rsid w:val="00024FC7"/>
    <w:rsid w:val="000250F8"/>
    <w:rsid w:val="00025357"/>
    <w:rsid w:val="000253D3"/>
    <w:rsid w:val="000258CB"/>
    <w:rsid w:val="000259EF"/>
    <w:rsid w:val="00025E29"/>
    <w:rsid w:val="000260F1"/>
    <w:rsid w:val="00026E0A"/>
    <w:rsid w:val="00026FA9"/>
    <w:rsid w:val="0002716B"/>
    <w:rsid w:val="0002755B"/>
    <w:rsid w:val="00027563"/>
    <w:rsid w:val="000277EE"/>
    <w:rsid w:val="00027872"/>
    <w:rsid w:val="00027924"/>
    <w:rsid w:val="00030C33"/>
    <w:rsid w:val="00030D70"/>
    <w:rsid w:val="00031260"/>
    <w:rsid w:val="0003157A"/>
    <w:rsid w:val="000319D9"/>
    <w:rsid w:val="00031AF0"/>
    <w:rsid w:val="00031D23"/>
    <w:rsid w:val="00032570"/>
    <w:rsid w:val="0003304E"/>
    <w:rsid w:val="00033969"/>
    <w:rsid w:val="000341B2"/>
    <w:rsid w:val="0003460A"/>
    <w:rsid w:val="00034BC3"/>
    <w:rsid w:val="00035F5D"/>
    <w:rsid w:val="0003681A"/>
    <w:rsid w:val="00036DB8"/>
    <w:rsid w:val="000372B7"/>
    <w:rsid w:val="0003743B"/>
    <w:rsid w:val="00037EB3"/>
    <w:rsid w:val="00040199"/>
    <w:rsid w:val="00041866"/>
    <w:rsid w:val="00042020"/>
    <w:rsid w:val="000421A1"/>
    <w:rsid w:val="00042B3D"/>
    <w:rsid w:val="000435DB"/>
    <w:rsid w:val="00044603"/>
    <w:rsid w:val="00044C42"/>
    <w:rsid w:val="00044F46"/>
    <w:rsid w:val="000462C7"/>
    <w:rsid w:val="00046304"/>
    <w:rsid w:val="000467D4"/>
    <w:rsid w:val="00046989"/>
    <w:rsid w:val="00046E74"/>
    <w:rsid w:val="00047AC7"/>
    <w:rsid w:val="00047B50"/>
    <w:rsid w:val="00047CC9"/>
    <w:rsid w:val="00050115"/>
    <w:rsid w:val="000503A0"/>
    <w:rsid w:val="00050BBD"/>
    <w:rsid w:val="00050BF3"/>
    <w:rsid w:val="00050F6E"/>
    <w:rsid w:val="0005126D"/>
    <w:rsid w:val="00051A04"/>
    <w:rsid w:val="00051C3A"/>
    <w:rsid w:val="00051E1C"/>
    <w:rsid w:val="000521A3"/>
    <w:rsid w:val="00052579"/>
    <w:rsid w:val="000537D5"/>
    <w:rsid w:val="00053F6E"/>
    <w:rsid w:val="00053FDD"/>
    <w:rsid w:val="00055144"/>
    <w:rsid w:val="00055F50"/>
    <w:rsid w:val="000561C0"/>
    <w:rsid w:val="00056676"/>
    <w:rsid w:val="00056BA4"/>
    <w:rsid w:val="00056CB3"/>
    <w:rsid w:val="000575E2"/>
    <w:rsid w:val="00057E26"/>
    <w:rsid w:val="000604C3"/>
    <w:rsid w:val="00060CC4"/>
    <w:rsid w:val="00061085"/>
    <w:rsid w:val="000611F7"/>
    <w:rsid w:val="00061E5C"/>
    <w:rsid w:val="00061EC2"/>
    <w:rsid w:val="00062273"/>
    <w:rsid w:val="00062360"/>
    <w:rsid w:val="0006291A"/>
    <w:rsid w:val="00062BEB"/>
    <w:rsid w:val="0006350B"/>
    <w:rsid w:val="0006362B"/>
    <w:rsid w:val="00063A17"/>
    <w:rsid w:val="00065587"/>
    <w:rsid w:val="0006578F"/>
    <w:rsid w:val="00065842"/>
    <w:rsid w:val="00065AB5"/>
    <w:rsid w:val="00065FE4"/>
    <w:rsid w:val="000664CD"/>
    <w:rsid w:val="000666CD"/>
    <w:rsid w:val="000668FD"/>
    <w:rsid w:val="00067235"/>
    <w:rsid w:val="00067256"/>
    <w:rsid w:val="0006777E"/>
    <w:rsid w:val="00067823"/>
    <w:rsid w:val="00067CDD"/>
    <w:rsid w:val="00067F54"/>
    <w:rsid w:val="000700E3"/>
    <w:rsid w:val="000701A7"/>
    <w:rsid w:val="00070270"/>
    <w:rsid w:val="00070603"/>
    <w:rsid w:val="00070E74"/>
    <w:rsid w:val="00071035"/>
    <w:rsid w:val="000711D7"/>
    <w:rsid w:val="00071699"/>
    <w:rsid w:val="000725E1"/>
    <w:rsid w:val="00072709"/>
    <w:rsid w:val="00072F59"/>
    <w:rsid w:val="000734F9"/>
    <w:rsid w:val="00074117"/>
    <w:rsid w:val="000741E8"/>
    <w:rsid w:val="00074C53"/>
    <w:rsid w:val="00075022"/>
    <w:rsid w:val="00075378"/>
    <w:rsid w:val="000758C1"/>
    <w:rsid w:val="00075A0D"/>
    <w:rsid w:val="00075E40"/>
    <w:rsid w:val="000761EE"/>
    <w:rsid w:val="000769DB"/>
    <w:rsid w:val="00076A89"/>
    <w:rsid w:val="00076CB3"/>
    <w:rsid w:val="00077241"/>
    <w:rsid w:val="000772CE"/>
    <w:rsid w:val="000778CA"/>
    <w:rsid w:val="00077982"/>
    <w:rsid w:val="00080ED0"/>
    <w:rsid w:val="00081F41"/>
    <w:rsid w:val="0008257B"/>
    <w:rsid w:val="00082DEE"/>
    <w:rsid w:val="000841C8"/>
    <w:rsid w:val="00085909"/>
    <w:rsid w:val="00085B8F"/>
    <w:rsid w:val="00086325"/>
    <w:rsid w:val="00086E13"/>
    <w:rsid w:val="00086F1E"/>
    <w:rsid w:val="00087059"/>
    <w:rsid w:val="000874F8"/>
    <w:rsid w:val="00087A62"/>
    <w:rsid w:val="00087B8D"/>
    <w:rsid w:val="000901DF"/>
    <w:rsid w:val="000902F0"/>
    <w:rsid w:val="00090481"/>
    <w:rsid w:val="00090561"/>
    <w:rsid w:val="000911C5"/>
    <w:rsid w:val="000914C8"/>
    <w:rsid w:val="00092CFF"/>
    <w:rsid w:val="00092FF1"/>
    <w:rsid w:val="00095490"/>
    <w:rsid w:val="0009558C"/>
    <w:rsid w:val="000959BF"/>
    <w:rsid w:val="0009655B"/>
    <w:rsid w:val="00096A40"/>
    <w:rsid w:val="000974E0"/>
    <w:rsid w:val="000A0432"/>
    <w:rsid w:val="000A1128"/>
    <w:rsid w:val="000A1241"/>
    <w:rsid w:val="000A18D9"/>
    <w:rsid w:val="000A217C"/>
    <w:rsid w:val="000A2529"/>
    <w:rsid w:val="000A2853"/>
    <w:rsid w:val="000A2B72"/>
    <w:rsid w:val="000A3826"/>
    <w:rsid w:val="000A3A02"/>
    <w:rsid w:val="000A42B6"/>
    <w:rsid w:val="000A4CA2"/>
    <w:rsid w:val="000A4EC5"/>
    <w:rsid w:val="000A565D"/>
    <w:rsid w:val="000A61E6"/>
    <w:rsid w:val="000A6365"/>
    <w:rsid w:val="000A6C26"/>
    <w:rsid w:val="000A6EFA"/>
    <w:rsid w:val="000A7081"/>
    <w:rsid w:val="000A7460"/>
    <w:rsid w:val="000A79B9"/>
    <w:rsid w:val="000A7FDF"/>
    <w:rsid w:val="000B041F"/>
    <w:rsid w:val="000B1856"/>
    <w:rsid w:val="000B19AF"/>
    <w:rsid w:val="000B20DA"/>
    <w:rsid w:val="000B2731"/>
    <w:rsid w:val="000B337D"/>
    <w:rsid w:val="000B3530"/>
    <w:rsid w:val="000B360E"/>
    <w:rsid w:val="000B46EE"/>
    <w:rsid w:val="000B5D0C"/>
    <w:rsid w:val="000B61DE"/>
    <w:rsid w:val="000B633E"/>
    <w:rsid w:val="000B69C3"/>
    <w:rsid w:val="000B7F1F"/>
    <w:rsid w:val="000C0078"/>
    <w:rsid w:val="000C0253"/>
    <w:rsid w:val="000C0E4A"/>
    <w:rsid w:val="000C0F3A"/>
    <w:rsid w:val="000C110E"/>
    <w:rsid w:val="000C1707"/>
    <w:rsid w:val="000C1901"/>
    <w:rsid w:val="000C2BEC"/>
    <w:rsid w:val="000C2DFB"/>
    <w:rsid w:val="000C30B9"/>
    <w:rsid w:val="000C3915"/>
    <w:rsid w:val="000C3C90"/>
    <w:rsid w:val="000C3CD7"/>
    <w:rsid w:val="000C5F59"/>
    <w:rsid w:val="000C686F"/>
    <w:rsid w:val="000C694D"/>
    <w:rsid w:val="000C6973"/>
    <w:rsid w:val="000C6EF6"/>
    <w:rsid w:val="000C7732"/>
    <w:rsid w:val="000C7AE8"/>
    <w:rsid w:val="000D047B"/>
    <w:rsid w:val="000D06DF"/>
    <w:rsid w:val="000D0886"/>
    <w:rsid w:val="000D2AFB"/>
    <w:rsid w:val="000D2B7C"/>
    <w:rsid w:val="000D2D20"/>
    <w:rsid w:val="000D37D5"/>
    <w:rsid w:val="000D4150"/>
    <w:rsid w:val="000D4749"/>
    <w:rsid w:val="000D523A"/>
    <w:rsid w:val="000D52A4"/>
    <w:rsid w:val="000D573A"/>
    <w:rsid w:val="000D5829"/>
    <w:rsid w:val="000D5BD3"/>
    <w:rsid w:val="000D5FAB"/>
    <w:rsid w:val="000D72AD"/>
    <w:rsid w:val="000D7777"/>
    <w:rsid w:val="000D7AE2"/>
    <w:rsid w:val="000E07BC"/>
    <w:rsid w:val="000E0F72"/>
    <w:rsid w:val="000E14D7"/>
    <w:rsid w:val="000E277C"/>
    <w:rsid w:val="000E2936"/>
    <w:rsid w:val="000E2972"/>
    <w:rsid w:val="000E2A25"/>
    <w:rsid w:val="000E321D"/>
    <w:rsid w:val="000E335A"/>
    <w:rsid w:val="000E48E7"/>
    <w:rsid w:val="000E507F"/>
    <w:rsid w:val="000E5369"/>
    <w:rsid w:val="000E583B"/>
    <w:rsid w:val="000E6D69"/>
    <w:rsid w:val="000E6FDD"/>
    <w:rsid w:val="000E7E3F"/>
    <w:rsid w:val="000F0524"/>
    <w:rsid w:val="000F0C8E"/>
    <w:rsid w:val="000F0F55"/>
    <w:rsid w:val="000F15EC"/>
    <w:rsid w:val="000F1C01"/>
    <w:rsid w:val="000F1CD4"/>
    <w:rsid w:val="000F2229"/>
    <w:rsid w:val="000F2933"/>
    <w:rsid w:val="000F2CE8"/>
    <w:rsid w:val="000F2D3F"/>
    <w:rsid w:val="000F3C6F"/>
    <w:rsid w:val="000F3FD1"/>
    <w:rsid w:val="000F4103"/>
    <w:rsid w:val="000F4302"/>
    <w:rsid w:val="000F4801"/>
    <w:rsid w:val="000F5549"/>
    <w:rsid w:val="000F578E"/>
    <w:rsid w:val="000F5C9C"/>
    <w:rsid w:val="000F6105"/>
    <w:rsid w:val="000F6125"/>
    <w:rsid w:val="000F6624"/>
    <w:rsid w:val="000F6E30"/>
    <w:rsid w:val="000F70A7"/>
    <w:rsid w:val="0010004C"/>
    <w:rsid w:val="001007C4"/>
    <w:rsid w:val="00100DDB"/>
    <w:rsid w:val="001019F6"/>
    <w:rsid w:val="00101B54"/>
    <w:rsid w:val="00101BA1"/>
    <w:rsid w:val="00101C1E"/>
    <w:rsid w:val="00103204"/>
    <w:rsid w:val="00103485"/>
    <w:rsid w:val="001039FD"/>
    <w:rsid w:val="00103A50"/>
    <w:rsid w:val="00103B2B"/>
    <w:rsid w:val="00104199"/>
    <w:rsid w:val="001044E4"/>
    <w:rsid w:val="00104B69"/>
    <w:rsid w:val="00104DF8"/>
    <w:rsid w:val="00105526"/>
    <w:rsid w:val="00105A22"/>
    <w:rsid w:val="00105E90"/>
    <w:rsid w:val="0010630A"/>
    <w:rsid w:val="00106E4D"/>
    <w:rsid w:val="001073FA"/>
    <w:rsid w:val="0011087C"/>
    <w:rsid w:val="00111270"/>
    <w:rsid w:val="0011133C"/>
    <w:rsid w:val="001115C8"/>
    <w:rsid w:val="00112AE7"/>
    <w:rsid w:val="0011335C"/>
    <w:rsid w:val="00113486"/>
    <w:rsid w:val="00113592"/>
    <w:rsid w:val="00113CCA"/>
    <w:rsid w:val="00114432"/>
    <w:rsid w:val="00114C08"/>
    <w:rsid w:val="00115212"/>
    <w:rsid w:val="0011688E"/>
    <w:rsid w:val="00116A56"/>
    <w:rsid w:val="00120FEB"/>
    <w:rsid w:val="00121329"/>
    <w:rsid w:val="001216D3"/>
    <w:rsid w:val="0012186D"/>
    <w:rsid w:val="001218C0"/>
    <w:rsid w:val="001221EC"/>
    <w:rsid w:val="00122D46"/>
    <w:rsid w:val="00122F25"/>
    <w:rsid w:val="001238D2"/>
    <w:rsid w:val="00123B8D"/>
    <w:rsid w:val="00123F10"/>
    <w:rsid w:val="00124159"/>
    <w:rsid w:val="00124C54"/>
    <w:rsid w:val="0012527E"/>
    <w:rsid w:val="00125880"/>
    <w:rsid w:val="001259DA"/>
    <w:rsid w:val="00125EF6"/>
    <w:rsid w:val="00126172"/>
    <w:rsid w:val="001265ED"/>
    <w:rsid w:val="00126E7B"/>
    <w:rsid w:val="00126F7A"/>
    <w:rsid w:val="00126FE7"/>
    <w:rsid w:val="00127454"/>
    <w:rsid w:val="001304CF"/>
    <w:rsid w:val="001309D5"/>
    <w:rsid w:val="0013185A"/>
    <w:rsid w:val="0013187A"/>
    <w:rsid w:val="001322D3"/>
    <w:rsid w:val="00133791"/>
    <w:rsid w:val="0013383C"/>
    <w:rsid w:val="001338BD"/>
    <w:rsid w:val="001340FF"/>
    <w:rsid w:val="00134C53"/>
    <w:rsid w:val="00134E8E"/>
    <w:rsid w:val="00135809"/>
    <w:rsid w:val="00135980"/>
    <w:rsid w:val="00135B3F"/>
    <w:rsid w:val="00135E01"/>
    <w:rsid w:val="0013633F"/>
    <w:rsid w:val="001370ED"/>
    <w:rsid w:val="00137107"/>
    <w:rsid w:val="00137AB7"/>
    <w:rsid w:val="00137D8B"/>
    <w:rsid w:val="00140282"/>
    <w:rsid w:val="0014028A"/>
    <w:rsid w:val="00140524"/>
    <w:rsid w:val="0014083D"/>
    <w:rsid w:val="00141ADB"/>
    <w:rsid w:val="00142294"/>
    <w:rsid w:val="001425C2"/>
    <w:rsid w:val="001429C7"/>
    <w:rsid w:val="00142C8D"/>
    <w:rsid w:val="00142E91"/>
    <w:rsid w:val="00143219"/>
    <w:rsid w:val="00143B86"/>
    <w:rsid w:val="00143EE3"/>
    <w:rsid w:val="00144063"/>
    <w:rsid w:val="00144963"/>
    <w:rsid w:val="00145557"/>
    <w:rsid w:val="00145C2C"/>
    <w:rsid w:val="00145CCF"/>
    <w:rsid w:val="00145D18"/>
    <w:rsid w:val="00146BD9"/>
    <w:rsid w:val="0014783B"/>
    <w:rsid w:val="00147A77"/>
    <w:rsid w:val="00147E6F"/>
    <w:rsid w:val="00150031"/>
    <w:rsid w:val="0015045D"/>
    <w:rsid w:val="00150AEE"/>
    <w:rsid w:val="0015118A"/>
    <w:rsid w:val="00151232"/>
    <w:rsid w:val="001514B8"/>
    <w:rsid w:val="00151B4B"/>
    <w:rsid w:val="0015235B"/>
    <w:rsid w:val="00152404"/>
    <w:rsid w:val="00152CFF"/>
    <w:rsid w:val="0015349B"/>
    <w:rsid w:val="001536B5"/>
    <w:rsid w:val="00153928"/>
    <w:rsid w:val="00153B37"/>
    <w:rsid w:val="0015434F"/>
    <w:rsid w:val="001547C9"/>
    <w:rsid w:val="001562A4"/>
    <w:rsid w:val="00156E15"/>
    <w:rsid w:val="00156F53"/>
    <w:rsid w:val="001571CE"/>
    <w:rsid w:val="00160969"/>
    <w:rsid w:val="00160C4A"/>
    <w:rsid w:val="0016127C"/>
    <w:rsid w:val="00161E3D"/>
    <w:rsid w:val="00163087"/>
    <w:rsid w:val="00163E2F"/>
    <w:rsid w:val="00164719"/>
    <w:rsid w:val="00164BB6"/>
    <w:rsid w:val="0016543A"/>
    <w:rsid w:val="00165699"/>
    <w:rsid w:val="001656F9"/>
    <w:rsid w:val="00165DB3"/>
    <w:rsid w:val="00165EAE"/>
    <w:rsid w:val="00166354"/>
    <w:rsid w:val="00166373"/>
    <w:rsid w:val="00166FC4"/>
    <w:rsid w:val="001677AC"/>
    <w:rsid w:val="00167C2E"/>
    <w:rsid w:val="00170286"/>
    <w:rsid w:val="00170705"/>
    <w:rsid w:val="00171102"/>
    <w:rsid w:val="001723EA"/>
    <w:rsid w:val="00173156"/>
    <w:rsid w:val="0017382F"/>
    <w:rsid w:val="00173A6C"/>
    <w:rsid w:val="00173CF1"/>
    <w:rsid w:val="0017425F"/>
    <w:rsid w:val="00174929"/>
    <w:rsid w:val="00174AE1"/>
    <w:rsid w:val="00174CB2"/>
    <w:rsid w:val="00175144"/>
    <w:rsid w:val="001753FB"/>
    <w:rsid w:val="001758FE"/>
    <w:rsid w:val="001759FC"/>
    <w:rsid w:val="001760D8"/>
    <w:rsid w:val="00176147"/>
    <w:rsid w:val="00176739"/>
    <w:rsid w:val="00176AEB"/>
    <w:rsid w:val="001804EA"/>
    <w:rsid w:val="001809BB"/>
    <w:rsid w:val="00180A7E"/>
    <w:rsid w:val="00180CDC"/>
    <w:rsid w:val="00180D7B"/>
    <w:rsid w:val="00182841"/>
    <w:rsid w:val="00183548"/>
    <w:rsid w:val="0018371F"/>
    <w:rsid w:val="00183E54"/>
    <w:rsid w:val="00184447"/>
    <w:rsid w:val="0018482C"/>
    <w:rsid w:val="00184FC3"/>
    <w:rsid w:val="001852C9"/>
    <w:rsid w:val="00185585"/>
    <w:rsid w:val="00185E79"/>
    <w:rsid w:val="0018609E"/>
    <w:rsid w:val="0018626C"/>
    <w:rsid w:val="0018651B"/>
    <w:rsid w:val="0018715B"/>
    <w:rsid w:val="0018745A"/>
    <w:rsid w:val="001903A0"/>
    <w:rsid w:val="001905E2"/>
    <w:rsid w:val="00190A61"/>
    <w:rsid w:val="00191385"/>
    <w:rsid w:val="0019139A"/>
    <w:rsid w:val="0019174E"/>
    <w:rsid w:val="00191876"/>
    <w:rsid w:val="00191DF3"/>
    <w:rsid w:val="001922B4"/>
    <w:rsid w:val="00192419"/>
    <w:rsid w:val="00192686"/>
    <w:rsid w:val="00192A95"/>
    <w:rsid w:val="00192FA0"/>
    <w:rsid w:val="00193917"/>
    <w:rsid w:val="00193FCC"/>
    <w:rsid w:val="00194265"/>
    <w:rsid w:val="001943E0"/>
    <w:rsid w:val="001945C9"/>
    <w:rsid w:val="00194E44"/>
    <w:rsid w:val="0019530E"/>
    <w:rsid w:val="0019574F"/>
    <w:rsid w:val="001958B3"/>
    <w:rsid w:val="001963D0"/>
    <w:rsid w:val="001967E5"/>
    <w:rsid w:val="0019698D"/>
    <w:rsid w:val="00197BD4"/>
    <w:rsid w:val="00197D03"/>
    <w:rsid w:val="001A0386"/>
    <w:rsid w:val="001A03B2"/>
    <w:rsid w:val="001A04BA"/>
    <w:rsid w:val="001A0899"/>
    <w:rsid w:val="001A0923"/>
    <w:rsid w:val="001A1006"/>
    <w:rsid w:val="001A1092"/>
    <w:rsid w:val="001A1809"/>
    <w:rsid w:val="001A27E3"/>
    <w:rsid w:val="001A30B2"/>
    <w:rsid w:val="001A3342"/>
    <w:rsid w:val="001A36E0"/>
    <w:rsid w:val="001A37DE"/>
    <w:rsid w:val="001A3E3D"/>
    <w:rsid w:val="001A3ECC"/>
    <w:rsid w:val="001A3F6B"/>
    <w:rsid w:val="001A45D2"/>
    <w:rsid w:val="001A4F35"/>
    <w:rsid w:val="001A555A"/>
    <w:rsid w:val="001A5D9F"/>
    <w:rsid w:val="001A5F37"/>
    <w:rsid w:val="001A7049"/>
    <w:rsid w:val="001A7749"/>
    <w:rsid w:val="001B024E"/>
    <w:rsid w:val="001B1761"/>
    <w:rsid w:val="001B178C"/>
    <w:rsid w:val="001B1947"/>
    <w:rsid w:val="001B1E40"/>
    <w:rsid w:val="001B2358"/>
    <w:rsid w:val="001B249C"/>
    <w:rsid w:val="001B296F"/>
    <w:rsid w:val="001B32D8"/>
    <w:rsid w:val="001B3CE0"/>
    <w:rsid w:val="001B4389"/>
    <w:rsid w:val="001B47B7"/>
    <w:rsid w:val="001B514A"/>
    <w:rsid w:val="001B539E"/>
    <w:rsid w:val="001B5D19"/>
    <w:rsid w:val="001B5E4D"/>
    <w:rsid w:val="001B674D"/>
    <w:rsid w:val="001B6E90"/>
    <w:rsid w:val="001B79A2"/>
    <w:rsid w:val="001C09D0"/>
    <w:rsid w:val="001C1340"/>
    <w:rsid w:val="001C13EE"/>
    <w:rsid w:val="001C1DD9"/>
    <w:rsid w:val="001C2414"/>
    <w:rsid w:val="001C3181"/>
    <w:rsid w:val="001C3214"/>
    <w:rsid w:val="001C3D60"/>
    <w:rsid w:val="001C3FCF"/>
    <w:rsid w:val="001C42D7"/>
    <w:rsid w:val="001C48D2"/>
    <w:rsid w:val="001C4BAE"/>
    <w:rsid w:val="001C4C5C"/>
    <w:rsid w:val="001C4F69"/>
    <w:rsid w:val="001C571C"/>
    <w:rsid w:val="001C5776"/>
    <w:rsid w:val="001C59B6"/>
    <w:rsid w:val="001C60C2"/>
    <w:rsid w:val="001C694A"/>
    <w:rsid w:val="001C6D6F"/>
    <w:rsid w:val="001C764E"/>
    <w:rsid w:val="001C78C6"/>
    <w:rsid w:val="001D01B1"/>
    <w:rsid w:val="001D048A"/>
    <w:rsid w:val="001D07A0"/>
    <w:rsid w:val="001D0A8F"/>
    <w:rsid w:val="001D0F9A"/>
    <w:rsid w:val="001D2616"/>
    <w:rsid w:val="001D3886"/>
    <w:rsid w:val="001D38A9"/>
    <w:rsid w:val="001D4A5D"/>
    <w:rsid w:val="001D5FFD"/>
    <w:rsid w:val="001D65BD"/>
    <w:rsid w:val="001D6EDD"/>
    <w:rsid w:val="001D70DB"/>
    <w:rsid w:val="001D74BE"/>
    <w:rsid w:val="001D7BAE"/>
    <w:rsid w:val="001D7CD0"/>
    <w:rsid w:val="001D7D11"/>
    <w:rsid w:val="001E0735"/>
    <w:rsid w:val="001E0DA9"/>
    <w:rsid w:val="001E0FCF"/>
    <w:rsid w:val="001E1052"/>
    <w:rsid w:val="001E1742"/>
    <w:rsid w:val="001E21B1"/>
    <w:rsid w:val="001E27AC"/>
    <w:rsid w:val="001E2CC4"/>
    <w:rsid w:val="001E2F32"/>
    <w:rsid w:val="001E2F93"/>
    <w:rsid w:val="001E30A0"/>
    <w:rsid w:val="001E3CDF"/>
    <w:rsid w:val="001E44C9"/>
    <w:rsid w:val="001E4554"/>
    <w:rsid w:val="001E51B4"/>
    <w:rsid w:val="001E520D"/>
    <w:rsid w:val="001E527C"/>
    <w:rsid w:val="001E53AD"/>
    <w:rsid w:val="001E59EB"/>
    <w:rsid w:val="001E5A97"/>
    <w:rsid w:val="001E5AD0"/>
    <w:rsid w:val="001E61E5"/>
    <w:rsid w:val="001E6933"/>
    <w:rsid w:val="001E752D"/>
    <w:rsid w:val="001E76F6"/>
    <w:rsid w:val="001E7E78"/>
    <w:rsid w:val="001F0134"/>
    <w:rsid w:val="001F081C"/>
    <w:rsid w:val="001F0AFA"/>
    <w:rsid w:val="001F1E46"/>
    <w:rsid w:val="001F1F6C"/>
    <w:rsid w:val="001F1F74"/>
    <w:rsid w:val="001F2159"/>
    <w:rsid w:val="001F21EE"/>
    <w:rsid w:val="001F2413"/>
    <w:rsid w:val="001F3949"/>
    <w:rsid w:val="001F3AA6"/>
    <w:rsid w:val="001F4211"/>
    <w:rsid w:val="001F481F"/>
    <w:rsid w:val="001F4889"/>
    <w:rsid w:val="001F4922"/>
    <w:rsid w:val="001F4CE0"/>
    <w:rsid w:val="001F520C"/>
    <w:rsid w:val="001F68D2"/>
    <w:rsid w:val="001F7500"/>
    <w:rsid w:val="001F7951"/>
    <w:rsid w:val="001F7F22"/>
    <w:rsid w:val="0020125B"/>
    <w:rsid w:val="00201E21"/>
    <w:rsid w:val="00202656"/>
    <w:rsid w:val="00202E36"/>
    <w:rsid w:val="00203454"/>
    <w:rsid w:val="002037FA"/>
    <w:rsid w:val="00204C32"/>
    <w:rsid w:val="00205FC7"/>
    <w:rsid w:val="00206292"/>
    <w:rsid w:val="0020698A"/>
    <w:rsid w:val="00206F95"/>
    <w:rsid w:val="00207CF7"/>
    <w:rsid w:val="00210896"/>
    <w:rsid w:val="00210A9C"/>
    <w:rsid w:val="00210B8B"/>
    <w:rsid w:val="00210B96"/>
    <w:rsid w:val="00212113"/>
    <w:rsid w:val="00213356"/>
    <w:rsid w:val="002136AB"/>
    <w:rsid w:val="00213B2D"/>
    <w:rsid w:val="00213DA1"/>
    <w:rsid w:val="002143CB"/>
    <w:rsid w:val="00214863"/>
    <w:rsid w:val="00214E69"/>
    <w:rsid w:val="0021505E"/>
    <w:rsid w:val="00215464"/>
    <w:rsid w:val="002156B4"/>
    <w:rsid w:val="00215738"/>
    <w:rsid w:val="00215AC3"/>
    <w:rsid w:val="00215CE0"/>
    <w:rsid w:val="0021605C"/>
    <w:rsid w:val="0021661B"/>
    <w:rsid w:val="00216CF5"/>
    <w:rsid w:val="00216E55"/>
    <w:rsid w:val="00216FFE"/>
    <w:rsid w:val="002203B6"/>
    <w:rsid w:val="002213BB"/>
    <w:rsid w:val="0022145E"/>
    <w:rsid w:val="00221CFA"/>
    <w:rsid w:val="00221F46"/>
    <w:rsid w:val="0022206A"/>
    <w:rsid w:val="00222135"/>
    <w:rsid w:val="002225CD"/>
    <w:rsid w:val="002230F7"/>
    <w:rsid w:val="0022358C"/>
    <w:rsid w:val="002236E2"/>
    <w:rsid w:val="002244F2"/>
    <w:rsid w:val="00225CB8"/>
    <w:rsid w:val="00226200"/>
    <w:rsid w:val="00226558"/>
    <w:rsid w:val="00226E33"/>
    <w:rsid w:val="00227597"/>
    <w:rsid w:val="0023011A"/>
    <w:rsid w:val="002301A5"/>
    <w:rsid w:val="00230815"/>
    <w:rsid w:val="002311A5"/>
    <w:rsid w:val="00231350"/>
    <w:rsid w:val="002319E6"/>
    <w:rsid w:val="00231C12"/>
    <w:rsid w:val="00231C77"/>
    <w:rsid w:val="00232333"/>
    <w:rsid w:val="002325CE"/>
    <w:rsid w:val="002325F2"/>
    <w:rsid w:val="00232848"/>
    <w:rsid w:val="002331D7"/>
    <w:rsid w:val="00233625"/>
    <w:rsid w:val="0023364E"/>
    <w:rsid w:val="00233E99"/>
    <w:rsid w:val="00234122"/>
    <w:rsid w:val="00234A07"/>
    <w:rsid w:val="00234ACE"/>
    <w:rsid w:val="00234C58"/>
    <w:rsid w:val="00235077"/>
    <w:rsid w:val="002351C5"/>
    <w:rsid w:val="00235439"/>
    <w:rsid w:val="00235BA5"/>
    <w:rsid w:val="00235EE5"/>
    <w:rsid w:val="0023601A"/>
    <w:rsid w:val="00237AF8"/>
    <w:rsid w:val="00237CFE"/>
    <w:rsid w:val="0024002C"/>
    <w:rsid w:val="00240891"/>
    <w:rsid w:val="00240E5F"/>
    <w:rsid w:val="002411A1"/>
    <w:rsid w:val="0024192C"/>
    <w:rsid w:val="00241FA2"/>
    <w:rsid w:val="00242440"/>
    <w:rsid w:val="002424ED"/>
    <w:rsid w:val="002428F3"/>
    <w:rsid w:val="002429BF"/>
    <w:rsid w:val="00242DD2"/>
    <w:rsid w:val="00242E81"/>
    <w:rsid w:val="00242F3A"/>
    <w:rsid w:val="002445DA"/>
    <w:rsid w:val="00244A3A"/>
    <w:rsid w:val="00244ADA"/>
    <w:rsid w:val="002450E3"/>
    <w:rsid w:val="00245B0B"/>
    <w:rsid w:val="00245D31"/>
    <w:rsid w:val="002477B1"/>
    <w:rsid w:val="002479B1"/>
    <w:rsid w:val="00250FAB"/>
    <w:rsid w:val="00250FB2"/>
    <w:rsid w:val="00251345"/>
    <w:rsid w:val="0025184E"/>
    <w:rsid w:val="00251BC3"/>
    <w:rsid w:val="002524AF"/>
    <w:rsid w:val="00252A55"/>
    <w:rsid w:val="00253204"/>
    <w:rsid w:val="00253222"/>
    <w:rsid w:val="00253D71"/>
    <w:rsid w:val="00253F90"/>
    <w:rsid w:val="00254142"/>
    <w:rsid w:val="00254360"/>
    <w:rsid w:val="0025563E"/>
    <w:rsid w:val="0025566C"/>
    <w:rsid w:val="002556BD"/>
    <w:rsid w:val="00256476"/>
    <w:rsid w:val="00256478"/>
    <w:rsid w:val="00256DA2"/>
    <w:rsid w:val="00257294"/>
    <w:rsid w:val="00257EC2"/>
    <w:rsid w:val="00257EF0"/>
    <w:rsid w:val="0026021C"/>
    <w:rsid w:val="00260C8C"/>
    <w:rsid w:val="0026117D"/>
    <w:rsid w:val="00261AF0"/>
    <w:rsid w:val="00261B76"/>
    <w:rsid w:val="002620C3"/>
    <w:rsid w:val="002622AD"/>
    <w:rsid w:val="00262348"/>
    <w:rsid w:val="002627EC"/>
    <w:rsid w:val="00262847"/>
    <w:rsid w:val="00263FEA"/>
    <w:rsid w:val="0026416B"/>
    <w:rsid w:val="00264865"/>
    <w:rsid w:val="002648B9"/>
    <w:rsid w:val="002657AE"/>
    <w:rsid w:val="00265910"/>
    <w:rsid w:val="002659A7"/>
    <w:rsid w:val="00266F3E"/>
    <w:rsid w:val="00267092"/>
    <w:rsid w:val="002671A6"/>
    <w:rsid w:val="00267D43"/>
    <w:rsid w:val="00270FAA"/>
    <w:rsid w:val="00271494"/>
    <w:rsid w:val="00272589"/>
    <w:rsid w:val="0027259F"/>
    <w:rsid w:val="00273118"/>
    <w:rsid w:val="002739F1"/>
    <w:rsid w:val="00273F74"/>
    <w:rsid w:val="002741F2"/>
    <w:rsid w:val="00275410"/>
    <w:rsid w:val="00275714"/>
    <w:rsid w:val="0027591B"/>
    <w:rsid w:val="00275F57"/>
    <w:rsid w:val="0027655F"/>
    <w:rsid w:val="00276B8F"/>
    <w:rsid w:val="00276CED"/>
    <w:rsid w:val="0027700F"/>
    <w:rsid w:val="0027777D"/>
    <w:rsid w:val="00277CA3"/>
    <w:rsid w:val="00277DA4"/>
    <w:rsid w:val="00277FA3"/>
    <w:rsid w:val="002801CB"/>
    <w:rsid w:val="002806C1"/>
    <w:rsid w:val="00280EF7"/>
    <w:rsid w:val="00281663"/>
    <w:rsid w:val="00281BB2"/>
    <w:rsid w:val="00281CB2"/>
    <w:rsid w:val="00283BB5"/>
    <w:rsid w:val="00284DFD"/>
    <w:rsid w:val="00284F60"/>
    <w:rsid w:val="00285AD7"/>
    <w:rsid w:val="002865E6"/>
    <w:rsid w:val="0028671C"/>
    <w:rsid w:val="00286DA1"/>
    <w:rsid w:val="00286E73"/>
    <w:rsid w:val="00290FE8"/>
    <w:rsid w:val="00291D9D"/>
    <w:rsid w:val="00292447"/>
    <w:rsid w:val="0029346D"/>
    <w:rsid w:val="002938B6"/>
    <w:rsid w:val="00293C9E"/>
    <w:rsid w:val="00293CC5"/>
    <w:rsid w:val="00294798"/>
    <w:rsid w:val="00294EF4"/>
    <w:rsid w:val="002951E3"/>
    <w:rsid w:val="002952B8"/>
    <w:rsid w:val="002955BC"/>
    <w:rsid w:val="002956B1"/>
    <w:rsid w:val="00295D75"/>
    <w:rsid w:val="00296E60"/>
    <w:rsid w:val="00296E6B"/>
    <w:rsid w:val="00297004"/>
    <w:rsid w:val="002970D3"/>
    <w:rsid w:val="00297169"/>
    <w:rsid w:val="00297F4D"/>
    <w:rsid w:val="002A050F"/>
    <w:rsid w:val="002A0E74"/>
    <w:rsid w:val="002A15B5"/>
    <w:rsid w:val="002A1BF2"/>
    <w:rsid w:val="002A30F6"/>
    <w:rsid w:val="002A314A"/>
    <w:rsid w:val="002A3815"/>
    <w:rsid w:val="002A3825"/>
    <w:rsid w:val="002A3F5F"/>
    <w:rsid w:val="002A4973"/>
    <w:rsid w:val="002A49C4"/>
    <w:rsid w:val="002A52B2"/>
    <w:rsid w:val="002A55C7"/>
    <w:rsid w:val="002A6486"/>
    <w:rsid w:val="002A667F"/>
    <w:rsid w:val="002A6AEB"/>
    <w:rsid w:val="002B0D35"/>
    <w:rsid w:val="002B0DAB"/>
    <w:rsid w:val="002B1425"/>
    <w:rsid w:val="002B14A9"/>
    <w:rsid w:val="002B1713"/>
    <w:rsid w:val="002B23A8"/>
    <w:rsid w:val="002B254E"/>
    <w:rsid w:val="002B2804"/>
    <w:rsid w:val="002B28C4"/>
    <w:rsid w:val="002B2A51"/>
    <w:rsid w:val="002B2A8D"/>
    <w:rsid w:val="002B3193"/>
    <w:rsid w:val="002B403B"/>
    <w:rsid w:val="002B4304"/>
    <w:rsid w:val="002B4FB7"/>
    <w:rsid w:val="002B5007"/>
    <w:rsid w:val="002B517A"/>
    <w:rsid w:val="002B5382"/>
    <w:rsid w:val="002B573B"/>
    <w:rsid w:val="002B6121"/>
    <w:rsid w:val="002B6907"/>
    <w:rsid w:val="002B72E9"/>
    <w:rsid w:val="002B76C0"/>
    <w:rsid w:val="002B7839"/>
    <w:rsid w:val="002B78F8"/>
    <w:rsid w:val="002C086A"/>
    <w:rsid w:val="002C1359"/>
    <w:rsid w:val="002C167B"/>
    <w:rsid w:val="002C2588"/>
    <w:rsid w:val="002C26A5"/>
    <w:rsid w:val="002C26E3"/>
    <w:rsid w:val="002C2AEF"/>
    <w:rsid w:val="002C2EC4"/>
    <w:rsid w:val="002C3645"/>
    <w:rsid w:val="002C3EAB"/>
    <w:rsid w:val="002C51F3"/>
    <w:rsid w:val="002C5E85"/>
    <w:rsid w:val="002C6EEB"/>
    <w:rsid w:val="002C7998"/>
    <w:rsid w:val="002C7DDE"/>
    <w:rsid w:val="002C7E4B"/>
    <w:rsid w:val="002D23CB"/>
    <w:rsid w:val="002D2BA8"/>
    <w:rsid w:val="002D3B17"/>
    <w:rsid w:val="002D3D0B"/>
    <w:rsid w:val="002D3D1D"/>
    <w:rsid w:val="002D47A0"/>
    <w:rsid w:val="002D4878"/>
    <w:rsid w:val="002D5643"/>
    <w:rsid w:val="002D579C"/>
    <w:rsid w:val="002D5F2E"/>
    <w:rsid w:val="002D63F4"/>
    <w:rsid w:val="002D64DE"/>
    <w:rsid w:val="002D6AA2"/>
    <w:rsid w:val="002D6B1C"/>
    <w:rsid w:val="002D77BE"/>
    <w:rsid w:val="002D79FC"/>
    <w:rsid w:val="002E043D"/>
    <w:rsid w:val="002E0C9F"/>
    <w:rsid w:val="002E0D96"/>
    <w:rsid w:val="002E17C2"/>
    <w:rsid w:val="002E17F2"/>
    <w:rsid w:val="002E21B1"/>
    <w:rsid w:val="002E3686"/>
    <w:rsid w:val="002E3BA1"/>
    <w:rsid w:val="002E602A"/>
    <w:rsid w:val="002E71D3"/>
    <w:rsid w:val="002E7452"/>
    <w:rsid w:val="002E7551"/>
    <w:rsid w:val="002E76AC"/>
    <w:rsid w:val="002F07D5"/>
    <w:rsid w:val="002F0AE2"/>
    <w:rsid w:val="002F0D5B"/>
    <w:rsid w:val="002F0DD4"/>
    <w:rsid w:val="002F121E"/>
    <w:rsid w:val="002F1E53"/>
    <w:rsid w:val="002F2CAA"/>
    <w:rsid w:val="002F2DC7"/>
    <w:rsid w:val="002F357D"/>
    <w:rsid w:val="002F37E8"/>
    <w:rsid w:val="002F3986"/>
    <w:rsid w:val="002F3D94"/>
    <w:rsid w:val="002F4B11"/>
    <w:rsid w:val="002F4BFC"/>
    <w:rsid w:val="002F540B"/>
    <w:rsid w:val="002F5917"/>
    <w:rsid w:val="002F67B5"/>
    <w:rsid w:val="002F6B0A"/>
    <w:rsid w:val="002F6B91"/>
    <w:rsid w:val="002F6E10"/>
    <w:rsid w:val="002F6E94"/>
    <w:rsid w:val="002F7186"/>
    <w:rsid w:val="00300371"/>
    <w:rsid w:val="0030052C"/>
    <w:rsid w:val="00301617"/>
    <w:rsid w:val="00301E71"/>
    <w:rsid w:val="00301E85"/>
    <w:rsid w:val="00302EDA"/>
    <w:rsid w:val="0030422E"/>
    <w:rsid w:val="00305309"/>
    <w:rsid w:val="0030547B"/>
    <w:rsid w:val="003054B6"/>
    <w:rsid w:val="0030571B"/>
    <w:rsid w:val="0030593A"/>
    <w:rsid w:val="003101A6"/>
    <w:rsid w:val="0031049A"/>
    <w:rsid w:val="00310D2B"/>
    <w:rsid w:val="00310E88"/>
    <w:rsid w:val="00311547"/>
    <w:rsid w:val="00311703"/>
    <w:rsid w:val="00311FA4"/>
    <w:rsid w:val="00311FEA"/>
    <w:rsid w:val="00312480"/>
    <w:rsid w:val="0031274C"/>
    <w:rsid w:val="00312C1F"/>
    <w:rsid w:val="00313049"/>
    <w:rsid w:val="003131F3"/>
    <w:rsid w:val="0031423E"/>
    <w:rsid w:val="00314AF1"/>
    <w:rsid w:val="0031533E"/>
    <w:rsid w:val="00315B0C"/>
    <w:rsid w:val="00315CE0"/>
    <w:rsid w:val="003161F3"/>
    <w:rsid w:val="00316E2E"/>
    <w:rsid w:val="00317641"/>
    <w:rsid w:val="00317C74"/>
    <w:rsid w:val="00320027"/>
    <w:rsid w:val="003200FA"/>
    <w:rsid w:val="00320451"/>
    <w:rsid w:val="003208A7"/>
    <w:rsid w:val="003219BA"/>
    <w:rsid w:val="00321B50"/>
    <w:rsid w:val="0032375F"/>
    <w:rsid w:val="00323917"/>
    <w:rsid w:val="00324155"/>
    <w:rsid w:val="00325B50"/>
    <w:rsid w:val="00326996"/>
    <w:rsid w:val="00326E84"/>
    <w:rsid w:val="00326FBC"/>
    <w:rsid w:val="003272BA"/>
    <w:rsid w:val="00327C84"/>
    <w:rsid w:val="0033016D"/>
    <w:rsid w:val="003301D5"/>
    <w:rsid w:val="003303C4"/>
    <w:rsid w:val="00330428"/>
    <w:rsid w:val="00330586"/>
    <w:rsid w:val="003306E1"/>
    <w:rsid w:val="0033072E"/>
    <w:rsid w:val="00330A1E"/>
    <w:rsid w:val="00330E26"/>
    <w:rsid w:val="003314F9"/>
    <w:rsid w:val="00331947"/>
    <w:rsid w:val="00331F72"/>
    <w:rsid w:val="003320E4"/>
    <w:rsid w:val="003329D4"/>
    <w:rsid w:val="003330F5"/>
    <w:rsid w:val="00333CD8"/>
    <w:rsid w:val="00333F83"/>
    <w:rsid w:val="003343EF"/>
    <w:rsid w:val="0033525D"/>
    <w:rsid w:val="0033568B"/>
    <w:rsid w:val="0033581F"/>
    <w:rsid w:val="00335C06"/>
    <w:rsid w:val="003362A4"/>
    <w:rsid w:val="00337170"/>
    <w:rsid w:val="003371AE"/>
    <w:rsid w:val="003401FB"/>
    <w:rsid w:val="0034038C"/>
    <w:rsid w:val="00340C7E"/>
    <w:rsid w:val="003414F3"/>
    <w:rsid w:val="00341E44"/>
    <w:rsid w:val="00342DC4"/>
    <w:rsid w:val="003438A0"/>
    <w:rsid w:val="003438BC"/>
    <w:rsid w:val="0034462E"/>
    <w:rsid w:val="00344939"/>
    <w:rsid w:val="00344CAB"/>
    <w:rsid w:val="0034520F"/>
    <w:rsid w:val="003458BE"/>
    <w:rsid w:val="00345C53"/>
    <w:rsid w:val="00346138"/>
    <w:rsid w:val="003468AF"/>
    <w:rsid w:val="00350C28"/>
    <w:rsid w:val="00350C2A"/>
    <w:rsid w:val="00351181"/>
    <w:rsid w:val="003513AE"/>
    <w:rsid w:val="0035141B"/>
    <w:rsid w:val="00351B51"/>
    <w:rsid w:val="00351F4F"/>
    <w:rsid w:val="00352657"/>
    <w:rsid w:val="00352692"/>
    <w:rsid w:val="0035273E"/>
    <w:rsid w:val="00352A52"/>
    <w:rsid w:val="00352F28"/>
    <w:rsid w:val="00352F50"/>
    <w:rsid w:val="00352FE1"/>
    <w:rsid w:val="00353A9E"/>
    <w:rsid w:val="00353B9B"/>
    <w:rsid w:val="00353FBF"/>
    <w:rsid w:val="00354B4C"/>
    <w:rsid w:val="00354E08"/>
    <w:rsid w:val="00355D87"/>
    <w:rsid w:val="00355DDB"/>
    <w:rsid w:val="0035613E"/>
    <w:rsid w:val="0035657B"/>
    <w:rsid w:val="00356756"/>
    <w:rsid w:val="003569BA"/>
    <w:rsid w:val="00356B24"/>
    <w:rsid w:val="0035753D"/>
    <w:rsid w:val="003575F1"/>
    <w:rsid w:val="00357FBC"/>
    <w:rsid w:val="0036161D"/>
    <w:rsid w:val="00363607"/>
    <w:rsid w:val="00363EE9"/>
    <w:rsid w:val="00364F0D"/>
    <w:rsid w:val="00365156"/>
    <w:rsid w:val="0036526F"/>
    <w:rsid w:val="003652FC"/>
    <w:rsid w:val="00365451"/>
    <w:rsid w:val="00365790"/>
    <w:rsid w:val="00365CFF"/>
    <w:rsid w:val="0036609A"/>
    <w:rsid w:val="0036640E"/>
    <w:rsid w:val="00366801"/>
    <w:rsid w:val="003669A9"/>
    <w:rsid w:val="0036770E"/>
    <w:rsid w:val="0036778B"/>
    <w:rsid w:val="00367C91"/>
    <w:rsid w:val="00367D3D"/>
    <w:rsid w:val="00370FFD"/>
    <w:rsid w:val="00371E04"/>
    <w:rsid w:val="00372069"/>
    <w:rsid w:val="003728F4"/>
    <w:rsid w:val="003733C4"/>
    <w:rsid w:val="0037341C"/>
    <w:rsid w:val="00373665"/>
    <w:rsid w:val="00374452"/>
    <w:rsid w:val="0037454A"/>
    <w:rsid w:val="00374BF0"/>
    <w:rsid w:val="00375838"/>
    <w:rsid w:val="00375A73"/>
    <w:rsid w:val="00375B2F"/>
    <w:rsid w:val="00375F38"/>
    <w:rsid w:val="00376128"/>
    <w:rsid w:val="0037742E"/>
    <w:rsid w:val="00377D56"/>
    <w:rsid w:val="00377DC1"/>
    <w:rsid w:val="003804B3"/>
    <w:rsid w:val="00380C0A"/>
    <w:rsid w:val="00381063"/>
    <w:rsid w:val="003814E0"/>
    <w:rsid w:val="003815DB"/>
    <w:rsid w:val="0038199F"/>
    <w:rsid w:val="00382012"/>
    <w:rsid w:val="003820C2"/>
    <w:rsid w:val="0038245A"/>
    <w:rsid w:val="00382B69"/>
    <w:rsid w:val="00382C35"/>
    <w:rsid w:val="00382FCE"/>
    <w:rsid w:val="00383DA0"/>
    <w:rsid w:val="003840E6"/>
    <w:rsid w:val="003842B4"/>
    <w:rsid w:val="003843A9"/>
    <w:rsid w:val="0038462C"/>
    <w:rsid w:val="00384BF6"/>
    <w:rsid w:val="00384DFD"/>
    <w:rsid w:val="003856CD"/>
    <w:rsid w:val="00385833"/>
    <w:rsid w:val="00385875"/>
    <w:rsid w:val="00385CFC"/>
    <w:rsid w:val="0038722E"/>
    <w:rsid w:val="003872CC"/>
    <w:rsid w:val="00387A67"/>
    <w:rsid w:val="00387DED"/>
    <w:rsid w:val="0039021D"/>
    <w:rsid w:val="00390421"/>
    <w:rsid w:val="0039099A"/>
    <w:rsid w:val="00390F86"/>
    <w:rsid w:val="003915AF"/>
    <w:rsid w:val="00391C57"/>
    <w:rsid w:val="00391DBF"/>
    <w:rsid w:val="003920E4"/>
    <w:rsid w:val="003922E7"/>
    <w:rsid w:val="00392674"/>
    <w:rsid w:val="003927D2"/>
    <w:rsid w:val="003931D9"/>
    <w:rsid w:val="0039337A"/>
    <w:rsid w:val="003933CA"/>
    <w:rsid w:val="003935FE"/>
    <w:rsid w:val="0039366E"/>
    <w:rsid w:val="003938D7"/>
    <w:rsid w:val="00393B7A"/>
    <w:rsid w:val="003942FA"/>
    <w:rsid w:val="00394B83"/>
    <w:rsid w:val="00395329"/>
    <w:rsid w:val="00395526"/>
    <w:rsid w:val="00395875"/>
    <w:rsid w:val="00397110"/>
    <w:rsid w:val="00397657"/>
    <w:rsid w:val="003978C7"/>
    <w:rsid w:val="00397EB9"/>
    <w:rsid w:val="003A025E"/>
    <w:rsid w:val="003A07EF"/>
    <w:rsid w:val="003A0811"/>
    <w:rsid w:val="003A182C"/>
    <w:rsid w:val="003A2870"/>
    <w:rsid w:val="003A2BCC"/>
    <w:rsid w:val="003A3189"/>
    <w:rsid w:val="003A3217"/>
    <w:rsid w:val="003A32C4"/>
    <w:rsid w:val="003A3711"/>
    <w:rsid w:val="003A3CA7"/>
    <w:rsid w:val="003A4A17"/>
    <w:rsid w:val="003A6B0D"/>
    <w:rsid w:val="003A6B31"/>
    <w:rsid w:val="003A6FB0"/>
    <w:rsid w:val="003A7C17"/>
    <w:rsid w:val="003B01A1"/>
    <w:rsid w:val="003B05CE"/>
    <w:rsid w:val="003B1006"/>
    <w:rsid w:val="003B10AE"/>
    <w:rsid w:val="003B149C"/>
    <w:rsid w:val="003B16AE"/>
    <w:rsid w:val="003B1817"/>
    <w:rsid w:val="003B212C"/>
    <w:rsid w:val="003B2904"/>
    <w:rsid w:val="003B2E33"/>
    <w:rsid w:val="003B3385"/>
    <w:rsid w:val="003B33BD"/>
    <w:rsid w:val="003B34DE"/>
    <w:rsid w:val="003B34FA"/>
    <w:rsid w:val="003B3753"/>
    <w:rsid w:val="003B3993"/>
    <w:rsid w:val="003B3CB8"/>
    <w:rsid w:val="003B3F02"/>
    <w:rsid w:val="003B569D"/>
    <w:rsid w:val="003B573A"/>
    <w:rsid w:val="003B5F9C"/>
    <w:rsid w:val="003B6AB0"/>
    <w:rsid w:val="003B6F8A"/>
    <w:rsid w:val="003B7006"/>
    <w:rsid w:val="003C02E5"/>
    <w:rsid w:val="003C05A9"/>
    <w:rsid w:val="003C0A41"/>
    <w:rsid w:val="003C0DB1"/>
    <w:rsid w:val="003C1505"/>
    <w:rsid w:val="003C17F7"/>
    <w:rsid w:val="003C202C"/>
    <w:rsid w:val="003C2917"/>
    <w:rsid w:val="003C2CEC"/>
    <w:rsid w:val="003C2FF3"/>
    <w:rsid w:val="003C31A5"/>
    <w:rsid w:val="003C3290"/>
    <w:rsid w:val="003C36AE"/>
    <w:rsid w:val="003C3B00"/>
    <w:rsid w:val="003C3C0E"/>
    <w:rsid w:val="003C496D"/>
    <w:rsid w:val="003C5219"/>
    <w:rsid w:val="003C5535"/>
    <w:rsid w:val="003C5560"/>
    <w:rsid w:val="003C5B70"/>
    <w:rsid w:val="003C5E64"/>
    <w:rsid w:val="003C6060"/>
    <w:rsid w:val="003C6347"/>
    <w:rsid w:val="003C6393"/>
    <w:rsid w:val="003C6E16"/>
    <w:rsid w:val="003C6E2C"/>
    <w:rsid w:val="003C6F9C"/>
    <w:rsid w:val="003C79A3"/>
    <w:rsid w:val="003C7A0B"/>
    <w:rsid w:val="003D171A"/>
    <w:rsid w:val="003D1756"/>
    <w:rsid w:val="003D2A94"/>
    <w:rsid w:val="003D2FC4"/>
    <w:rsid w:val="003D3873"/>
    <w:rsid w:val="003D3E79"/>
    <w:rsid w:val="003D42A6"/>
    <w:rsid w:val="003D42F2"/>
    <w:rsid w:val="003D434E"/>
    <w:rsid w:val="003D45DF"/>
    <w:rsid w:val="003D487B"/>
    <w:rsid w:val="003D4DAF"/>
    <w:rsid w:val="003D4F21"/>
    <w:rsid w:val="003D4FAC"/>
    <w:rsid w:val="003D57A4"/>
    <w:rsid w:val="003D5FD5"/>
    <w:rsid w:val="003D68D8"/>
    <w:rsid w:val="003D68EC"/>
    <w:rsid w:val="003D6D59"/>
    <w:rsid w:val="003D707A"/>
    <w:rsid w:val="003D752A"/>
    <w:rsid w:val="003D762B"/>
    <w:rsid w:val="003D7A7C"/>
    <w:rsid w:val="003D7F73"/>
    <w:rsid w:val="003E0ADC"/>
    <w:rsid w:val="003E0BF3"/>
    <w:rsid w:val="003E0D13"/>
    <w:rsid w:val="003E1055"/>
    <w:rsid w:val="003E18BF"/>
    <w:rsid w:val="003E1C04"/>
    <w:rsid w:val="003E1D6E"/>
    <w:rsid w:val="003E2462"/>
    <w:rsid w:val="003E25BD"/>
    <w:rsid w:val="003E27D2"/>
    <w:rsid w:val="003E2B7A"/>
    <w:rsid w:val="003E2CB9"/>
    <w:rsid w:val="003E2ED6"/>
    <w:rsid w:val="003E44A6"/>
    <w:rsid w:val="003E4D19"/>
    <w:rsid w:val="003E57F7"/>
    <w:rsid w:val="003E5F85"/>
    <w:rsid w:val="003E6010"/>
    <w:rsid w:val="003E676F"/>
    <w:rsid w:val="003E6C0D"/>
    <w:rsid w:val="003E6C76"/>
    <w:rsid w:val="003E6DE9"/>
    <w:rsid w:val="003E7906"/>
    <w:rsid w:val="003F047A"/>
    <w:rsid w:val="003F076A"/>
    <w:rsid w:val="003F1DFE"/>
    <w:rsid w:val="003F246C"/>
    <w:rsid w:val="003F2CB9"/>
    <w:rsid w:val="003F2F6A"/>
    <w:rsid w:val="003F34B3"/>
    <w:rsid w:val="003F3621"/>
    <w:rsid w:val="003F38F1"/>
    <w:rsid w:val="003F3C50"/>
    <w:rsid w:val="003F4DCC"/>
    <w:rsid w:val="003F68A5"/>
    <w:rsid w:val="003F707D"/>
    <w:rsid w:val="004002F6"/>
    <w:rsid w:val="00401161"/>
    <w:rsid w:val="00401BF1"/>
    <w:rsid w:val="00401D7C"/>
    <w:rsid w:val="00401F78"/>
    <w:rsid w:val="0040207C"/>
    <w:rsid w:val="00402D64"/>
    <w:rsid w:val="00403760"/>
    <w:rsid w:val="00403AE4"/>
    <w:rsid w:val="004058FE"/>
    <w:rsid w:val="00406930"/>
    <w:rsid w:val="00406A6A"/>
    <w:rsid w:val="00406B22"/>
    <w:rsid w:val="00406F53"/>
    <w:rsid w:val="0040778B"/>
    <w:rsid w:val="00407CA1"/>
    <w:rsid w:val="0041040B"/>
    <w:rsid w:val="0041051F"/>
    <w:rsid w:val="004107EB"/>
    <w:rsid w:val="00410882"/>
    <w:rsid w:val="004108A3"/>
    <w:rsid w:val="00411B94"/>
    <w:rsid w:val="00412149"/>
    <w:rsid w:val="004122B6"/>
    <w:rsid w:val="004128D3"/>
    <w:rsid w:val="00412E28"/>
    <w:rsid w:val="004135A5"/>
    <w:rsid w:val="00414752"/>
    <w:rsid w:val="00414B10"/>
    <w:rsid w:val="00414D3F"/>
    <w:rsid w:val="00414D5D"/>
    <w:rsid w:val="00415585"/>
    <w:rsid w:val="004156A8"/>
    <w:rsid w:val="004157D4"/>
    <w:rsid w:val="00416BD7"/>
    <w:rsid w:val="00416E26"/>
    <w:rsid w:val="0041749E"/>
    <w:rsid w:val="00420F85"/>
    <w:rsid w:val="004216DF"/>
    <w:rsid w:val="00422397"/>
    <w:rsid w:val="004233B7"/>
    <w:rsid w:val="004237FA"/>
    <w:rsid w:val="00423AC8"/>
    <w:rsid w:val="00424255"/>
    <w:rsid w:val="004251A1"/>
    <w:rsid w:val="004270C9"/>
    <w:rsid w:val="004270D8"/>
    <w:rsid w:val="00427274"/>
    <w:rsid w:val="00430041"/>
    <w:rsid w:val="004301DD"/>
    <w:rsid w:val="00430E70"/>
    <w:rsid w:val="004328A7"/>
    <w:rsid w:val="00432B69"/>
    <w:rsid w:val="00432F44"/>
    <w:rsid w:val="004331D7"/>
    <w:rsid w:val="0043359D"/>
    <w:rsid w:val="004340CE"/>
    <w:rsid w:val="00434594"/>
    <w:rsid w:val="004347C7"/>
    <w:rsid w:val="00434C74"/>
    <w:rsid w:val="00435CE2"/>
    <w:rsid w:val="004361EE"/>
    <w:rsid w:val="00436F6D"/>
    <w:rsid w:val="00437868"/>
    <w:rsid w:val="004378A7"/>
    <w:rsid w:val="00440102"/>
    <w:rsid w:val="00440A8C"/>
    <w:rsid w:val="00440B67"/>
    <w:rsid w:val="00440CA8"/>
    <w:rsid w:val="0044135C"/>
    <w:rsid w:val="00441648"/>
    <w:rsid w:val="004417A1"/>
    <w:rsid w:val="00442A82"/>
    <w:rsid w:val="00442DA0"/>
    <w:rsid w:val="00443211"/>
    <w:rsid w:val="0044367C"/>
    <w:rsid w:val="00443B61"/>
    <w:rsid w:val="00443CCE"/>
    <w:rsid w:val="004443D1"/>
    <w:rsid w:val="004446A6"/>
    <w:rsid w:val="00444F58"/>
    <w:rsid w:val="00445553"/>
    <w:rsid w:val="004465BE"/>
    <w:rsid w:val="004468F5"/>
    <w:rsid w:val="00451E81"/>
    <w:rsid w:val="004525DA"/>
    <w:rsid w:val="00452846"/>
    <w:rsid w:val="00452C37"/>
    <w:rsid w:val="00452F79"/>
    <w:rsid w:val="0045372D"/>
    <w:rsid w:val="0045379C"/>
    <w:rsid w:val="004542C4"/>
    <w:rsid w:val="00454E7F"/>
    <w:rsid w:val="004552E2"/>
    <w:rsid w:val="004564BF"/>
    <w:rsid w:val="00456C15"/>
    <w:rsid w:val="00456EB4"/>
    <w:rsid w:val="00457712"/>
    <w:rsid w:val="00457F05"/>
    <w:rsid w:val="00460141"/>
    <w:rsid w:val="00460C75"/>
    <w:rsid w:val="004617F8"/>
    <w:rsid w:val="004619D2"/>
    <w:rsid w:val="00461B51"/>
    <w:rsid w:val="00461B64"/>
    <w:rsid w:val="00461BE9"/>
    <w:rsid w:val="0046251D"/>
    <w:rsid w:val="0046280E"/>
    <w:rsid w:val="00463493"/>
    <w:rsid w:val="00463C05"/>
    <w:rsid w:val="0046408A"/>
    <w:rsid w:val="004642C1"/>
    <w:rsid w:val="0046434C"/>
    <w:rsid w:val="00464A5F"/>
    <w:rsid w:val="00464AE3"/>
    <w:rsid w:val="00464C20"/>
    <w:rsid w:val="00464CFB"/>
    <w:rsid w:val="00465391"/>
    <w:rsid w:val="00465EBB"/>
    <w:rsid w:val="00465FFB"/>
    <w:rsid w:val="00466730"/>
    <w:rsid w:val="0046751E"/>
    <w:rsid w:val="004700ED"/>
    <w:rsid w:val="00470418"/>
    <w:rsid w:val="00470FA5"/>
    <w:rsid w:val="004718F3"/>
    <w:rsid w:val="00471F9F"/>
    <w:rsid w:val="00472531"/>
    <w:rsid w:val="004726FE"/>
    <w:rsid w:val="00472D0E"/>
    <w:rsid w:val="00472DF1"/>
    <w:rsid w:val="00472E20"/>
    <w:rsid w:val="00473817"/>
    <w:rsid w:val="00473B7F"/>
    <w:rsid w:val="00475040"/>
    <w:rsid w:val="0047506D"/>
    <w:rsid w:val="0047603B"/>
    <w:rsid w:val="00476252"/>
    <w:rsid w:val="00476266"/>
    <w:rsid w:val="0047678A"/>
    <w:rsid w:val="004769E4"/>
    <w:rsid w:val="00476BAD"/>
    <w:rsid w:val="004772CD"/>
    <w:rsid w:val="00477CA0"/>
    <w:rsid w:val="00480154"/>
    <w:rsid w:val="004808B8"/>
    <w:rsid w:val="00480E2B"/>
    <w:rsid w:val="00480E37"/>
    <w:rsid w:val="00480E79"/>
    <w:rsid w:val="00483C51"/>
    <w:rsid w:val="00483C85"/>
    <w:rsid w:val="00483E4B"/>
    <w:rsid w:val="00485315"/>
    <w:rsid w:val="0048606E"/>
    <w:rsid w:val="00486790"/>
    <w:rsid w:val="00486891"/>
    <w:rsid w:val="004874DF"/>
    <w:rsid w:val="004875FE"/>
    <w:rsid w:val="004906FA"/>
    <w:rsid w:val="004908CA"/>
    <w:rsid w:val="00490ADE"/>
    <w:rsid w:val="004911C6"/>
    <w:rsid w:val="004911F8"/>
    <w:rsid w:val="00491307"/>
    <w:rsid w:val="004916B4"/>
    <w:rsid w:val="004919D7"/>
    <w:rsid w:val="00491B75"/>
    <w:rsid w:val="0049272E"/>
    <w:rsid w:val="004928C3"/>
    <w:rsid w:val="00493478"/>
    <w:rsid w:val="00493D40"/>
    <w:rsid w:val="0049446D"/>
    <w:rsid w:val="00494F52"/>
    <w:rsid w:val="004950B9"/>
    <w:rsid w:val="004955E3"/>
    <w:rsid w:val="00495E19"/>
    <w:rsid w:val="00495EE3"/>
    <w:rsid w:val="004964C1"/>
    <w:rsid w:val="004966FC"/>
    <w:rsid w:val="004967B6"/>
    <w:rsid w:val="00497BBE"/>
    <w:rsid w:val="00497C7D"/>
    <w:rsid w:val="00497F52"/>
    <w:rsid w:val="004A02BE"/>
    <w:rsid w:val="004A036D"/>
    <w:rsid w:val="004A1838"/>
    <w:rsid w:val="004A2674"/>
    <w:rsid w:val="004A3DC4"/>
    <w:rsid w:val="004A4170"/>
    <w:rsid w:val="004A44F4"/>
    <w:rsid w:val="004A504B"/>
    <w:rsid w:val="004A5C1C"/>
    <w:rsid w:val="004A5C89"/>
    <w:rsid w:val="004A6688"/>
    <w:rsid w:val="004A67DD"/>
    <w:rsid w:val="004A6911"/>
    <w:rsid w:val="004A6E7D"/>
    <w:rsid w:val="004A7713"/>
    <w:rsid w:val="004A790C"/>
    <w:rsid w:val="004A7933"/>
    <w:rsid w:val="004B0368"/>
    <w:rsid w:val="004B0522"/>
    <w:rsid w:val="004B0B13"/>
    <w:rsid w:val="004B0CA3"/>
    <w:rsid w:val="004B140F"/>
    <w:rsid w:val="004B1AE8"/>
    <w:rsid w:val="004B2D74"/>
    <w:rsid w:val="004B2DAE"/>
    <w:rsid w:val="004B32E7"/>
    <w:rsid w:val="004B3713"/>
    <w:rsid w:val="004B3909"/>
    <w:rsid w:val="004B3B20"/>
    <w:rsid w:val="004B3BB2"/>
    <w:rsid w:val="004B3D5B"/>
    <w:rsid w:val="004B51CA"/>
    <w:rsid w:val="004B54E0"/>
    <w:rsid w:val="004B5671"/>
    <w:rsid w:val="004B7384"/>
    <w:rsid w:val="004B7A38"/>
    <w:rsid w:val="004C0266"/>
    <w:rsid w:val="004C0B90"/>
    <w:rsid w:val="004C155E"/>
    <w:rsid w:val="004C1EEF"/>
    <w:rsid w:val="004C25FB"/>
    <w:rsid w:val="004C265C"/>
    <w:rsid w:val="004C28C0"/>
    <w:rsid w:val="004C2DB2"/>
    <w:rsid w:val="004C3666"/>
    <w:rsid w:val="004C36B5"/>
    <w:rsid w:val="004C3903"/>
    <w:rsid w:val="004C4269"/>
    <w:rsid w:val="004C469A"/>
    <w:rsid w:val="004C4ABE"/>
    <w:rsid w:val="004C52C7"/>
    <w:rsid w:val="004C635F"/>
    <w:rsid w:val="004C6B8D"/>
    <w:rsid w:val="004C6C91"/>
    <w:rsid w:val="004C7F93"/>
    <w:rsid w:val="004D02BB"/>
    <w:rsid w:val="004D0347"/>
    <w:rsid w:val="004D091E"/>
    <w:rsid w:val="004D14BE"/>
    <w:rsid w:val="004D1943"/>
    <w:rsid w:val="004D1947"/>
    <w:rsid w:val="004D2843"/>
    <w:rsid w:val="004D2A7F"/>
    <w:rsid w:val="004D33D9"/>
    <w:rsid w:val="004D3717"/>
    <w:rsid w:val="004D608D"/>
    <w:rsid w:val="004D6236"/>
    <w:rsid w:val="004D623E"/>
    <w:rsid w:val="004D6450"/>
    <w:rsid w:val="004D662A"/>
    <w:rsid w:val="004D716D"/>
    <w:rsid w:val="004D7198"/>
    <w:rsid w:val="004D722B"/>
    <w:rsid w:val="004D78CC"/>
    <w:rsid w:val="004D7BCB"/>
    <w:rsid w:val="004D7F90"/>
    <w:rsid w:val="004E0EBF"/>
    <w:rsid w:val="004E1151"/>
    <w:rsid w:val="004E1202"/>
    <w:rsid w:val="004E20DD"/>
    <w:rsid w:val="004E2115"/>
    <w:rsid w:val="004E2741"/>
    <w:rsid w:val="004E2860"/>
    <w:rsid w:val="004E2D3A"/>
    <w:rsid w:val="004E30FD"/>
    <w:rsid w:val="004E3128"/>
    <w:rsid w:val="004E3A79"/>
    <w:rsid w:val="004E3CC7"/>
    <w:rsid w:val="004E3EB1"/>
    <w:rsid w:val="004E410C"/>
    <w:rsid w:val="004E4339"/>
    <w:rsid w:val="004E466C"/>
    <w:rsid w:val="004E46E5"/>
    <w:rsid w:val="004E4723"/>
    <w:rsid w:val="004E4DBB"/>
    <w:rsid w:val="004E4E41"/>
    <w:rsid w:val="004E4E4F"/>
    <w:rsid w:val="004E6935"/>
    <w:rsid w:val="004E7242"/>
    <w:rsid w:val="004E7F9C"/>
    <w:rsid w:val="004F0603"/>
    <w:rsid w:val="004F0D37"/>
    <w:rsid w:val="004F0DA8"/>
    <w:rsid w:val="004F198F"/>
    <w:rsid w:val="004F1B47"/>
    <w:rsid w:val="004F212E"/>
    <w:rsid w:val="004F2AA6"/>
    <w:rsid w:val="004F2B13"/>
    <w:rsid w:val="004F3493"/>
    <w:rsid w:val="004F3517"/>
    <w:rsid w:val="004F3EE6"/>
    <w:rsid w:val="004F5143"/>
    <w:rsid w:val="004F559F"/>
    <w:rsid w:val="004F569A"/>
    <w:rsid w:val="004F6142"/>
    <w:rsid w:val="004F6302"/>
    <w:rsid w:val="004F6524"/>
    <w:rsid w:val="004F7483"/>
    <w:rsid w:val="0050007B"/>
    <w:rsid w:val="005004F9"/>
    <w:rsid w:val="00500579"/>
    <w:rsid w:val="00500DE9"/>
    <w:rsid w:val="005013AA"/>
    <w:rsid w:val="00501884"/>
    <w:rsid w:val="00502169"/>
    <w:rsid w:val="005023DB"/>
    <w:rsid w:val="0050286B"/>
    <w:rsid w:val="00502FB0"/>
    <w:rsid w:val="005037EC"/>
    <w:rsid w:val="00503D89"/>
    <w:rsid w:val="00505DA9"/>
    <w:rsid w:val="00506CE3"/>
    <w:rsid w:val="00506D61"/>
    <w:rsid w:val="0050724F"/>
    <w:rsid w:val="00507C59"/>
    <w:rsid w:val="005105C0"/>
    <w:rsid w:val="00511097"/>
    <w:rsid w:val="005112ED"/>
    <w:rsid w:val="00511515"/>
    <w:rsid w:val="00511950"/>
    <w:rsid w:val="00511F28"/>
    <w:rsid w:val="005121C2"/>
    <w:rsid w:val="00512261"/>
    <w:rsid w:val="005123B8"/>
    <w:rsid w:val="00512B09"/>
    <w:rsid w:val="00514756"/>
    <w:rsid w:val="00515099"/>
    <w:rsid w:val="00515771"/>
    <w:rsid w:val="005157B5"/>
    <w:rsid w:val="0051698F"/>
    <w:rsid w:val="00516DFE"/>
    <w:rsid w:val="0051772A"/>
    <w:rsid w:val="00517A01"/>
    <w:rsid w:val="005204F2"/>
    <w:rsid w:val="00520861"/>
    <w:rsid w:val="00520952"/>
    <w:rsid w:val="0052106D"/>
    <w:rsid w:val="00522050"/>
    <w:rsid w:val="005226DA"/>
    <w:rsid w:val="00522D9F"/>
    <w:rsid w:val="00522FA4"/>
    <w:rsid w:val="00523636"/>
    <w:rsid w:val="00523698"/>
    <w:rsid w:val="005236BB"/>
    <w:rsid w:val="00523A6A"/>
    <w:rsid w:val="00523C80"/>
    <w:rsid w:val="00524385"/>
    <w:rsid w:val="00525AFF"/>
    <w:rsid w:val="00525D83"/>
    <w:rsid w:val="00526BA9"/>
    <w:rsid w:val="00526D22"/>
    <w:rsid w:val="00527B5C"/>
    <w:rsid w:val="00527BB9"/>
    <w:rsid w:val="00527C5D"/>
    <w:rsid w:val="00527F10"/>
    <w:rsid w:val="00530069"/>
    <w:rsid w:val="005301E7"/>
    <w:rsid w:val="00530524"/>
    <w:rsid w:val="005305E1"/>
    <w:rsid w:val="00530722"/>
    <w:rsid w:val="005310DA"/>
    <w:rsid w:val="005326B8"/>
    <w:rsid w:val="0053354D"/>
    <w:rsid w:val="00533796"/>
    <w:rsid w:val="00533F60"/>
    <w:rsid w:val="00534297"/>
    <w:rsid w:val="005347B7"/>
    <w:rsid w:val="00534D9C"/>
    <w:rsid w:val="005350EF"/>
    <w:rsid w:val="00535180"/>
    <w:rsid w:val="005354A8"/>
    <w:rsid w:val="00535772"/>
    <w:rsid w:val="00535E88"/>
    <w:rsid w:val="00536888"/>
    <w:rsid w:val="00536910"/>
    <w:rsid w:val="00536A0F"/>
    <w:rsid w:val="00537343"/>
    <w:rsid w:val="00540F66"/>
    <w:rsid w:val="005412B2"/>
    <w:rsid w:val="00541709"/>
    <w:rsid w:val="00541FB1"/>
    <w:rsid w:val="0054219C"/>
    <w:rsid w:val="00542F8F"/>
    <w:rsid w:val="005430C7"/>
    <w:rsid w:val="00543D73"/>
    <w:rsid w:val="0054404A"/>
    <w:rsid w:val="005441F7"/>
    <w:rsid w:val="00544A04"/>
    <w:rsid w:val="00544C0D"/>
    <w:rsid w:val="00544F20"/>
    <w:rsid w:val="005453A3"/>
    <w:rsid w:val="00545544"/>
    <w:rsid w:val="00545A8E"/>
    <w:rsid w:val="00546343"/>
    <w:rsid w:val="005463C3"/>
    <w:rsid w:val="0054690B"/>
    <w:rsid w:val="00546A2F"/>
    <w:rsid w:val="00546A3E"/>
    <w:rsid w:val="00547170"/>
    <w:rsid w:val="00547D71"/>
    <w:rsid w:val="00550D56"/>
    <w:rsid w:val="00551221"/>
    <w:rsid w:val="005519F2"/>
    <w:rsid w:val="00551D50"/>
    <w:rsid w:val="00551FAF"/>
    <w:rsid w:val="00552EBD"/>
    <w:rsid w:val="005531E9"/>
    <w:rsid w:val="00553F71"/>
    <w:rsid w:val="005540C3"/>
    <w:rsid w:val="00554862"/>
    <w:rsid w:val="00554AC7"/>
    <w:rsid w:val="00554FD4"/>
    <w:rsid w:val="00555266"/>
    <w:rsid w:val="00555C5C"/>
    <w:rsid w:val="00555C9D"/>
    <w:rsid w:val="00555D75"/>
    <w:rsid w:val="00555E75"/>
    <w:rsid w:val="005564A5"/>
    <w:rsid w:val="00556E92"/>
    <w:rsid w:val="00557001"/>
    <w:rsid w:val="0055755B"/>
    <w:rsid w:val="00560C82"/>
    <w:rsid w:val="00560DF0"/>
    <w:rsid w:val="00560E0C"/>
    <w:rsid w:val="00560F2B"/>
    <w:rsid w:val="0056107C"/>
    <w:rsid w:val="00561943"/>
    <w:rsid w:val="005619BD"/>
    <w:rsid w:val="005620DE"/>
    <w:rsid w:val="00562E32"/>
    <w:rsid w:val="00562F3E"/>
    <w:rsid w:val="005649CC"/>
    <w:rsid w:val="005656E0"/>
    <w:rsid w:val="0056650C"/>
    <w:rsid w:val="00566643"/>
    <w:rsid w:val="0056688A"/>
    <w:rsid w:val="00566958"/>
    <w:rsid w:val="0056759C"/>
    <w:rsid w:val="0056761F"/>
    <w:rsid w:val="005678D6"/>
    <w:rsid w:val="00567DF7"/>
    <w:rsid w:val="0057028E"/>
    <w:rsid w:val="005702AB"/>
    <w:rsid w:val="005706B4"/>
    <w:rsid w:val="00570947"/>
    <w:rsid w:val="00570A68"/>
    <w:rsid w:val="00570BC4"/>
    <w:rsid w:val="00570FB1"/>
    <w:rsid w:val="00572342"/>
    <w:rsid w:val="00572B36"/>
    <w:rsid w:val="00572B71"/>
    <w:rsid w:val="00572D08"/>
    <w:rsid w:val="00573A67"/>
    <w:rsid w:val="0057435C"/>
    <w:rsid w:val="00574DB9"/>
    <w:rsid w:val="00574DE9"/>
    <w:rsid w:val="00575A29"/>
    <w:rsid w:val="00575A54"/>
    <w:rsid w:val="005760DE"/>
    <w:rsid w:val="00576767"/>
    <w:rsid w:val="005767D6"/>
    <w:rsid w:val="00576B39"/>
    <w:rsid w:val="00576D02"/>
    <w:rsid w:val="005774D7"/>
    <w:rsid w:val="005778F3"/>
    <w:rsid w:val="00577DAA"/>
    <w:rsid w:val="005800F3"/>
    <w:rsid w:val="0058025F"/>
    <w:rsid w:val="005819FF"/>
    <w:rsid w:val="005823A1"/>
    <w:rsid w:val="00582E64"/>
    <w:rsid w:val="00582EF4"/>
    <w:rsid w:val="00583167"/>
    <w:rsid w:val="00583B54"/>
    <w:rsid w:val="0058545E"/>
    <w:rsid w:val="00586102"/>
    <w:rsid w:val="005863BF"/>
    <w:rsid w:val="0058669B"/>
    <w:rsid w:val="00586823"/>
    <w:rsid w:val="00586A06"/>
    <w:rsid w:val="00586B5F"/>
    <w:rsid w:val="00586B62"/>
    <w:rsid w:val="00587886"/>
    <w:rsid w:val="00590206"/>
    <w:rsid w:val="005906B1"/>
    <w:rsid w:val="00590FF4"/>
    <w:rsid w:val="00591FCA"/>
    <w:rsid w:val="00592B6D"/>
    <w:rsid w:val="0059307A"/>
    <w:rsid w:val="0059363E"/>
    <w:rsid w:val="005948C8"/>
    <w:rsid w:val="0059513E"/>
    <w:rsid w:val="005955FE"/>
    <w:rsid w:val="00595F14"/>
    <w:rsid w:val="00596727"/>
    <w:rsid w:val="00596FEF"/>
    <w:rsid w:val="005975EA"/>
    <w:rsid w:val="005A0EFD"/>
    <w:rsid w:val="005A1860"/>
    <w:rsid w:val="005A1EC7"/>
    <w:rsid w:val="005A204B"/>
    <w:rsid w:val="005A25A7"/>
    <w:rsid w:val="005A2CF5"/>
    <w:rsid w:val="005A2D51"/>
    <w:rsid w:val="005A3A4B"/>
    <w:rsid w:val="005A3DC5"/>
    <w:rsid w:val="005A45A0"/>
    <w:rsid w:val="005A4657"/>
    <w:rsid w:val="005A499C"/>
    <w:rsid w:val="005A4A91"/>
    <w:rsid w:val="005A58BB"/>
    <w:rsid w:val="005A5C0A"/>
    <w:rsid w:val="005A5CA1"/>
    <w:rsid w:val="005A64A4"/>
    <w:rsid w:val="005A64C2"/>
    <w:rsid w:val="005A6B42"/>
    <w:rsid w:val="005A6D9F"/>
    <w:rsid w:val="005A6EFE"/>
    <w:rsid w:val="005A7643"/>
    <w:rsid w:val="005A7652"/>
    <w:rsid w:val="005A7BD9"/>
    <w:rsid w:val="005B0918"/>
    <w:rsid w:val="005B0C3B"/>
    <w:rsid w:val="005B159C"/>
    <w:rsid w:val="005B25A2"/>
    <w:rsid w:val="005B27AC"/>
    <w:rsid w:val="005B30F2"/>
    <w:rsid w:val="005B3E8B"/>
    <w:rsid w:val="005B4240"/>
    <w:rsid w:val="005B48FF"/>
    <w:rsid w:val="005B4B32"/>
    <w:rsid w:val="005B6FCE"/>
    <w:rsid w:val="005B701B"/>
    <w:rsid w:val="005C2E4D"/>
    <w:rsid w:val="005C4137"/>
    <w:rsid w:val="005C4957"/>
    <w:rsid w:val="005C4B8E"/>
    <w:rsid w:val="005C4E3D"/>
    <w:rsid w:val="005C5574"/>
    <w:rsid w:val="005C55DA"/>
    <w:rsid w:val="005C5711"/>
    <w:rsid w:val="005C5E9D"/>
    <w:rsid w:val="005C61BF"/>
    <w:rsid w:val="005C6355"/>
    <w:rsid w:val="005C63C5"/>
    <w:rsid w:val="005C6FA2"/>
    <w:rsid w:val="005C7C04"/>
    <w:rsid w:val="005D02DF"/>
    <w:rsid w:val="005D03D7"/>
    <w:rsid w:val="005D1313"/>
    <w:rsid w:val="005D164B"/>
    <w:rsid w:val="005D1DEB"/>
    <w:rsid w:val="005D1F2F"/>
    <w:rsid w:val="005D2AA4"/>
    <w:rsid w:val="005D2F86"/>
    <w:rsid w:val="005D3447"/>
    <w:rsid w:val="005D363F"/>
    <w:rsid w:val="005D50AF"/>
    <w:rsid w:val="005D533E"/>
    <w:rsid w:val="005D547A"/>
    <w:rsid w:val="005D5B7C"/>
    <w:rsid w:val="005D5D90"/>
    <w:rsid w:val="005D7023"/>
    <w:rsid w:val="005D7A4F"/>
    <w:rsid w:val="005E0143"/>
    <w:rsid w:val="005E069F"/>
    <w:rsid w:val="005E0835"/>
    <w:rsid w:val="005E0FF6"/>
    <w:rsid w:val="005E1320"/>
    <w:rsid w:val="005E13BC"/>
    <w:rsid w:val="005E1435"/>
    <w:rsid w:val="005E201F"/>
    <w:rsid w:val="005E24DA"/>
    <w:rsid w:val="005E2968"/>
    <w:rsid w:val="005E2CA6"/>
    <w:rsid w:val="005E2F9F"/>
    <w:rsid w:val="005E33EE"/>
    <w:rsid w:val="005E3966"/>
    <w:rsid w:val="005E3CD4"/>
    <w:rsid w:val="005E3D9B"/>
    <w:rsid w:val="005E3FAB"/>
    <w:rsid w:val="005E49FC"/>
    <w:rsid w:val="005E4B98"/>
    <w:rsid w:val="005E4DEF"/>
    <w:rsid w:val="005E5348"/>
    <w:rsid w:val="005E5AF7"/>
    <w:rsid w:val="005E5E18"/>
    <w:rsid w:val="005E6097"/>
    <w:rsid w:val="005E6AFD"/>
    <w:rsid w:val="005F07C1"/>
    <w:rsid w:val="005F0D28"/>
    <w:rsid w:val="005F0F17"/>
    <w:rsid w:val="005F117A"/>
    <w:rsid w:val="005F1229"/>
    <w:rsid w:val="005F1389"/>
    <w:rsid w:val="005F1F8E"/>
    <w:rsid w:val="005F20B2"/>
    <w:rsid w:val="005F2465"/>
    <w:rsid w:val="005F2B5D"/>
    <w:rsid w:val="005F317B"/>
    <w:rsid w:val="005F366F"/>
    <w:rsid w:val="005F43AC"/>
    <w:rsid w:val="005F4BCE"/>
    <w:rsid w:val="005F563F"/>
    <w:rsid w:val="005F57FE"/>
    <w:rsid w:val="005F6358"/>
    <w:rsid w:val="005F778B"/>
    <w:rsid w:val="005F7882"/>
    <w:rsid w:val="0060005B"/>
    <w:rsid w:val="00600140"/>
    <w:rsid w:val="0060185A"/>
    <w:rsid w:val="006019E8"/>
    <w:rsid w:val="00601C98"/>
    <w:rsid w:val="00601FE5"/>
    <w:rsid w:val="00602042"/>
    <w:rsid w:val="00602308"/>
    <w:rsid w:val="006025DB"/>
    <w:rsid w:val="00603FD1"/>
    <w:rsid w:val="00604328"/>
    <w:rsid w:val="00604943"/>
    <w:rsid w:val="00604C15"/>
    <w:rsid w:val="00604EC2"/>
    <w:rsid w:val="00605657"/>
    <w:rsid w:val="006059AE"/>
    <w:rsid w:val="00605CE1"/>
    <w:rsid w:val="00605EC8"/>
    <w:rsid w:val="00606094"/>
    <w:rsid w:val="006060B1"/>
    <w:rsid w:val="00606801"/>
    <w:rsid w:val="00606A75"/>
    <w:rsid w:val="00607386"/>
    <w:rsid w:val="0060797E"/>
    <w:rsid w:val="00607A7E"/>
    <w:rsid w:val="00610128"/>
    <w:rsid w:val="00610212"/>
    <w:rsid w:val="00611F03"/>
    <w:rsid w:val="0061202B"/>
    <w:rsid w:val="006122A3"/>
    <w:rsid w:val="0061248E"/>
    <w:rsid w:val="0061268C"/>
    <w:rsid w:val="006138D7"/>
    <w:rsid w:val="00613AC1"/>
    <w:rsid w:val="00614541"/>
    <w:rsid w:val="006147F6"/>
    <w:rsid w:val="00614D1F"/>
    <w:rsid w:val="00614FBD"/>
    <w:rsid w:val="00615358"/>
    <w:rsid w:val="00615540"/>
    <w:rsid w:val="00615853"/>
    <w:rsid w:val="006158D5"/>
    <w:rsid w:val="00615E5D"/>
    <w:rsid w:val="00616BC8"/>
    <w:rsid w:val="00617AB5"/>
    <w:rsid w:val="00617B63"/>
    <w:rsid w:val="0062009F"/>
    <w:rsid w:val="00620538"/>
    <w:rsid w:val="00620783"/>
    <w:rsid w:val="006208B4"/>
    <w:rsid w:val="00620AF9"/>
    <w:rsid w:val="0062135E"/>
    <w:rsid w:val="0062234F"/>
    <w:rsid w:val="006238D2"/>
    <w:rsid w:val="00623E53"/>
    <w:rsid w:val="006240D1"/>
    <w:rsid w:val="006241B6"/>
    <w:rsid w:val="0062589C"/>
    <w:rsid w:val="006259E0"/>
    <w:rsid w:val="00625D83"/>
    <w:rsid w:val="00626252"/>
    <w:rsid w:val="006266DB"/>
    <w:rsid w:val="00627B08"/>
    <w:rsid w:val="00630DAB"/>
    <w:rsid w:val="00630F4E"/>
    <w:rsid w:val="00631655"/>
    <w:rsid w:val="00631CA7"/>
    <w:rsid w:val="006340E2"/>
    <w:rsid w:val="006344FE"/>
    <w:rsid w:val="006350AE"/>
    <w:rsid w:val="006351E7"/>
    <w:rsid w:val="0063537D"/>
    <w:rsid w:val="0063546C"/>
    <w:rsid w:val="0063628E"/>
    <w:rsid w:val="006364C0"/>
    <w:rsid w:val="00636814"/>
    <w:rsid w:val="00637955"/>
    <w:rsid w:val="00637A91"/>
    <w:rsid w:val="00640470"/>
    <w:rsid w:val="00640A1B"/>
    <w:rsid w:val="00640B42"/>
    <w:rsid w:val="00640F3E"/>
    <w:rsid w:val="00641608"/>
    <w:rsid w:val="00641725"/>
    <w:rsid w:val="00641A9E"/>
    <w:rsid w:val="006424BB"/>
    <w:rsid w:val="006439FE"/>
    <w:rsid w:val="0064410F"/>
    <w:rsid w:val="00645060"/>
    <w:rsid w:val="00645B8F"/>
    <w:rsid w:val="00650DB3"/>
    <w:rsid w:val="006511EF"/>
    <w:rsid w:val="006513E8"/>
    <w:rsid w:val="00651787"/>
    <w:rsid w:val="00652145"/>
    <w:rsid w:val="0065249E"/>
    <w:rsid w:val="0065274F"/>
    <w:rsid w:val="00652A5B"/>
    <w:rsid w:val="0065355D"/>
    <w:rsid w:val="006537A4"/>
    <w:rsid w:val="00653997"/>
    <w:rsid w:val="006541A2"/>
    <w:rsid w:val="00655294"/>
    <w:rsid w:val="006557BF"/>
    <w:rsid w:val="00656334"/>
    <w:rsid w:val="006564A5"/>
    <w:rsid w:val="0065691F"/>
    <w:rsid w:val="00656A3F"/>
    <w:rsid w:val="0065749D"/>
    <w:rsid w:val="006600A9"/>
    <w:rsid w:val="006607C2"/>
    <w:rsid w:val="0066116E"/>
    <w:rsid w:val="00661534"/>
    <w:rsid w:val="00662009"/>
    <w:rsid w:val="006623E7"/>
    <w:rsid w:val="00662B80"/>
    <w:rsid w:val="00662CD4"/>
    <w:rsid w:val="00663E84"/>
    <w:rsid w:val="0066523F"/>
    <w:rsid w:val="00665E3B"/>
    <w:rsid w:val="00665E91"/>
    <w:rsid w:val="006666AA"/>
    <w:rsid w:val="00666CBE"/>
    <w:rsid w:val="006670DD"/>
    <w:rsid w:val="006674AA"/>
    <w:rsid w:val="006677F0"/>
    <w:rsid w:val="00667E19"/>
    <w:rsid w:val="00670F6C"/>
    <w:rsid w:val="0067128C"/>
    <w:rsid w:val="0067153C"/>
    <w:rsid w:val="0067153F"/>
    <w:rsid w:val="00672434"/>
    <w:rsid w:val="0067336A"/>
    <w:rsid w:val="00673BEB"/>
    <w:rsid w:val="00673C50"/>
    <w:rsid w:val="00674D97"/>
    <w:rsid w:val="00675323"/>
    <w:rsid w:val="00675543"/>
    <w:rsid w:val="00675872"/>
    <w:rsid w:val="0067589E"/>
    <w:rsid w:val="00675911"/>
    <w:rsid w:val="00675DAE"/>
    <w:rsid w:val="00676BEE"/>
    <w:rsid w:val="00676D88"/>
    <w:rsid w:val="00677330"/>
    <w:rsid w:val="00677834"/>
    <w:rsid w:val="00680026"/>
    <w:rsid w:val="00680C72"/>
    <w:rsid w:val="00680F5F"/>
    <w:rsid w:val="00681E84"/>
    <w:rsid w:val="00682619"/>
    <w:rsid w:val="00682B7B"/>
    <w:rsid w:val="00682DCC"/>
    <w:rsid w:val="00682ED5"/>
    <w:rsid w:val="006840FF"/>
    <w:rsid w:val="006846FF"/>
    <w:rsid w:val="006848EE"/>
    <w:rsid w:val="00684977"/>
    <w:rsid w:val="00684DC2"/>
    <w:rsid w:val="006852C7"/>
    <w:rsid w:val="006852CE"/>
    <w:rsid w:val="00685A1C"/>
    <w:rsid w:val="006864CC"/>
    <w:rsid w:val="006865AA"/>
    <w:rsid w:val="006870C5"/>
    <w:rsid w:val="00687497"/>
    <w:rsid w:val="00687627"/>
    <w:rsid w:val="00687E96"/>
    <w:rsid w:val="00687FE1"/>
    <w:rsid w:val="006903A2"/>
    <w:rsid w:val="0069044C"/>
    <w:rsid w:val="0069111B"/>
    <w:rsid w:val="0069111D"/>
    <w:rsid w:val="00691AC8"/>
    <w:rsid w:val="00691EF6"/>
    <w:rsid w:val="006924BA"/>
    <w:rsid w:val="006928E9"/>
    <w:rsid w:val="00692AFC"/>
    <w:rsid w:val="00692DBC"/>
    <w:rsid w:val="00693DB2"/>
    <w:rsid w:val="00694600"/>
    <w:rsid w:val="006946F8"/>
    <w:rsid w:val="00694FEC"/>
    <w:rsid w:val="00695029"/>
    <w:rsid w:val="00695665"/>
    <w:rsid w:val="006960F8"/>
    <w:rsid w:val="006961B4"/>
    <w:rsid w:val="0069633B"/>
    <w:rsid w:val="006974B5"/>
    <w:rsid w:val="00697D05"/>
    <w:rsid w:val="00697D6D"/>
    <w:rsid w:val="006A025B"/>
    <w:rsid w:val="006A0BCC"/>
    <w:rsid w:val="006A0E8A"/>
    <w:rsid w:val="006A172B"/>
    <w:rsid w:val="006A18D8"/>
    <w:rsid w:val="006A1DB7"/>
    <w:rsid w:val="006A4782"/>
    <w:rsid w:val="006A47A1"/>
    <w:rsid w:val="006A4B8E"/>
    <w:rsid w:val="006A555E"/>
    <w:rsid w:val="006A6171"/>
    <w:rsid w:val="006A658E"/>
    <w:rsid w:val="006A6CB9"/>
    <w:rsid w:val="006A6D91"/>
    <w:rsid w:val="006A6E45"/>
    <w:rsid w:val="006A6F5C"/>
    <w:rsid w:val="006A6FC8"/>
    <w:rsid w:val="006B06F4"/>
    <w:rsid w:val="006B1C6D"/>
    <w:rsid w:val="006B1FA3"/>
    <w:rsid w:val="006B202F"/>
    <w:rsid w:val="006B2B07"/>
    <w:rsid w:val="006B371A"/>
    <w:rsid w:val="006B3F6E"/>
    <w:rsid w:val="006B406E"/>
    <w:rsid w:val="006B420E"/>
    <w:rsid w:val="006B4C79"/>
    <w:rsid w:val="006B50AD"/>
    <w:rsid w:val="006B5456"/>
    <w:rsid w:val="006B5A91"/>
    <w:rsid w:val="006B5CEC"/>
    <w:rsid w:val="006B5E03"/>
    <w:rsid w:val="006B63C9"/>
    <w:rsid w:val="006B6E11"/>
    <w:rsid w:val="006B799F"/>
    <w:rsid w:val="006B7CBA"/>
    <w:rsid w:val="006C0700"/>
    <w:rsid w:val="006C0B06"/>
    <w:rsid w:val="006C10DA"/>
    <w:rsid w:val="006C1635"/>
    <w:rsid w:val="006C1727"/>
    <w:rsid w:val="006C17B9"/>
    <w:rsid w:val="006C1C22"/>
    <w:rsid w:val="006C1CCC"/>
    <w:rsid w:val="006C2827"/>
    <w:rsid w:val="006C30C2"/>
    <w:rsid w:val="006C32FD"/>
    <w:rsid w:val="006C39CE"/>
    <w:rsid w:val="006C3E18"/>
    <w:rsid w:val="006C3E2D"/>
    <w:rsid w:val="006C42AD"/>
    <w:rsid w:val="006C6F5D"/>
    <w:rsid w:val="006D025C"/>
    <w:rsid w:val="006D0507"/>
    <w:rsid w:val="006D0FCC"/>
    <w:rsid w:val="006D155C"/>
    <w:rsid w:val="006D187E"/>
    <w:rsid w:val="006D21F5"/>
    <w:rsid w:val="006D27EB"/>
    <w:rsid w:val="006D2977"/>
    <w:rsid w:val="006D2B75"/>
    <w:rsid w:val="006D2B95"/>
    <w:rsid w:val="006D30B5"/>
    <w:rsid w:val="006D36DC"/>
    <w:rsid w:val="006D41CB"/>
    <w:rsid w:val="006D4768"/>
    <w:rsid w:val="006D47C2"/>
    <w:rsid w:val="006D497D"/>
    <w:rsid w:val="006D4C37"/>
    <w:rsid w:val="006D5165"/>
    <w:rsid w:val="006D526D"/>
    <w:rsid w:val="006D5646"/>
    <w:rsid w:val="006D61E4"/>
    <w:rsid w:val="006D6795"/>
    <w:rsid w:val="006D6D7C"/>
    <w:rsid w:val="006D6E3E"/>
    <w:rsid w:val="006E0805"/>
    <w:rsid w:val="006E1CC7"/>
    <w:rsid w:val="006E1FC3"/>
    <w:rsid w:val="006E2C0B"/>
    <w:rsid w:val="006E3132"/>
    <w:rsid w:val="006E40D9"/>
    <w:rsid w:val="006E41FB"/>
    <w:rsid w:val="006E4933"/>
    <w:rsid w:val="006E5BF4"/>
    <w:rsid w:val="006E6DD0"/>
    <w:rsid w:val="006E70FF"/>
    <w:rsid w:val="006E7B01"/>
    <w:rsid w:val="006F0521"/>
    <w:rsid w:val="006F07CB"/>
    <w:rsid w:val="006F104C"/>
    <w:rsid w:val="006F11F7"/>
    <w:rsid w:val="006F1E3C"/>
    <w:rsid w:val="006F217A"/>
    <w:rsid w:val="006F2203"/>
    <w:rsid w:val="006F25F1"/>
    <w:rsid w:val="006F2E3A"/>
    <w:rsid w:val="006F2E9A"/>
    <w:rsid w:val="006F5BC2"/>
    <w:rsid w:val="006F5FBE"/>
    <w:rsid w:val="006F6EE9"/>
    <w:rsid w:val="006F6F02"/>
    <w:rsid w:val="006F715C"/>
    <w:rsid w:val="006F7378"/>
    <w:rsid w:val="006F77A7"/>
    <w:rsid w:val="006F7B23"/>
    <w:rsid w:val="00700DE1"/>
    <w:rsid w:val="0070135D"/>
    <w:rsid w:val="007019F4"/>
    <w:rsid w:val="00701A8F"/>
    <w:rsid w:val="00702020"/>
    <w:rsid w:val="007020EA"/>
    <w:rsid w:val="007023D4"/>
    <w:rsid w:val="00702A64"/>
    <w:rsid w:val="007032BB"/>
    <w:rsid w:val="00703426"/>
    <w:rsid w:val="00703484"/>
    <w:rsid w:val="00703F1D"/>
    <w:rsid w:val="00703FFD"/>
    <w:rsid w:val="007040DE"/>
    <w:rsid w:val="00704332"/>
    <w:rsid w:val="00704CE9"/>
    <w:rsid w:val="007055FE"/>
    <w:rsid w:val="0070616B"/>
    <w:rsid w:val="007061BB"/>
    <w:rsid w:val="00706295"/>
    <w:rsid w:val="00706C5A"/>
    <w:rsid w:val="00706FDA"/>
    <w:rsid w:val="00707342"/>
    <w:rsid w:val="00707AE6"/>
    <w:rsid w:val="007104A9"/>
    <w:rsid w:val="00711292"/>
    <w:rsid w:val="00711B75"/>
    <w:rsid w:val="00711D09"/>
    <w:rsid w:val="00711F9A"/>
    <w:rsid w:val="007126E9"/>
    <w:rsid w:val="00713810"/>
    <w:rsid w:val="0071564D"/>
    <w:rsid w:val="0071672D"/>
    <w:rsid w:val="00717B2E"/>
    <w:rsid w:val="007202E6"/>
    <w:rsid w:val="00720610"/>
    <w:rsid w:val="00721573"/>
    <w:rsid w:val="0072168A"/>
    <w:rsid w:val="00721F96"/>
    <w:rsid w:val="00722A9D"/>
    <w:rsid w:val="00722D2C"/>
    <w:rsid w:val="007231BB"/>
    <w:rsid w:val="0072399F"/>
    <w:rsid w:val="00723AC8"/>
    <w:rsid w:val="00723C6D"/>
    <w:rsid w:val="00723D71"/>
    <w:rsid w:val="007247C6"/>
    <w:rsid w:val="00724B34"/>
    <w:rsid w:val="00725D50"/>
    <w:rsid w:val="00725E30"/>
    <w:rsid w:val="00725FBA"/>
    <w:rsid w:val="00726457"/>
    <w:rsid w:val="00726A2D"/>
    <w:rsid w:val="007303A5"/>
    <w:rsid w:val="00730B06"/>
    <w:rsid w:val="00730B3E"/>
    <w:rsid w:val="00732757"/>
    <w:rsid w:val="0073279C"/>
    <w:rsid w:val="00732B6B"/>
    <w:rsid w:val="00732FD1"/>
    <w:rsid w:val="00733717"/>
    <w:rsid w:val="0073420B"/>
    <w:rsid w:val="00735220"/>
    <w:rsid w:val="00735BD2"/>
    <w:rsid w:val="00736EF5"/>
    <w:rsid w:val="00737147"/>
    <w:rsid w:val="0073769F"/>
    <w:rsid w:val="00740033"/>
    <w:rsid w:val="007407F2"/>
    <w:rsid w:val="00741633"/>
    <w:rsid w:val="00741B62"/>
    <w:rsid w:val="00741F32"/>
    <w:rsid w:val="00742724"/>
    <w:rsid w:val="00742EDC"/>
    <w:rsid w:val="00742FF9"/>
    <w:rsid w:val="0074306E"/>
    <w:rsid w:val="00743989"/>
    <w:rsid w:val="007439D0"/>
    <w:rsid w:val="0074420D"/>
    <w:rsid w:val="00744585"/>
    <w:rsid w:val="00744C24"/>
    <w:rsid w:val="00745203"/>
    <w:rsid w:val="00745868"/>
    <w:rsid w:val="00745917"/>
    <w:rsid w:val="00745D1B"/>
    <w:rsid w:val="0074634C"/>
    <w:rsid w:val="0074760E"/>
    <w:rsid w:val="007504CE"/>
    <w:rsid w:val="007509B2"/>
    <w:rsid w:val="007511D3"/>
    <w:rsid w:val="0075148F"/>
    <w:rsid w:val="00751BAF"/>
    <w:rsid w:val="00752341"/>
    <w:rsid w:val="007527E1"/>
    <w:rsid w:val="007528AE"/>
    <w:rsid w:val="00753365"/>
    <w:rsid w:val="00753EB7"/>
    <w:rsid w:val="00754033"/>
    <w:rsid w:val="00754823"/>
    <w:rsid w:val="00754A6C"/>
    <w:rsid w:val="00754ABA"/>
    <w:rsid w:val="00754BA4"/>
    <w:rsid w:val="00755328"/>
    <w:rsid w:val="00755C5D"/>
    <w:rsid w:val="00755D4A"/>
    <w:rsid w:val="00756E07"/>
    <w:rsid w:val="007575FD"/>
    <w:rsid w:val="0075773A"/>
    <w:rsid w:val="00757DE7"/>
    <w:rsid w:val="00760851"/>
    <w:rsid w:val="00761CE8"/>
    <w:rsid w:val="0076269E"/>
    <w:rsid w:val="007629C6"/>
    <w:rsid w:val="00763540"/>
    <w:rsid w:val="00763F73"/>
    <w:rsid w:val="00764619"/>
    <w:rsid w:val="00764A37"/>
    <w:rsid w:val="00764CB2"/>
    <w:rsid w:val="00765193"/>
    <w:rsid w:val="007658DE"/>
    <w:rsid w:val="00767632"/>
    <w:rsid w:val="0076785B"/>
    <w:rsid w:val="00767E1E"/>
    <w:rsid w:val="007708A7"/>
    <w:rsid w:val="00770C17"/>
    <w:rsid w:val="00770F52"/>
    <w:rsid w:val="00771618"/>
    <w:rsid w:val="00771645"/>
    <w:rsid w:val="00771D45"/>
    <w:rsid w:val="00772D16"/>
    <w:rsid w:val="00772E98"/>
    <w:rsid w:val="0077365E"/>
    <w:rsid w:val="0077371A"/>
    <w:rsid w:val="007742BE"/>
    <w:rsid w:val="0077437F"/>
    <w:rsid w:val="007745C5"/>
    <w:rsid w:val="00774875"/>
    <w:rsid w:val="00774A0C"/>
    <w:rsid w:val="00774FB1"/>
    <w:rsid w:val="00775F91"/>
    <w:rsid w:val="00775FAD"/>
    <w:rsid w:val="007760A4"/>
    <w:rsid w:val="00777F17"/>
    <w:rsid w:val="00780243"/>
    <w:rsid w:val="007808D3"/>
    <w:rsid w:val="007809EF"/>
    <w:rsid w:val="00780A66"/>
    <w:rsid w:val="00780E5B"/>
    <w:rsid w:val="007811EF"/>
    <w:rsid w:val="00781331"/>
    <w:rsid w:val="007816D9"/>
    <w:rsid w:val="00781854"/>
    <w:rsid w:val="0078286E"/>
    <w:rsid w:val="007844A7"/>
    <w:rsid w:val="0078583D"/>
    <w:rsid w:val="00785E18"/>
    <w:rsid w:val="007865BE"/>
    <w:rsid w:val="00786645"/>
    <w:rsid w:val="0078721F"/>
    <w:rsid w:val="007877BE"/>
    <w:rsid w:val="00787CB7"/>
    <w:rsid w:val="007903FD"/>
    <w:rsid w:val="00790950"/>
    <w:rsid w:val="00790C7D"/>
    <w:rsid w:val="007918F6"/>
    <w:rsid w:val="00791FD9"/>
    <w:rsid w:val="0079224B"/>
    <w:rsid w:val="00792675"/>
    <w:rsid w:val="00792B2A"/>
    <w:rsid w:val="007937FE"/>
    <w:rsid w:val="00793D04"/>
    <w:rsid w:val="00794C0C"/>
    <w:rsid w:val="0079567D"/>
    <w:rsid w:val="00795E3A"/>
    <w:rsid w:val="00796704"/>
    <w:rsid w:val="00796D13"/>
    <w:rsid w:val="00796F86"/>
    <w:rsid w:val="00797C9F"/>
    <w:rsid w:val="00797DA3"/>
    <w:rsid w:val="007A011A"/>
    <w:rsid w:val="007A0499"/>
    <w:rsid w:val="007A1439"/>
    <w:rsid w:val="007A1546"/>
    <w:rsid w:val="007A1760"/>
    <w:rsid w:val="007A211B"/>
    <w:rsid w:val="007A228C"/>
    <w:rsid w:val="007A2524"/>
    <w:rsid w:val="007A368E"/>
    <w:rsid w:val="007A3F27"/>
    <w:rsid w:val="007A3F5D"/>
    <w:rsid w:val="007A41EC"/>
    <w:rsid w:val="007A5868"/>
    <w:rsid w:val="007A5FD8"/>
    <w:rsid w:val="007A5FEE"/>
    <w:rsid w:val="007A611B"/>
    <w:rsid w:val="007A637D"/>
    <w:rsid w:val="007A6BB8"/>
    <w:rsid w:val="007A6F9F"/>
    <w:rsid w:val="007A6FAC"/>
    <w:rsid w:val="007A7088"/>
    <w:rsid w:val="007A7550"/>
    <w:rsid w:val="007A7645"/>
    <w:rsid w:val="007A76BF"/>
    <w:rsid w:val="007A7781"/>
    <w:rsid w:val="007A7E4F"/>
    <w:rsid w:val="007B01C1"/>
    <w:rsid w:val="007B028D"/>
    <w:rsid w:val="007B04CE"/>
    <w:rsid w:val="007B0D8A"/>
    <w:rsid w:val="007B0DBB"/>
    <w:rsid w:val="007B1597"/>
    <w:rsid w:val="007B28AE"/>
    <w:rsid w:val="007B3695"/>
    <w:rsid w:val="007B3745"/>
    <w:rsid w:val="007B548F"/>
    <w:rsid w:val="007B5E20"/>
    <w:rsid w:val="007B6871"/>
    <w:rsid w:val="007B74D9"/>
    <w:rsid w:val="007B78A1"/>
    <w:rsid w:val="007B7A2F"/>
    <w:rsid w:val="007C01F0"/>
    <w:rsid w:val="007C1389"/>
    <w:rsid w:val="007C1B04"/>
    <w:rsid w:val="007C2B24"/>
    <w:rsid w:val="007C308E"/>
    <w:rsid w:val="007C3D33"/>
    <w:rsid w:val="007C50B3"/>
    <w:rsid w:val="007C5314"/>
    <w:rsid w:val="007C5A81"/>
    <w:rsid w:val="007C5D89"/>
    <w:rsid w:val="007C6685"/>
    <w:rsid w:val="007C7E35"/>
    <w:rsid w:val="007D003B"/>
    <w:rsid w:val="007D0515"/>
    <w:rsid w:val="007D06FF"/>
    <w:rsid w:val="007D08E3"/>
    <w:rsid w:val="007D1C3D"/>
    <w:rsid w:val="007D23DB"/>
    <w:rsid w:val="007D27B1"/>
    <w:rsid w:val="007D2856"/>
    <w:rsid w:val="007D294A"/>
    <w:rsid w:val="007D31A7"/>
    <w:rsid w:val="007D34FF"/>
    <w:rsid w:val="007D3D8F"/>
    <w:rsid w:val="007D4101"/>
    <w:rsid w:val="007D47D2"/>
    <w:rsid w:val="007D4C81"/>
    <w:rsid w:val="007D4FB5"/>
    <w:rsid w:val="007D55A4"/>
    <w:rsid w:val="007D6642"/>
    <w:rsid w:val="007D6BC7"/>
    <w:rsid w:val="007D6EC0"/>
    <w:rsid w:val="007D72DC"/>
    <w:rsid w:val="007D7E1D"/>
    <w:rsid w:val="007E013D"/>
    <w:rsid w:val="007E02F3"/>
    <w:rsid w:val="007E0E54"/>
    <w:rsid w:val="007E1724"/>
    <w:rsid w:val="007E19AF"/>
    <w:rsid w:val="007E1B34"/>
    <w:rsid w:val="007E1BB8"/>
    <w:rsid w:val="007E27A0"/>
    <w:rsid w:val="007E2D48"/>
    <w:rsid w:val="007E35DF"/>
    <w:rsid w:val="007E3D82"/>
    <w:rsid w:val="007E46D4"/>
    <w:rsid w:val="007E481F"/>
    <w:rsid w:val="007E4AA2"/>
    <w:rsid w:val="007E4B6D"/>
    <w:rsid w:val="007E510E"/>
    <w:rsid w:val="007E51CE"/>
    <w:rsid w:val="007E5756"/>
    <w:rsid w:val="007E666B"/>
    <w:rsid w:val="007E6ABD"/>
    <w:rsid w:val="007E6EC9"/>
    <w:rsid w:val="007E79C9"/>
    <w:rsid w:val="007E7B5B"/>
    <w:rsid w:val="007F0270"/>
    <w:rsid w:val="007F093E"/>
    <w:rsid w:val="007F1165"/>
    <w:rsid w:val="007F2207"/>
    <w:rsid w:val="007F25EA"/>
    <w:rsid w:val="007F2820"/>
    <w:rsid w:val="007F291B"/>
    <w:rsid w:val="007F2A87"/>
    <w:rsid w:val="007F2C89"/>
    <w:rsid w:val="007F346A"/>
    <w:rsid w:val="007F3B9C"/>
    <w:rsid w:val="007F5121"/>
    <w:rsid w:val="007F5344"/>
    <w:rsid w:val="007F553C"/>
    <w:rsid w:val="007F6552"/>
    <w:rsid w:val="007F6FFD"/>
    <w:rsid w:val="007F7C94"/>
    <w:rsid w:val="00800210"/>
    <w:rsid w:val="0080060B"/>
    <w:rsid w:val="008007E3"/>
    <w:rsid w:val="008008C9"/>
    <w:rsid w:val="008018C8"/>
    <w:rsid w:val="00802047"/>
    <w:rsid w:val="0080241A"/>
    <w:rsid w:val="00803A6C"/>
    <w:rsid w:val="00803C77"/>
    <w:rsid w:val="00804163"/>
    <w:rsid w:val="00804E3B"/>
    <w:rsid w:val="00805A78"/>
    <w:rsid w:val="00805CB3"/>
    <w:rsid w:val="008064CE"/>
    <w:rsid w:val="00807654"/>
    <w:rsid w:val="00807817"/>
    <w:rsid w:val="00811427"/>
    <w:rsid w:val="00811BB4"/>
    <w:rsid w:val="00811CA3"/>
    <w:rsid w:val="00812364"/>
    <w:rsid w:val="008126F1"/>
    <w:rsid w:val="00813565"/>
    <w:rsid w:val="0081357B"/>
    <w:rsid w:val="00813AB1"/>
    <w:rsid w:val="0081450B"/>
    <w:rsid w:val="0081461A"/>
    <w:rsid w:val="008150F9"/>
    <w:rsid w:val="00815805"/>
    <w:rsid w:val="00815E4F"/>
    <w:rsid w:val="00816186"/>
    <w:rsid w:val="008167B6"/>
    <w:rsid w:val="00817766"/>
    <w:rsid w:val="00820276"/>
    <w:rsid w:val="00820B09"/>
    <w:rsid w:val="00821687"/>
    <w:rsid w:val="0082196C"/>
    <w:rsid w:val="00823C96"/>
    <w:rsid w:val="008240EC"/>
    <w:rsid w:val="00824D2A"/>
    <w:rsid w:val="00824F61"/>
    <w:rsid w:val="00825A5C"/>
    <w:rsid w:val="00825E2C"/>
    <w:rsid w:val="008273FC"/>
    <w:rsid w:val="00827540"/>
    <w:rsid w:val="00827A54"/>
    <w:rsid w:val="00827B76"/>
    <w:rsid w:val="008303D0"/>
    <w:rsid w:val="0083084B"/>
    <w:rsid w:val="00830EDD"/>
    <w:rsid w:val="0083160A"/>
    <w:rsid w:val="00831979"/>
    <w:rsid w:val="00831D97"/>
    <w:rsid w:val="00832552"/>
    <w:rsid w:val="00832A1D"/>
    <w:rsid w:val="00832B28"/>
    <w:rsid w:val="00833093"/>
    <w:rsid w:val="008337F5"/>
    <w:rsid w:val="00833A48"/>
    <w:rsid w:val="00833F38"/>
    <w:rsid w:val="00834885"/>
    <w:rsid w:val="00834CA9"/>
    <w:rsid w:val="008350A5"/>
    <w:rsid w:val="0083546F"/>
    <w:rsid w:val="008356FF"/>
    <w:rsid w:val="00835863"/>
    <w:rsid w:val="0083667F"/>
    <w:rsid w:val="00836BC2"/>
    <w:rsid w:val="00836BC5"/>
    <w:rsid w:val="0084029E"/>
    <w:rsid w:val="008406A9"/>
    <w:rsid w:val="00840985"/>
    <w:rsid w:val="00840C23"/>
    <w:rsid w:val="00840FFC"/>
    <w:rsid w:val="00841286"/>
    <w:rsid w:val="0084134E"/>
    <w:rsid w:val="0084197C"/>
    <w:rsid w:val="00841A78"/>
    <w:rsid w:val="00841C08"/>
    <w:rsid w:val="00841D51"/>
    <w:rsid w:val="00842B80"/>
    <w:rsid w:val="00843FB1"/>
    <w:rsid w:val="008440F0"/>
    <w:rsid w:val="008453C1"/>
    <w:rsid w:val="008455D3"/>
    <w:rsid w:val="00846B00"/>
    <w:rsid w:val="008478C2"/>
    <w:rsid w:val="00847C65"/>
    <w:rsid w:val="008504D1"/>
    <w:rsid w:val="00850DF3"/>
    <w:rsid w:val="00850E2A"/>
    <w:rsid w:val="00851166"/>
    <w:rsid w:val="00851352"/>
    <w:rsid w:val="00851EB7"/>
    <w:rsid w:val="00852064"/>
    <w:rsid w:val="00852145"/>
    <w:rsid w:val="008525A9"/>
    <w:rsid w:val="00852BD0"/>
    <w:rsid w:val="008534F3"/>
    <w:rsid w:val="00853703"/>
    <w:rsid w:val="00854185"/>
    <w:rsid w:val="008550CF"/>
    <w:rsid w:val="008551DA"/>
    <w:rsid w:val="00855435"/>
    <w:rsid w:val="008556A7"/>
    <w:rsid w:val="00855701"/>
    <w:rsid w:val="00855B04"/>
    <w:rsid w:val="00857077"/>
    <w:rsid w:val="0085769B"/>
    <w:rsid w:val="00857FEE"/>
    <w:rsid w:val="0086008B"/>
    <w:rsid w:val="0086080E"/>
    <w:rsid w:val="00861226"/>
    <w:rsid w:val="00861229"/>
    <w:rsid w:val="008616A7"/>
    <w:rsid w:val="0086214E"/>
    <w:rsid w:val="00862707"/>
    <w:rsid w:val="008627C7"/>
    <w:rsid w:val="00862AAE"/>
    <w:rsid w:val="00862B6B"/>
    <w:rsid w:val="00862F89"/>
    <w:rsid w:val="00863230"/>
    <w:rsid w:val="0086380D"/>
    <w:rsid w:val="00863B62"/>
    <w:rsid w:val="00864CB5"/>
    <w:rsid w:val="00864EF3"/>
    <w:rsid w:val="008653A7"/>
    <w:rsid w:val="00865BD0"/>
    <w:rsid w:val="0086664A"/>
    <w:rsid w:val="008669A6"/>
    <w:rsid w:val="008670CB"/>
    <w:rsid w:val="00867B4F"/>
    <w:rsid w:val="008704E5"/>
    <w:rsid w:val="00870C0D"/>
    <w:rsid w:val="00870DB5"/>
    <w:rsid w:val="008712F5"/>
    <w:rsid w:val="00871322"/>
    <w:rsid w:val="008717D8"/>
    <w:rsid w:val="00871806"/>
    <w:rsid w:val="00871922"/>
    <w:rsid w:val="0087215C"/>
    <w:rsid w:val="00872368"/>
    <w:rsid w:val="00872C92"/>
    <w:rsid w:val="008732BC"/>
    <w:rsid w:val="008737B9"/>
    <w:rsid w:val="00874247"/>
    <w:rsid w:val="0087458F"/>
    <w:rsid w:val="00874CEE"/>
    <w:rsid w:val="00874D0F"/>
    <w:rsid w:val="0087504A"/>
    <w:rsid w:val="0087530C"/>
    <w:rsid w:val="00875821"/>
    <w:rsid w:val="00875B75"/>
    <w:rsid w:val="00875BD1"/>
    <w:rsid w:val="00875D25"/>
    <w:rsid w:val="008761E9"/>
    <w:rsid w:val="0087652C"/>
    <w:rsid w:val="00877AA0"/>
    <w:rsid w:val="00880380"/>
    <w:rsid w:val="00880ABA"/>
    <w:rsid w:val="00880C73"/>
    <w:rsid w:val="00880E35"/>
    <w:rsid w:val="00884326"/>
    <w:rsid w:val="00884376"/>
    <w:rsid w:val="00884B8A"/>
    <w:rsid w:val="00884E4F"/>
    <w:rsid w:val="008856F9"/>
    <w:rsid w:val="0088582A"/>
    <w:rsid w:val="00885AC8"/>
    <w:rsid w:val="00886100"/>
    <w:rsid w:val="008862C1"/>
    <w:rsid w:val="008867A4"/>
    <w:rsid w:val="00886827"/>
    <w:rsid w:val="00887106"/>
    <w:rsid w:val="0088739D"/>
    <w:rsid w:val="008875FE"/>
    <w:rsid w:val="00887BA2"/>
    <w:rsid w:val="00887CB5"/>
    <w:rsid w:val="00887EF3"/>
    <w:rsid w:val="00887F8E"/>
    <w:rsid w:val="00891708"/>
    <w:rsid w:val="008917A0"/>
    <w:rsid w:val="0089284F"/>
    <w:rsid w:val="00892960"/>
    <w:rsid w:val="00892984"/>
    <w:rsid w:val="0089375A"/>
    <w:rsid w:val="00893F66"/>
    <w:rsid w:val="00894824"/>
    <w:rsid w:val="008948CE"/>
    <w:rsid w:val="0089571F"/>
    <w:rsid w:val="00895B77"/>
    <w:rsid w:val="00896121"/>
    <w:rsid w:val="00896234"/>
    <w:rsid w:val="00897069"/>
    <w:rsid w:val="0089736F"/>
    <w:rsid w:val="00897E43"/>
    <w:rsid w:val="008A16B9"/>
    <w:rsid w:val="008A1AD0"/>
    <w:rsid w:val="008A271F"/>
    <w:rsid w:val="008A288D"/>
    <w:rsid w:val="008A3047"/>
    <w:rsid w:val="008A347A"/>
    <w:rsid w:val="008A3847"/>
    <w:rsid w:val="008A3E50"/>
    <w:rsid w:val="008A437D"/>
    <w:rsid w:val="008A46E1"/>
    <w:rsid w:val="008A4CCA"/>
    <w:rsid w:val="008A4D1A"/>
    <w:rsid w:val="008A5D7D"/>
    <w:rsid w:val="008A5EA2"/>
    <w:rsid w:val="008A61F3"/>
    <w:rsid w:val="008A6583"/>
    <w:rsid w:val="008A6920"/>
    <w:rsid w:val="008A6FF8"/>
    <w:rsid w:val="008A70EC"/>
    <w:rsid w:val="008A7189"/>
    <w:rsid w:val="008B16CF"/>
    <w:rsid w:val="008B174E"/>
    <w:rsid w:val="008B22DB"/>
    <w:rsid w:val="008B259B"/>
    <w:rsid w:val="008B2B8D"/>
    <w:rsid w:val="008B2CB5"/>
    <w:rsid w:val="008B2D49"/>
    <w:rsid w:val="008B307E"/>
    <w:rsid w:val="008B3AAE"/>
    <w:rsid w:val="008B42D0"/>
    <w:rsid w:val="008B4832"/>
    <w:rsid w:val="008B49CB"/>
    <w:rsid w:val="008B4BB5"/>
    <w:rsid w:val="008B54DA"/>
    <w:rsid w:val="008B65E1"/>
    <w:rsid w:val="008B68DF"/>
    <w:rsid w:val="008B6A03"/>
    <w:rsid w:val="008B7491"/>
    <w:rsid w:val="008B78B8"/>
    <w:rsid w:val="008B7AC7"/>
    <w:rsid w:val="008B7AE1"/>
    <w:rsid w:val="008B7C9C"/>
    <w:rsid w:val="008C004B"/>
    <w:rsid w:val="008C0B41"/>
    <w:rsid w:val="008C2A35"/>
    <w:rsid w:val="008C2A4B"/>
    <w:rsid w:val="008C2D5B"/>
    <w:rsid w:val="008C36E0"/>
    <w:rsid w:val="008C38F4"/>
    <w:rsid w:val="008C39DF"/>
    <w:rsid w:val="008C3EC4"/>
    <w:rsid w:val="008C49AE"/>
    <w:rsid w:val="008C5278"/>
    <w:rsid w:val="008C5738"/>
    <w:rsid w:val="008C62CF"/>
    <w:rsid w:val="008C687E"/>
    <w:rsid w:val="008C71E1"/>
    <w:rsid w:val="008C74F1"/>
    <w:rsid w:val="008C7ABA"/>
    <w:rsid w:val="008C7EAD"/>
    <w:rsid w:val="008D01A7"/>
    <w:rsid w:val="008D0610"/>
    <w:rsid w:val="008D0834"/>
    <w:rsid w:val="008D0A53"/>
    <w:rsid w:val="008D0CFE"/>
    <w:rsid w:val="008D14AF"/>
    <w:rsid w:val="008D1E6F"/>
    <w:rsid w:val="008D25DC"/>
    <w:rsid w:val="008D3EB1"/>
    <w:rsid w:val="008D3FDF"/>
    <w:rsid w:val="008D43CC"/>
    <w:rsid w:val="008D4C1C"/>
    <w:rsid w:val="008D4E1B"/>
    <w:rsid w:val="008D4FF1"/>
    <w:rsid w:val="008D509F"/>
    <w:rsid w:val="008D5488"/>
    <w:rsid w:val="008D56B3"/>
    <w:rsid w:val="008D56FF"/>
    <w:rsid w:val="008D5A59"/>
    <w:rsid w:val="008D5B84"/>
    <w:rsid w:val="008D5C11"/>
    <w:rsid w:val="008D5E0D"/>
    <w:rsid w:val="008D6152"/>
    <w:rsid w:val="008D6308"/>
    <w:rsid w:val="008D6354"/>
    <w:rsid w:val="008D63F0"/>
    <w:rsid w:val="008D6D11"/>
    <w:rsid w:val="008E107A"/>
    <w:rsid w:val="008E1CC9"/>
    <w:rsid w:val="008E2190"/>
    <w:rsid w:val="008E2BF5"/>
    <w:rsid w:val="008E36BB"/>
    <w:rsid w:val="008E374B"/>
    <w:rsid w:val="008E5F95"/>
    <w:rsid w:val="008E6243"/>
    <w:rsid w:val="008E64CB"/>
    <w:rsid w:val="008E6E2B"/>
    <w:rsid w:val="008E705A"/>
    <w:rsid w:val="008F0BF0"/>
    <w:rsid w:val="008F0F81"/>
    <w:rsid w:val="008F142C"/>
    <w:rsid w:val="008F19D5"/>
    <w:rsid w:val="008F23FE"/>
    <w:rsid w:val="008F27BF"/>
    <w:rsid w:val="008F2C77"/>
    <w:rsid w:val="008F2EC2"/>
    <w:rsid w:val="008F35D5"/>
    <w:rsid w:val="008F3762"/>
    <w:rsid w:val="008F475A"/>
    <w:rsid w:val="008F4915"/>
    <w:rsid w:val="008F4FF0"/>
    <w:rsid w:val="008F5773"/>
    <w:rsid w:val="008F61EA"/>
    <w:rsid w:val="008F627C"/>
    <w:rsid w:val="008F62B8"/>
    <w:rsid w:val="008F63F4"/>
    <w:rsid w:val="008F6784"/>
    <w:rsid w:val="008F67E7"/>
    <w:rsid w:val="008F6AC0"/>
    <w:rsid w:val="008F723C"/>
    <w:rsid w:val="008F7878"/>
    <w:rsid w:val="008F7A57"/>
    <w:rsid w:val="00900AFD"/>
    <w:rsid w:val="00901D92"/>
    <w:rsid w:val="00901E50"/>
    <w:rsid w:val="0090249E"/>
    <w:rsid w:val="00902C84"/>
    <w:rsid w:val="0090360E"/>
    <w:rsid w:val="00903998"/>
    <w:rsid w:val="009041AC"/>
    <w:rsid w:val="009049A7"/>
    <w:rsid w:val="00904E62"/>
    <w:rsid w:val="00905050"/>
    <w:rsid w:val="009054FB"/>
    <w:rsid w:val="0090653E"/>
    <w:rsid w:val="009065BD"/>
    <w:rsid w:val="00906762"/>
    <w:rsid w:val="00906ADD"/>
    <w:rsid w:val="00906CAA"/>
    <w:rsid w:val="009073D3"/>
    <w:rsid w:val="00907665"/>
    <w:rsid w:val="00907A45"/>
    <w:rsid w:val="00907AD3"/>
    <w:rsid w:val="00907BF4"/>
    <w:rsid w:val="00907D6A"/>
    <w:rsid w:val="0091028D"/>
    <w:rsid w:val="009104FB"/>
    <w:rsid w:val="00910B2E"/>
    <w:rsid w:val="0091152B"/>
    <w:rsid w:val="0091243A"/>
    <w:rsid w:val="00912A53"/>
    <w:rsid w:val="00913096"/>
    <w:rsid w:val="00913926"/>
    <w:rsid w:val="00913E0E"/>
    <w:rsid w:val="009142EC"/>
    <w:rsid w:val="00914764"/>
    <w:rsid w:val="00915176"/>
    <w:rsid w:val="00915182"/>
    <w:rsid w:val="009154C3"/>
    <w:rsid w:val="00915E75"/>
    <w:rsid w:val="009168F1"/>
    <w:rsid w:val="00916AFB"/>
    <w:rsid w:val="00916CBC"/>
    <w:rsid w:val="00916D76"/>
    <w:rsid w:val="00916DEE"/>
    <w:rsid w:val="009202B5"/>
    <w:rsid w:val="00920B7A"/>
    <w:rsid w:val="00921034"/>
    <w:rsid w:val="00922026"/>
    <w:rsid w:val="009223B7"/>
    <w:rsid w:val="00923540"/>
    <w:rsid w:val="00923ED6"/>
    <w:rsid w:val="009243E2"/>
    <w:rsid w:val="0092457E"/>
    <w:rsid w:val="00924AC6"/>
    <w:rsid w:val="00925198"/>
    <w:rsid w:val="00926240"/>
    <w:rsid w:val="009262AB"/>
    <w:rsid w:val="00926541"/>
    <w:rsid w:val="00926767"/>
    <w:rsid w:val="00927689"/>
    <w:rsid w:val="0093019B"/>
    <w:rsid w:val="009308B1"/>
    <w:rsid w:val="00930DB7"/>
    <w:rsid w:val="009319A6"/>
    <w:rsid w:val="009328C4"/>
    <w:rsid w:val="0093312F"/>
    <w:rsid w:val="00933248"/>
    <w:rsid w:val="00934294"/>
    <w:rsid w:val="00934388"/>
    <w:rsid w:val="00934733"/>
    <w:rsid w:val="00934B9B"/>
    <w:rsid w:val="00934C41"/>
    <w:rsid w:val="00934EFE"/>
    <w:rsid w:val="0093534D"/>
    <w:rsid w:val="0093540A"/>
    <w:rsid w:val="009357FC"/>
    <w:rsid w:val="00935DC4"/>
    <w:rsid w:val="009361D5"/>
    <w:rsid w:val="00936984"/>
    <w:rsid w:val="009374A7"/>
    <w:rsid w:val="009374D8"/>
    <w:rsid w:val="009374DA"/>
    <w:rsid w:val="00937AEB"/>
    <w:rsid w:val="00940C85"/>
    <w:rsid w:val="009410CA"/>
    <w:rsid w:val="00941C56"/>
    <w:rsid w:val="00941D79"/>
    <w:rsid w:val="009428A4"/>
    <w:rsid w:val="009433D2"/>
    <w:rsid w:val="0094354D"/>
    <w:rsid w:val="009436F3"/>
    <w:rsid w:val="009441A3"/>
    <w:rsid w:val="009445EC"/>
    <w:rsid w:val="009446BC"/>
    <w:rsid w:val="009455B1"/>
    <w:rsid w:val="00945790"/>
    <w:rsid w:val="009460B4"/>
    <w:rsid w:val="009463F6"/>
    <w:rsid w:val="00947E26"/>
    <w:rsid w:val="00950B6E"/>
    <w:rsid w:val="00951DDA"/>
    <w:rsid w:val="00952DA7"/>
    <w:rsid w:val="00952DCE"/>
    <w:rsid w:val="00952F1F"/>
    <w:rsid w:val="009532F5"/>
    <w:rsid w:val="00953BF5"/>
    <w:rsid w:val="0095410E"/>
    <w:rsid w:val="00954413"/>
    <w:rsid w:val="009547D6"/>
    <w:rsid w:val="009549A8"/>
    <w:rsid w:val="00954ACE"/>
    <w:rsid w:val="00954E16"/>
    <w:rsid w:val="009557FE"/>
    <w:rsid w:val="0095618A"/>
    <w:rsid w:val="00956912"/>
    <w:rsid w:val="00956D2C"/>
    <w:rsid w:val="009570BB"/>
    <w:rsid w:val="009574DB"/>
    <w:rsid w:val="00957921"/>
    <w:rsid w:val="00957B3A"/>
    <w:rsid w:val="00960176"/>
    <w:rsid w:val="00960379"/>
    <w:rsid w:val="00960713"/>
    <w:rsid w:val="00960869"/>
    <w:rsid w:val="00960E2D"/>
    <w:rsid w:val="0096151D"/>
    <w:rsid w:val="00962242"/>
    <w:rsid w:val="00962401"/>
    <w:rsid w:val="00964364"/>
    <w:rsid w:val="0096455B"/>
    <w:rsid w:val="00964CD4"/>
    <w:rsid w:val="00965644"/>
    <w:rsid w:val="009659F4"/>
    <w:rsid w:val="00965AD6"/>
    <w:rsid w:val="00965B28"/>
    <w:rsid w:val="00965B52"/>
    <w:rsid w:val="00966AB8"/>
    <w:rsid w:val="00966B01"/>
    <w:rsid w:val="009707D6"/>
    <w:rsid w:val="00970D60"/>
    <w:rsid w:val="00970E92"/>
    <w:rsid w:val="00970F79"/>
    <w:rsid w:val="009714F0"/>
    <w:rsid w:val="00972EC2"/>
    <w:rsid w:val="00973F3B"/>
    <w:rsid w:val="0097414A"/>
    <w:rsid w:val="009742A2"/>
    <w:rsid w:val="0097514C"/>
    <w:rsid w:val="00975212"/>
    <w:rsid w:val="00975354"/>
    <w:rsid w:val="0097577C"/>
    <w:rsid w:val="00975868"/>
    <w:rsid w:val="009758A3"/>
    <w:rsid w:val="00975BEF"/>
    <w:rsid w:val="009768D0"/>
    <w:rsid w:val="00976BA8"/>
    <w:rsid w:val="009801B8"/>
    <w:rsid w:val="00980CE2"/>
    <w:rsid w:val="0098105D"/>
    <w:rsid w:val="0098109D"/>
    <w:rsid w:val="009814E5"/>
    <w:rsid w:val="0098165F"/>
    <w:rsid w:val="009818C4"/>
    <w:rsid w:val="00981B66"/>
    <w:rsid w:val="00981F5F"/>
    <w:rsid w:val="009822D9"/>
    <w:rsid w:val="00982592"/>
    <w:rsid w:val="009830C1"/>
    <w:rsid w:val="0098411A"/>
    <w:rsid w:val="0098417B"/>
    <w:rsid w:val="00984337"/>
    <w:rsid w:val="00985482"/>
    <w:rsid w:val="00985887"/>
    <w:rsid w:val="00985B56"/>
    <w:rsid w:val="009862C4"/>
    <w:rsid w:val="00986480"/>
    <w:rsid w:val="00986C22"/>
    <w:rsid w:val="00986E72"/>
    <w:rsid w:val="0098712B"/>
    <w:rsid w:val="00990116"/>
    <w:rsid w:val="00990122"/>
    <w:rsid w:val="00990997"/>
    <w:rsid w:val="00990B4F"/>
    <w:rsid w:val="0099166E"/>
    <w:rsid w:val="00991C24"/>
    <w:rsid w:val="00991C29"/>
    <w:rsid w:val="0099288B"/>
    <w:rsid w:val="00992CAB"/>
    <w:rsid w:val="009934BB"/>
    <w:rsid w:val="0099390E"/>
    <w:rsid w:val="00993C1E"/>
    <w:rsid w:val="00993DFF"/>
    <w:rsid w:val="00993EA1"/>
    <w:rsid w:val="00994B0A"/>
    <w:rsid w:val="00994DD6"/>
    <w:rsid w:val="009960E5"/>
    <w:rsid w:val="00996540"/>
    <w:rsid w:val="00996D8C"/>
    <w:rsid w:val="009972F7"/>
    <w:rsid w:val="00997622"/>
    <w:rsid w:val="00997FD2"/>
    <w:rsid w:val="00997FF0"/>
    <w:rsid w:val="009A0578"/>
    <w:rsid w:val="009A1136"/>
    <w:rsid w:val="009A201C"/>
    <w:rsid w:val="009A2D9C"/>
    <w:rsid w:val="009A2EA5"/>
    <w:rsid w:val="009A3BB8"/>
    <w:rsid w:val="009A4B67"/>
    <w:rsid w:val="009A4EAE"/>
    <w:rsid w:val="009A5093"/>
    <w:rsid w:val="009A59C9"/>
    <w:rsid w:val="009A6299"/>
    <w:rsid w:val="009A7ADC"/>
    <w:rsid w:val="009B12C9"/>
    <w:rsid w:val="009B17FB"/>
    <w:rsid w:val="009B22DE"/>
    <w:rsid w:val="009B26D4"/>
    <w:rsid w:val="009B2A7F"/>
    <w:rsid w:val="009B2ED9"/>
    <w:rsid w:val="009B2FF4"/>
    <w:rsid w:val="009B309D"/>
    <w:rsid w:val="009B3622"/>
    <w:rsid w:val="009B3713"/>
    <w:rsid w:val="009B4D19"/>
    <w:rsid w:val="009B4FEC"/>
    <w:rsid w:val="009B564E"/>
    <w:rsid w:val="009B5A28"/>
    <w:rsid w:val="009B5B90"/>
    <w:rsid w:val="009B69B5"/>
    <w:rsid w:val="009B6A81"/>
    <w:rsid w:val="009B6CFB"/>
    <w:rsid w:val="009B6E25"/>
    <w:rsid w:val="009C063C"/>
    <w:rsid w:val="009C063E"/>
    <w:rsid w:val="009C0C8E"/>
    <w:rsid w:val="009C19B7"/>
    <w:rsid w:val="009C1E03"/>
    <w:rsid w:val="009C21DC"/>
    <w:rsid w:val="009C304C"/>
    <w:rsid w:val="009C339C"/>
    <w:rsid w:val="009C36A8"/>
    <w:rsid w:val="009C3B3D"/>
    <w:rsid w:val="009C4510"/>
    <w:rsid w:val="009C4D2C"/>
    <w:rsid w:val="009C4EB6"/>
    <w:rsid w:val="009C5ABB"/>
    <w:rsid w:val="009C6657"/>
    <w:rsid w:val="009C6672"/>
    <w:rsid w:val="009C687F"/>
    <w:rsid w:val="009C70CE"/>
    <w:rsid w:val="009C7340"/>
    <w:rsid w:val="009C7525"/>
    <w:rsid w:val="009C75D9"/>
    <w:rsid w:val="009C7732"/>
    <w:rsid w:val="009C78C1"/>
    <w:rsid w:val="009C7B3B"/>
    <w:rsid w:val="009D00DF"/>
    <w:rsid w:val="009D06D1"/>
    <w:rsid w:val="009D157D"/>
    <w:rsid w:val="009D20BB"/>
    <w:rsid w:val="009D2390"/>
    <w:rsid w:val="009D282B"/>
    <w:rsid w:val="009D2EEF"/>
    <w:rsid w:val="009D3BC5"/>
    <w:rsid w:val="009D3C26"/>
    <w:rsid w:val="009D3EDA"/>
    <w:rsid w:val="009D4005"/>
    <w:rsid w:val="009D4A66"/>
    <w:rsid w:val="009D5B81"/>
    <w:rsid w:val="009D5CCC"/>
    <w:rsid w:val="009D65C3"/>
    <w:rsid w:val="009D65F9"/>
    <w:rsid w:val="009D732A"/>
    <w:rsid w:val="009D7C51"/>
    <w:rsid w:val="009D7E7F"/>
    <w:rsid w:val="009E022F"/>
    <w:rsid w:val="009E080A"/>
    <w:rsid w:val="009E1180"/>
    <w:rsid w:val="009E173E"/>
    <w:rsid w:val="009E1743"/>
    <w:rsid w:val="009E196C"/>
    <w:rsid w:val="009E1E88"/>
    <w:rsid w:val="009E2CD9"/>
    <w:rsid w:val="009E2ED2"/>
    <w:rsid w:val="009E43BA"/>
    <w:rsid w:val="009E47D9"/>
    <w:rsid w:val="009E4C99"/>
    <w:rsid w:val="009E4E80"/>
    <w:rsid w:val="009E5E05"/>
    <w:rsid w:val="009E60A1"/>
    <w:rsid w:val="009E6438"/>
    <w:rsid w:val="009E645E"/>
    <w:rsid w:val="009E64F1"/>
    <w:rsid w:val="009E6568"/>
    <w:rsid w:val="009E6DE1"/>
    <w:rsid w:val="009E75FA"/>
    <w:rsid w:val="009E7600"/>
    <w:rsid w:val="009E7929"/>
    <w:rsid w:val="009E7B2D"/>
    <w:rsid w:val="009E7CE0"/>
    <w:rsid w:val="009F07A2"/>
    <w:rsid w:val="009F0AE6"/>
    <w:rsid w:val="009F20FD"/>
    <w:rsid w:val="009F256A"/>
    <w:rsid w:val="009F3588"/>
    <w:rsid w:val="009F36BF"/>
    <w:rsid w:val="009F37FA"/>
    <w:rsid w:val="009F41F8"/>
    <w:rsid w:val="009F55A2"/>
    <w:rsid w:val="009F565E"/>
    <w:rsid w:val="009F5A56"/>
    <w:rsid w:val="009F5A61"/>
    <w:rsid w:val="009F5F46"/>
    <w:rsid w:val="009F6B0E"/>
    <w:rsid w:val="009F6FB2"/>
    <w:rsid w:val="009F7148"/>
    <w:rsid w:val="009F71F3"/>
    <w:rsid w:val="009F79CF"/>
    <w:rsid w:val="00A00357"/>
    <w:rsid w:val="00A003D5"/>
    <w:rsid w:val="00A00562"/>
    <w:rsid w:val="00A0138B"/>
    <w:rsid w:val="00A02296"/>
    <w:rsid w:val="00A02331"/>
    <w:rsid w:val="00A02A14"/>
    <w:rsid w:val="00A03676"/>
    <w:rsid w:val="00A03C2D"/>
    <w:rsid w:val="00A043F6"/>
    <w:rsid w:val="00A04937"/>
    <w:rsid w:val="00A04DA1"/>
    <w:rsid w:val="00A0551F"/>
    <w:rsid w:val="00A05665"/>
    <w:rsid w:val="00A05BBC"/>
    <w:rsid w:val="00A102DC"/>
    <w:rsid w:val="00A10501"/>
    <w:rsid w:val="00A10C9F"/>
    <w:rsid w:val="00A10EB5"/>
    <w:rsid w:val="00A10F52"/>
    <w:rsid w:val="00A10FFB"/>
    <w:rsid w:val="00A111B6"/>
    <w:rsid w:val="00A12FF9"/>
    <w:rsid w:val="00A13020"/>
    <w:rsid w:val="00A13BEA"/>
    <w:rsid w:val="00A15123"/>
    <w:rsid w:val="00A15375"/>
    <w:rsid w:val="00A153F1"/>
    <w:rsid w:val="00A156D5"/>
    <w:rsid w:val="00A15929"/>
    <w:rsid w:val="00A1661E"/>
    <w:rsid w:val="00A16654"/>
    <w:rsid w:val="00A16AED"/>
    <w:rsid w:val="00A17A3D"/>
    <w:rsid w:val="00A17B0E"/>
    <w:rsid w:val="00A17BAC"/>
    <w:rsid w:val="00A17BF8"/>
    <w:rsid w:val="00A17E56"/>
    <w:rsid w:val="00A17F65"/>
    <w:rsid w:val="00A2056C"/>
    <w:rsid w:val="00A206EB"/>
    <w:rsid w:val="00A20757"/>
    <w:rsid w:val="00A215B6"/>
    <w:rsid w:val="00A21C3B"/>
    <w:rsid w:val="00A228E3"/>
    <w:rsid w:val="00A22B53"/>
    <w:rsid w:val="00A2302C"/>
    <w:rsid w:val="00A231BC"/>
    <w:rsid w:val="00A2462B"/>
    <w:rsid w:val="00A24EE2"/>
    <w:rsid w:val="00A25B78"/>
    <w:rsid w:val="00A26D27"/>
    <w:rsid w:val="00A2787B"/>
    <w:rsid w:val="00A279D6"/>
    <w:rsid w:val="00A30424"/>
    <w:rsid w:val="00A317F4"/>
    <w:rsid w:val="00A31DDE"/>
    <w:rsid w:val="00A31E3E"/>
    <w:rsid w:val="00A33E55"/>
    <w:rsid w:val="00A341D6"/>
    <w:rsid w:val="00A344A2"/>
    <w:rsid w:val="00A3494F"/>
    <w:rsid w:val="00A34CEA"/>
    <w:rsid w:val="00A35436"/>
    <w:rsid w:val="00A35CB6"/>
    <w:rsid w:val="00A3671C"/>
    <w:rsid w:val="00A3684D"/>
    <w:rsid w:val="00A368D2"/>
    <w:rsid w:val="00A36BDB"/>
    <w:rsid w:val="00A36D43"/>
    <w:rsid w:val="00A376EE"/>
    <w:rsid w:val="00A3781D"/>
    <w:rsid w:val="00A37B92"/>
    <w:rsid w:val="00A4044B"/>
    <w:rsid w:val="00A406CD"/>
    <w:rsid w:val="00A40A0A"/>
    <w:rsid w:val="00A412CF"/>
    <w:rsid w:val="00A415A3"/>
    <w:rsid w:val="00A422CC"/>
    <w:rsid w:val="00A424C6"/>
    <w:rsid w:val="00A42A99"/>
    <w:rsid w:val="00A42BDA"/>
    <w:rsid w:val="00A43B84"/>
    <w:rsid w:val="00A43C2A"/>
    <w:rsid w:val="00A44FB7"/>
    <w:rsid w:val="00A457FC"/>
    <w:rsid w:val="00A45EE3"/>
    <w:rsid w:val="00A469A7"/>
    <w:rsid w:val="00A46C0C"/>
    <w:rsid w:val="00A4705B"/>
    <w:rsid w:val="00A474B6"/>
    <w:rsid w:val="00A47566"/>
    <w:rsid w:val="00A50C8B"/>
    <w:rsid w:val="00A5108C"/>
    <w:rsid w:val="00A5151A"/>
    <w:rsid w:val="00A518A5"/>
    <w:rsid w:val="00A51B76"/>
    <w:rsid w:val="00A5226A"/>
    <w:rsid w:val="00A52718"/>
    <w:rsid w:val="00A52C44"/>
    <w:rsid w:val="00A53B62"/>
    <w:rsid w:val="00A53CB9"/>
    <w:rsid w:val="00A546BE"/>
    <w:rsid w:val="00A554DB"/>
    <w:rsid w:val="00A55552"/>
    <w:rsid w:val="00A555AD"/>
    <w:rsid w:val="00A555EF"/>
    <w:rsid w:val="00A55E0D"/>
    <w:rsid w:val="00A56AA6"/>
    <w:rsid w:val="00A57349"/>
    <w:rsid w:val="00A57E0A"/>
    <w:rsid w:val="00A60438"/>
    <w:rsid w:val="00A60BDF"/>
    <w:rsid w:val="00A61304"/>
    <w:rsid w:val="00A61DB3"/>
    <w:rsid w:val="00A62D4A"/>
    <w:rsid w:val="00A63DB4"/>
    <w:rsid w:val="00A63E3C"/>
    <w:rsid w:val="00A64232"/>
    <w:rsid w:val="00A64241"/>
    <w:rsid w:val="00A648DF"/>
    <w:rsid w:val="00A64B36"/>
    <w:rsid w:val="00A65D50"/>
    <w:rsid w:val="00A65DA0"/>
    <w:rsid w:val="00A66013"/>
    <w:rsid w:val="00A667B2"/>
    <w:rsid w:val="00A66CFD"/>
    <w:rsid w:val="00A670F2"/>
    <w:rsid w:val="00A67633"/>
    <w:rsid w:val="00A7130B"/>
    <w:rsid w:val="00A71510"/>
    <w:rsid w:val="00A71838"/>
    <w:rsid w:val="00A73593"/>
    <w:rsid w:val="00A756DD"/>
    <w:rsid w:val="00A75A22"/>
    <w:rsid w:val="00A75FA9"/>
    <w:rsid w:val="00A7673E"/>
    <w:rsid w:val="00A7678E"/>
    <w:rsid w:val="00A76E45"/>
    <w:rsid w:val="00A771E6"/>
    <w:rsid w:val="00A773C5"/>
    <w:rsid w:val="00A779A9"/>
    <w:rsid w:val="00A8143E"/>
    <w:rsid w:val="00A81CD9"/>
    <w:rsid w:val="00A81E8C"/>
    <w:rsid w:val="00A8200D"/>
    <w:rsid w:val="00A820E5"/>
    <w:rsid w:val="00A823F6"/>
    <w:rsid w:val="00A82F87"/>
    <w:rsid w:val="00A831A5"/>
    <w:rsid w:val="00A83797"/>
    <w:rsid w:val="00A83D88"/>
    <w:rsid w:val="00A853AD"/>
    <w:rsid w:val="00A85B16"/>
    <w:rsid w:val="00A8719E"/>
    <w:rsid w:val="00A874CF"/>
    <w:rsid w:val="00A90266"/>
    <w:rsid w:val="00A90591"/>
    <w:rsid w:val="00A908F8"/>
    <w:rsid w:val="00A90D1A"/>
    <w:rsid w:val="00A91252"/>
    <w:rsid w:val="00A91918"/>
    <w:rsid w:val="00A92145"/>
    <w:rsid w:val="00A924EE"/>
    <w:rsid w:val="00A927D6"/>
    <w:rsid w:val="00A93211"/>
    <w:rsid w:val="00A94065"/>
    <w:rsid w:val="00A9510F"/>
    <w:rsid w:val="00A951DA"/>
    <w:rsid w:val="00A95317"/>
    <w:rsid w:val="00A953C1"/>
    <w:rsid w:val="00A96344"/>
    <w:rsid w:val="00A97387"/>
    <w:rsid w:val="00A9763F"/>
    <w:rsid w:val="00AA01CC"/>
    <w:rsid w:val="00AA032E"/>
    <w:rsid w:val="00AA0421"/>
    <w:rsid w:val="00AA053D"/>
    <w:rsid w:val="00AA0860"/>
    <w:rsid w:val="00AA0A89"/>
    <w:rsid w:val="00AA10D9"/>
    <w:rsid w:val="00AA18FC"/>
    <w:rsid w:val="00AA1F11"/>
    <w:rsid w:val="00AA287E"/>
    <w:rsid w:val="00AA4EF8"/>
    <w:rsid w:val="00AA51AD"/>
    <w:rsid w:val="00AA5338"/>
    <w:rsid w:val="00AA5908"/>
    <w:rsid w:val="00AA6429"/>
    <w:rsid w:val="00AA6575"/>
    <w:rsid w:val="00AA657A"/>
    <w:rsid w:val="00AA65DA"/>
    <w:rsid w:val="00AA6716"/>
    <w:rsid w:val="00AA68D0"/>
    <w:rsid w:val="00AA7078"/>
    <w:rsid w:val="00AA71C0"/>
    <w:rsid w:val="00AA73CA"/>
    <w:rsid w:val="00AA749F"/>
    <w:rsid w:val="00AA7988"/>
    <w:rsid w:val="00AA7CCE"/>
    <w:rsid w:val="00AB0231"/>
    <w:rsid w:val="00AB0E37"/>
    <w:rsid w:val="00AB103C"/>
    <w:rsid w:val="00AB1260"/>
    <w:rsid w:val="00AB1AF2"/>
    <w:rsid w:val="00AB22A5"/>
    <w:rsid w:val="00AB2BDA"/>
    <w:rsid w:val="00AB2C74"/>
    <w:rsid w:val="00AB3132"/>
    <w:rsid w:val="00AB33BD"/>
    <w:rsid w:val="00AB3476"/>
    <w:rsid w:val="00AB36CA"/>
    <w:rsid w:val="00AB42AE"/>
    <w:rsid w:val="00AB46A8"/>
    <w:rsid w:val="00AB5705"/>
    <w:rsid w:val="00AB5C6D"/>
    <w:rsid w:val="00AB600D"/>
    <w:rsid w:val="00AB60CF"/>
    <w:rsid w:val="00AB667B"/>
    <w:rsid w:val="00AB69CD"/>
    <w:rsid w:val="00AB6DF3"/>
    <w:rsid w:val="00AB704F"/>
    <w:rsid w:val="00AB727F"/>
    <w:rsid w:val="00AB7AC4"/>
    <w:rsid w:val="00AB7D80"/>
    <w:rsid w:val="00AC01AA"/>
    <w:rsid w:val="00AC02DB"/>
    <w:rsid w:val="00AC0A43"/>
    <w:rsid w:val="00AC0E6B"/>
    <w:rsid w:val="00AC1ACF"/>
    <w:rsid w:val="00AC2381"/>
    <w:rsid w:val="00AC3386"/>
    <w:rsid w:val="00AC383D"/>
    <w:rsid w:val="00AC3C04"/>
    <w:rsid w:val="00AC452D"/>
    <w:rsid w:val="00AC4F72"/>
    <w:rsid w:val="00AC4FC2"/>
    <w:rsid w:val="00AC5057"/>
    <w:rsid w:val="00AC53B9"/>
    <w:rsid w:val="00AC6265"/>
    <w:rsid w:val="00AC6B4E"/>
    <w:rsid w:val="00AC7407"/>
    <w:rsid w:val="00AC75DB"/>
    <w:rsid w:val="00AC75F4"/>
    <w:rsid w:val="00AC7A91"/>
    <w:rsid w:val="00AD0979"/>
    <w:rsid w:val="00AD0C76"/>
    <w:rsid w:val="00AD0EAA"/>
    <w:rsid w:val="00AD15AD"/>
    <w:rsid w:val="00AD1618"/>
    <w:rsid w:val="00AD17E3"/>
    <w:rsid w:val="00AD1949"/>
    <w:rsid w:val="00AD1C76"/>
    <w:rsid w:val="00AD1F9F"/>
    <w:rsid w:val="00AD223F"/>
    <w:rsid w:val="00AD2627"/>
    <w:rsid w:val="00AD484D"/>
    <w:rsid w:val="00AD4D06"/>
    <w:rsid w:val="00AD56E0"/>
    <w:rsid w:val="00AD5C87"/>
    <w:rsid w:val="00AD6644"/>
    <w:rsid w:val="00AD6768"/>
    <w:rsid w:val="00AD6C87"/>
    <w:rsid w:val="00AD702B"/>
    <w:rsid w:val="00AD7852"/>
    <w:rsid w:val="00AE030E"/>
    <w:rsid w:val="00AE03D3"/>
    <w:rsid w:val="00AE0D3F"/>
    <w:rsid w:val="00AE0D5A"/>
    <w:rsid w:val="00AE103A"/>
    <w:rsid w:val="00AE11A0"/>
    <w:rsid w:val="00AE2000"/>
    <w:rsid w:val="00AE222E"/>
    <w:rsid w:val="00AE2365"/>
    <w:rsid w:val="00AE271F"/>
    <w:rsid w:val="00AE2FCC"/>
    <w:rsid w:val="00AE32F1"/>
    <w:rsid w:val="00AE4364"/>
    <w:rsid w:val="00AE49CF"/>
    <w:rsid w:val="00AE4DBF"/>
    <w:rsid w:val="00AE5D84"/>
    <w:rsid w:val="00AE5E56"/>
    <w:rsid w:val="00AE63FC"/>
    <w:rsid w:val="00AE6A3D"/>
    <w:rsid w:val="00AE6E36"/>
    <w:rsid w:val="00AE71C9"/>
    <w:rsid w:val="00AE79FB"/>
    <w:rsid w:val="00AE7F0D"/>
    <w:rsid w:val="00AF0B5F"/>
    <w:rsid w:val="00AF0F33"/>
    <w:rsid w:val="00AF12FF"/>
    <w:rsid w:val="00AF317F"/>
    <w:rsid w:val="00AF31F1"/>
    <w:rsid w:val="00AF4F13"/>
    <w:rsid w:val="00AF5C99"/>
    <w:rsid w:val="00AF6061"/>
    <w:rsid w:val="00AF66EE"/>
    <w:rsid w:val="00AF741A"/>
    <w:rsid w:val="00AF7530"/>
    <w:rsid w:val="00AF76DC"/>
    <w:rsid w:val="00AF792C"/>
    <w:rsid w:val="00AF793E"/>
    <w:rsid w:val="00AF7BC3"/>
    <w:rsid w:val="00AF7EA7"/>
    <w:rsid w:val="00B00A79"/>
    <w:rsid w:val="00B00B4E"/>
    <w:rsid w:val="00B00C5F"/>
    <w:rsid w:val="00B0113F"/>
    <w:rsid w:val="00B01593"/>
    <w:rsid w:val="00B0181F"/>
    <w:rsid w:val="00B0195B"/>
    <w:rsid w:val="00B01ADB"/>
    <w:rsid w:val="00B01E25"/>
    <w:rsid w:val="00B0282F"/>
    <w:rsid w:val="00B02A8E"/>
    <w:rsid w:val="00B02BD1"/>
    <w:rsid w:val="00B02D3B"/>
    <w:rsid w:val="00B04161"/>
    <w:rsid w:val="00B0442C"/>
    <w:rsid w:val="00B05297"/>
    <w:rsid w:val="00B056F9"/>
    <w:rsid w:val="00B05863"/>
    <w:rsid w:val="00B058D5"/>
    <w:rsid w:val="00B05F62"/>
    <w:rsid w:val="00B05F86"/>
    <w:rsid w:val="00B06421"/>
    <w:rsid w:val="00B06A4D"/>
    <w:rsid w:val="00B06E07"/>
    <w:rsid w:val="00B07CE2"/>
    <w:rsid w:val="00B1057B"/>
    <w:rsid w:val="00B11782"/>
    <w:rsid w:val="00B11B2B"/>
    <w:rsid w:val="00B11D91"/>
    <w:rsid w:val="00B11E3D"/>
    <w:rsid w:val="00B11F48"/>
    <w:rsid w:val="00B124F0"/>
    <w:rsid w:val="00B12CA4"/>
    <w:rsid w:val="00B12E4C"/>
    <w:rsid w:val="00B13B1A"/>
    <w:rsid w:val="00B13CF8"/>
    <w:rsid w:val="00B14D7A"/>
    <w:rsid w:val="00B14EAC"/>
    <w:rsid w:val="00B151DF"/>
    <w:rsid w:val="00B15633"/>
    <w:rsid w:val="00B156AD"/>
    <w:rsid w:val="00B1573E"/>
    <w:rsid w:val="00B15D84"/>
    <w:rsid w:val="00B1722B"/>
    <w:rsid w:val="00B1745B"/>
    <w:rsid w:val="00B176D0"/>
    <w:rsid w:val="00B17A40"/>
    <w:rsid w:val="00B17D6A"/>
    <w:rsid w:val="00B17E82"/>
    <w:rsid w:val="00B204F4"/>
    <w:rsid w:val="00B20698"/>
    <w:rsid w:val="00B21359"/>
    <w:rsid w:val="00B22210"/>
    <w:rsid w:val="00B224BA"/>
    <w:rsid w:val="00B22570"/>
    <w:rsid w:val="00B2284F"/>
    <w:rsid w:val="00B2301F"/>
    <w:rsid w:val="00B2327A"/>
    <w:rsid w:val="00B236E6"/>
    <w:rsid w:val="00B238C7"/>
    <w:rsid w:val="00B241B9"/>
    <w:rsid w:val="00B24CB5"/>
    <w:rsid w:val="00B25138"/>
    <w:rsid w:val="00B257BB"/>
    <w:rsid w:val="00B25C2E"/>
    <w:rsid w:val="00B25D1B"/>
    <w:rsid w:val="00B2671F"/>
    <w:rsid w:val="00B27A47"/>
    <w:rsid w:val="00B30039"/>
    <w:rsid w:val="00B3039B"/>
    <w:rsid w:val="00B308FA"/>
    <w:rsid w:val="00B30A7C"/>
    <w:rsid w:val="00B30D8D"/>
    <w:rsid w:val="00B31528"/>
    <w:rsid w:val="00B31958"/>
    <w:rsid w:val="00B326E2"/>
    <w:rsid w:val="00B329F9"/>
    <w:rsid w:val="00B33829"/>
    <w:rsid w:val="00B33ED5"/>
    <w:rsid w:val="00B3439D"/>
    <w:rsid w:val="00B3455C"/>
    <w:rsid w:val="00B34EA2"/>
    <w:rsid w:val="00B353F1"/>
    <w:rsid w:val="00B3581B"/>
    <w:rsid w:val="00B35C52"/>
    <w:rsid w:val="00B35C7C"/>
    <w:rsid w:val="00B35E1B"/>
    <w:rsid w:val="00B35F19"/>
    <w:rsid w:val="00B36683"/>
    <w:rsid w:val="00B3692D"/>
    <w:rsid w:val="00B36CFA"/>
    <w:rsid w:val="00B4035F"/>
    <w:rsid w:val="00B403A1"/>
    <w:rsid w:val="00B41409"/>
    <w:rsid w:val="00B415FB"/>
    <w:rsid w:val="00B41F61"/>
    <w:rsid w:val="00B41F7E"/>
    <w:rsid w:val="00B42373"/>
    <w:rsid w:val="00B428CF"/>
    <w:rsid w:val="00B42AEE"/>
    <w:rsid w:val="00B42EDF"/>
    <w:rsid w:val="00B430CC"/>
    <w:rsid w:val="00B4348E"/>
    <w:rsid w:val="00B43BD7"/>
    <w:rsid w:val="00B44908"/>
    <w:rsid w:val="00B45489"/>
    <w:rsid w:val="00B4575A"/>
    <w:rsid w:val="00B458AA"/>
    <w:rsid w:val="00B45D9C"/>
    <w:rsid w:val="00B45DAF"/>
    <w:rsid w:val="00B46043"/>
    <w:rsid w:val="00B47A22"/>
    <w:rsid w:val="00B47C80"/>
    <w:rsid w:val="00B47FC7"/>
    <w:rsid w:val="00B50B05"/>
    <w:rsid w:val="00B50F22"/>
    <w:rsid w:val="00B51D4F"/>
    <w:rsid w:val="00B51EC5"/>
    <w:rsid w:val="00B5256D"/>
    <w:rsid w:val="00B52B9E"/>
    <w:rsid w:val="00B52DA5"/>
    <w:rsid w:val="00B532A6"/>
    <w:rsid w:val="00B53344"/>
    <w:rsid w:val="00B538CA"/>
    <w:rsid w:val="00B53AAF"/>
    <w:rsid w:val="00B53E16"/>
    <w:rsid w:val="00B53E5E"/>
    <w:rsid w:val="00B556B1"/>
    <w:rsid w:val="00B55CC6"/>
    <w:rsid w:val="00B56100"/>
    <w:rsid w:val="00B575BA"/>
    <w:rsid w:val="00B576B1"/>
    <w:rsid w:val="00B60E9D"/>
    <w:rsid w:val="00B61C50"/>
    <w:rsid w:val="00B62D46"/>
    <w:rsid w:val="00B6351A"/>
    <w:rsid w:val="00B6372A"/>
    <w:rsid w:val="00B63A59"/>
    <w:rsid w:val="00B645BC"/>
    <w:rsid w:val="00B64B00"/>
    <w:rsid w:val="00B650CD"/>
    <w:rsid w:val="00B65269"/>
    <w:rsid w:val="00B65C4C"/>
    <w:rsid w:val="00B6680F"/>
    <w:rsid w:val="00B66941"/>
    <w:rsid w:val="00B66CEF"/>
    <w:rsid w:val="00B67798"/>
    <w:rsid w:val="00B67AA8"/>
    <w:rsid w:val="00B70E3B"/>
    <w:rsid w:val="00B7145D"/>
    <w:rsid w:val="00B71608"/>
    <w:rsid w:val="00B720B9"/>
    <w:rsid w:val="00B72E7B"/>
    <w:rsid w:val="00B734AF"/>
    <w:rsid w:val="00B738A2"/>
    <w:rsid w:val="00B75487"/>
    <w:rsid w:val="00B75555"/>
    <w:rsid w:val="00B75860"/>
    <w:rsid w:val="00B76429"/>
    <w:rsid w:val="00B76612"/>
    <w:rsid w:val="00B7684C"/>
    <w:rsid w:val="00B77774"/>
    <w:rsid w:val="00B77BF9"/>
    <w:rsid w:val="00B77EC8"/>
    <w:rsid w:val="00B809B0"/>
    <w:rsid w:val="00B80BEA"/>
    <w:rsid w:val="00B811D0"/>
    <w:rsid w:val="00B812F0"/>
    <w:rsid w:val="00B81890"/>
    <w:rsid w:val="00B819B0"/>
    <w:rsid w:val="00B824D8"/>
    <w:rsid w:val="00B8266A"/>
    <w:rsid w:val="00B82771"/>
    <w:rsid w:val="00B8278F"/>
    <w:rsid w:val="00B82A1C"/>
    <w:rsid w:val="00B83DFA"/>
    <w:rsid w:val="00B8412A"/>
    <w:rsid w:val="00B84E55"/>
    <w:rsid w:val="00B851EE"/>
    <w:rsid w:val="00B85B2C"/>
    <w:rsid w:val="00B8688D"/>
    <w:rsid w:val="00B86C1A"/>
    <w:rsid w:val="00B876A6"/>
    <w:rsid w:val="00B87754"/>
    <w:rsid w:val="00B904DD"/>
    <w:rsid w:val="00B9187E"/>
    <w:rsid w:val="00B919EB"/>
    <w:rsid w:val="00B91C80"/>
    <w:rsid w:val="00B91CBE"/>
    <w:rsid w:val="00B920D7"/>
    <w:rsid w:val="00B924EB"/>
    <w:rsid w:val="00B929D6"/>
    <w:rsid w:val="00B92C7A"/>
    <w:rsid w:val="00B92F20"/>
    <w:rsid w:val="00B935C5"/>
    <w:rsid w:val="00B93D17"/>
    <w:rsid w:val="00B94186"/>
    <w:rsid w:val="00B94267"/>
    <w:rsid w:val="00B94897"/>
    <w:rsid w:val="00B956D4"/>
    <w:rsid w:val="00B9593D"/>
    <w:rsid w:val="00B97446"/>
    <w:rsid w:val="00B9760C"/>
    <w:rsid w:val="00B97BD2"/>
    <w:rsid w:val="00B97BDA"/>
    <w:rsid w:val="00B97C2A"/>
    <w:rsid w:val="00B97DEB"/>
    <w:rsid w:val="00BA03C8"/>
    <w:rsid w:val="00BA08F1"/>
    <w:rsid w:val="00BA167D"/>
    <w:rsid w:val="00BA1A4B"/>
    <w:rsid w:val="00BA1ECA"/>
    <w:rsid w:val="00BA230F"/>
    <w:rsid w:val="00BA25A9"/>
    <w:rsid w:val="00BA2EED"/>
    <w:rsid w:val="00BA3B2D"/>
    <w:rsid w:val="00BA3E74"/>
    <w:rsid w:val="00BA415D"/>
    <w:rsid w:val="00BA5478"/>
    <w:rsid w:val="00BA6748"/>
    <w:rsid w:val="00BA72AC"/>
    <w:rsid w:val="00BA7432"/>
    <w:rsid w:val="00BA764A"/>
    <w:rsid w:val="00BA774D"/>
    <w:rsid w:val="00BB00F4"/>
    <w:rsid w:val="00BB161A"/>
    <w:rsid w:val="00BB184A"/>
    <w:rsid w:val="00BB1B91"/>
    <w:rsid w:val="00BB1D14"/>
    <w:rsid w:val="00BB2E48"/>
    <w:rsid w:val="00BB3103"/>
    <w:rsid w:val="00BB36A9"/>
    <w:rsid w:val="00BB3B93"/>
    <w:rsid w:val="00BB46F4"/>
    <w:rsid w:val="00BB49CC"/>
    <w:rsid w:val="00BB4DE9"/>
    <w:rsid w:val="00BB55F7"/>
    <w:rsid w:val="00BB7B69"/>
    <w:rsid w:val="00BC0278"/>
    <w:rsid w:val="00BC0959"/>
    <w:rsid w:val="00BC096C"/>
    <w:rsid w:val="00BC1AA0"/>
    <w:rsid w:val="00BC1ADA"/>
    <w:rsid w:val="00BC1EF5"/>
    <w:rsid w:val="00BC1F4C"/>
    <w:rsid w:val="00BC1F85"/>
    <w:rsid w:val="00BC2495"/>
    <w:rsid w:val="00BC250F"/>
    <w:rsid w:val="00BC2B0A"/>
    <w:rsid w:val="00BC3758"/>
    <w:rsid w:val="00BC54D7"/>
    <w:rsid w:val="00BC59B9"/>
    <w:rsid w:val="00BC5BEF"/>
    <w:rsid w:val="00BC5C9C"/>
    <w:rsid w:val="00BC6463"/>
    <w:rsid w:val="00BC6645"/>
    <w:rsid w:val="00BC7005"/>
    <w:rsid w:val="00BC71CA"/>
    <w:rsid w:val="00BC74D3"/>
    <w:rsid w:val="00BC7A0D"/>
    <w:rsid w:val="00BC7EB9"/>
    <w:rsid w:val="00BD113E"/>
    <w:rsid w:val="00BD1952"/>
    <w:rsid w:val="00BD1FD5"/>
    <w:rsid w:val="00BD2643"/>
    <w:rsid w:val="00BD2B0C"/>
    <w:rsid w:val="00BD340F"/>
    <w:rsid w:val="00BD358D"/>
    <w:rsid w:val="00BD4CB6"/>
    <w:rsid w:val="00BD4DC8"/>
    <w:rsid w:val="00BD539E"/>
    <w:rsid w:val="00BD56B1"/>
    <w:rsid w:val="00BD5994"/>
    <w:rsid w:val="00BD5A95"/>
    <w:rsid w:val="00BD5C4A"/>
    <w:rsid w:val="00BD6558"/>
    <w:rsid w:val="00BD6EEB"/>
    <w:rsid w:val="00BD74C3"/>
    <w:rsid w:val="00BD7BE1"/>
    <w:rsid w:val="00BE19A0"/>
    <w:rsid w:val="00BE208B"/>
    <w:rsid w:val="00BE21A4"/>
    <w:rsid w:val="00BE26D0"/>
    <w:rsid w:val="00BE2C37"/>
    <w:rsid w:val="00BE2D3C"/>
    <w:rsid w:val="00BE31AE"/>
    <w:rsid w:val="00BE3892"/>
    <w:rsid w:val="00BE4618"/>
    <w:rsid w:val="00BE4BCE"/>
    <w:rsid w:val="00BE4E79"/>
    <w:rsid w:val="00BE599D"/>
    <w:rsid w:val="00BE5C9D"/>
    <w:rsid w:val="00BE6509"/>
    <w:rsid w:val="00BE689A"/>
    <w:rsid w:val="00BE6AAC"/>
    <w:rsid w:val="00BE6C92"/>
    <w:rsid w:val="00BE7865"/>
    <w:rsid w:val="00BE7904"/>
    <w:rsid w:val="00BF0B95"/>
    <w:rsid w:val="00BF0CD5"/>
    <w:rsid w:val="00BF1E7C"/>
    <w:rsid w:val="00BF24B4"/>
    <w:rsid w:val="00BF250E"/>
    <w:rsid w:val="00BF2F76"/>
    <w:rsid w:val="00BF3022"/>
    <w:rsid w:val="00BF3214"/>
    <w:rsid w:val="00BF34A0"/>
    <w:rsid w:val="00BF3518"/>
    <w:rsid w:val="00BF41D6"/>
    <w:rsid w:val="00BF4A3B"/>
    <w:rsid w:val="00BF50BB"/>
    <w:rsid w:val="00BF5573"/>
    <w:rsid w:val="00BF5794"/>
    <w:rsid w:val="00BF5EC6"/>
    <w:rsid w:val="00BF63CB"/>
    <w:rsid w:val="00BF6740"/>
    <w:rsid w:val="00BF78C0"/>
    <w:rsid w:val="00BF7A8D"/>
    <w:rsid w:val="00BF7DAD"/>
    <w:rsid w:val="00C0038B"/>
    <w:rsid w:val="00C00818"/>
    <w:rsid w:val="00C00C09"/>
    <w:rsid w:val="00C00FF0"/>
    <w:rsid w:val="00C010D0"/>
    <w:rsid w:val="00C01CFA"/>
    <w:rsid w:val="00C02258"/>
    <w:rsid w:val="00C02FBA"/>
    <w:rsid w:val="00C03ABC"/>
    <w:rsid w:val="00C03F09"/>
    <w:rsid w:val="00C048F7"/>
    <w:rsid w:val="00C04C90"/>
    <w:rsid w:val="00C052F4"/>
    <w:rsid w:val="00C0577F"/>
    <w:rsid w:val="00C05CC2"/>
    <w:rsid w:val="00C05D69"/>
    <w:rsid w:val="00C060C3"/>
    <w:rsid w:val="00C06195"/>
    <w:rsid w:val="00C0636F"/>
    <w:rsid w:val="00C06CAB"/>
    <w:rsid w:val="00C07AD9"/>
    <w:rsid w:val="00C10CBD"/>
    <w:rsid w:val="00C12430"/>
    <w:rsid w:val="00C12B0D"/>
    <w:rsid w:val="00C12E18"/>
    <w:rsid w:val="00C134C5"/>
    <w:rsid w:val="00C13B6F"/>
    <w:rsid w:val="00C145A1"/>
    <w:rsid w:val="00C15710"/>
    <w:rsid w:val="00C15836"/>
    <w:rsid w:val="00C15867"/>
    <w:rsid w:val="00C158BD"/>
    <w:rsid w:val="00C15AF8"/>
    <w:rsid w:val="00C15C9F"/>
    <w:rsid w:val="00C160E2"/>
    <w:rsid w:val="00C1741F"/>
    <w:rsid w:val="00C17C0E"/>
    <w:rsid w:val="00C17C8C"/>
    <w:rsid w:val="00C208E6"/>
    <w:rsid w:val="00C209C0"/>
    <w:rsid w:val="00C2122B"/>
    <w:rsid w:val="00C21262"/>
    <w:rsid w:val="00C21BBC"/>
    <w:rsid w:val="00C22142"/>
    <w:rsid w:val="00C221DF"/>
    <w:rsid w:val="00C2232C"/>
    <w:rsid w:val="00C22345"/>
    <w:rsid w:val="00C2296D"/>
    <w:rsid w:val="00C22B04"/>
    <w:rsid w:val="00C23155"/>
    <w:rsid w:val="00C231CC"/>
    <w:rsid w:val="00C234DB"/>
    <w:rsid w:val="00C23A2E"/>
    <w:rsid w:val="00C23E63"/>
    <w:rsid w:val="00C242BF"/>
    <w:rsid w:val="00C24B85"/>
    <w:rsid w:val="00C251FB"/>
    <w:rsid w:val="00C2545F"/>
    <w:rsid w:val="00C26046"/>
    <w:rsid w:val="00C26110"/>
    <w:rsid w:val="00C2683A"/>
    <w:rsid w:val="00C2683F"/>
    <w:rsid w:val="00C268F1"/>
    <w:rsid w:val="00C26E1A"/>
    <w:rsid w:val="00C27863"/>
    <w:rsid w:val="00C27985"/>
    <w:rsid w:val="00C30014"/>
    <w:rsid w:val="00C30652"/>
    <w:rsid w:val="00C30EE1"/>
    <w:rsid w:val="00C317DE"/>
    <w:rsid w:val="00C31B0B"/>
    <w:rsid w:val="00C3220A"/>
    <w:rsid w:val="00C32F59"/>
    <w:rsid w:val="00C32FC8"/>
    <w:rsid w:val="00C33A05"/>
    <w:rsid w:val="00C33AF2"/>
    <w:rsid w:val="00C33DDC"/>
    <w:rsid w:val="00C33EFB"/>
    <w:rsid w:val="00C3546E"/>
    <w:rsid w:val="00C36411"/>
    <w:rsid w:val="00C3698D"/>
    <w:rsid w:val="00C36A7F"/>
    <w:rsid w:val="00C36D5D"/>
    <w:rsid w:val="00C37416"/>
    <w:rsid w:val="00C37C71"/>
    <w:rsid w:val="00C400D0"/>
    <w:rsid w:val="00C4075E"/>
    <w:rsid w:val="00C40793"/>
    <w:rsid w:val="00C40A30"/>
    <w:rsid w:val="00C40C41"/>
    <w:rsid w:val="00C41D15"/>
    <w:rsid w:val="00C41FBC"/>
    <w:rsid w:val="00C43097"/>
    <w:rsid w:val="00C43BC6"/>
    <w:rsid w:val="00C451C8"/>
    <w:rsid w:val="00C45457"/>
    <w:rsid w:val="00C45634"/>
    <w:rsid w:val="00C456B0"/>
    <w:rsid w:val="00C45885"/>
    <w:rsid w:val="00C459A9"/>
    <w:rsid w:val="00C460C4"/>
    <w:rsid w:val="00C47168"/>
    <w:rsid w:val="00C508E1"/>
    <w:rsid w:val="00C50A18"/>
    <w:rsid w:val="00C50F22"/>
    <w:rsid w:val="00C5116C"/>
    <w:rsid w:val="00C519CC"/>
    <w:rsid w:val="00C51CCD"/>
    <w:rsid w:val="00C51EAF"/>
    <w:rsid w:val="00C531EB"/>
    <w:rsid w:val="00C546A1"/>
    <w:rsid w:val="00C54719"/>
    <w:rsid w:val="00C54743"/>
    <w:rsid w:val="00C54D67"/>
    <w:rsid w:val="00C556A6"/>
    <w:rsid w:val="00C557F6"/>
    <w:rsid w:val="00C55DAA"/>
    <w:rsid w:val="00C5636F"/>
    <w:rsid w:val="00C5689D"/>
    <w:rsid w:val="00C56C23"/>
    <w:rsid w:val="00C56FDE"/>
    <w:rsid w:val="00C5725E"/>
    <w:rsid w:val="00C57356"/>
    <w:rsid w:val="00C57971"/>
    <w:rsid w:val="00C57CFF"/>
    <w:rsid w:val="00C60463"/>
    <w:rsid w:val="00C60B43"/>
    <w:rsid w:val="00C60EF0"/>
    <w:rsid w:val="00C61811"/>
    <w:rsid w:val="00C61DC6"/>
    <w:rsid w:val="00C620CB"/>
    <w:rsid w:val="00C644D2"/>
    <w:rsid w:val="00C64F47"/>
    <w:rsid w:val="00C652B9"/>
    <w:rsid w:val="00C6554A"/>
    <w:rsid w:val="00C65797"/>
    <w:rsid w:val="00C65BD7"/>
    <w:rsid w:val="00C6609D"/>
    <w:rsid w:val="00C66602"/>
    <w:rsid w:val="00C669D2"/>
    <w:rsid w:val="00C66C5D"/>
    <w:rsid w:val="00C67459"/>
    <w:rsid w:val="00C6799C"/>
    <w:rsid w:val="00C679D6"/>
    <w:rsid w:val="00C700EA"/>
    <w:rsid w:val="00C70983"/>
    <w:rsid w:val="00C72AE0"/>
    <w:rsid w:val="00C72C7A"/>
    <w:rsid w:val="00C72DE7"/>
    <w:rsid w:val="00C73C39"/>
    <w:rsid w:val="00C73C87"/>
    <w:rsid w:val="00C73E84"/>
    <w:rsid w:val="00C75FF5"/>
    <w:rsid w:val="00C76988"/>
    <w:rsid w:val="00C76BA4"/>
    <w:rsid w:val="00C76E33"/>
    <w:rsid w:val="00C7777B"/>
    <w:rsid w:val="00C7778F"/>
    <w:rsid w:val="00C77E1D"/>
    <w:rsid w:val="00C8178E"/>
    <w:rsid w:val="00C81A74"/>
    <w:rsid w:val="00C823DD"/>
    <w:rsid w:val="00C827BA"/>
    <w:rsid w:val="00C82A89"/>
    <w:rsid w:val="00C82AAD"/>
    <w:rsid w:val="00C83A48"/>
    <w:rsid w:val="00C8421D"/>
    <w:rsid w:val="00C8451A"/>
    <w:rsid w:val="00C84B03"/>
    <w:rsid w:val="00C84CCF"/>
    <w:rsid w:val="00C853EC"/>
    <w:rsid w:val="00C85698"/>
    <w:rsid w:val="00C85865"/>
    <w:rsid w:val="00C85E85"/>
    <w:rsid w:val="00C86987"/>
    <w:rsid w:val="00C86D12"/>
    <w:rsid w:val="00C871FE"/>
    <w:rsid w:val="00C900E0"/>
    <w:rsid w:val="00C90552"/>
    <w:rsid w:val="00C90615"/>
    <w:rsid w:val="00C90AA4"/>
    <w:rsid w:val="00C90AF6"/>
    <w:rsid w:val="00C90EFE"/>
    <w:rsid w:val="00C9237E"/>
    <w:rsid w:val="00C92BED"/>
    <w:rsid w:val="00C93908"/>
    <w:rsid w:val="00C93B1D"/>
    <w:rsid w:val="00C9434B"/>
    <w:rsid w:val="00C94B0D"/>
    <w:rsid w:val="00C95BDA"/>
    <w:rsid w:val="00C96FC2"/>
    <w:rsid w:val="00C97131"/>
    <w:rsid w:val="00C9773A"/>
    <w:rsid w:val="00C97FDB"/>
    <w:rsid w:val="00CA047D"/>
    <w:rsid w:val="00CA081B"/>
    <w:rsid w:val="00CA09DA"/>
    <w:rsid w:val="00CA1BD1"/>
    <w:rsid w:val="00CA20C5"/>
    <w:rsid w:val="00CA2177"/>
    <w:rsid w:val="00CA220B"/>
    <w:rsid w:val="00CA25E7"/>
    <w:rsid w:val="00CA2EAE"/>
    <w:rsid w:val="00CA323E"/>
    <w:rsid w:val="00CA35B1"/>
    <w:rsid w:val="00CA4AC1"/>
    <w:rsid w:val="00CA4C93"/>
    <w:rsid w:val="00CA55FB"/>
    <w:rsid w:val="00CA57F2"/>
    <w:rsid w:val="00CA5B78"/>
    <w:rsid w:val="00CA6461"/>
    <w:rsid w:val="00CA6675"/>
    <w:rsid w:val="00CA66C7"/>
    <w:rsid w:val="00CA7597"/>
    <w:rsid w:val="00CB0316"/>
    <w:rsid w:val="00CB0B11"/>
    <w:rsid w:val="00CB13E4"/>
    <w:rsid w:val="00CB163E"/>
    <w:rsid w:val="00CB2CE7"/>
    <w:rsid w:val="00CB2DA1"/>
    <w:rsid w:val="00CB301E"/>
    <w:rsid w:val="00CB3BA9"/>
    <w:rsid w:val="00CB426A"/>
    <w:rsid w:val="00CB43E0"/>
    <w:rsid w:val="00CB5354"/>
    <w:rsid w:val="00CB5CC5"/>
    <w:rsid w:val="00CB6BB6"/>
    <w:rsid w:val="00CB6ED0"/>
    <w:rsid w:val="00CB72CE"/>
    <w:rsid w:val="00CB73A8"/>
    <w:rsid w:val="00CB7A18"/>
    <w:rsid w:val="00CC0B9A"/>
    <w:rsid w:val="00CC1435"/>
    <w:rsid w:val="00CC1AE2"/>
    <w:rsid w:val="00CC1BAF"/>
    <w:rsid w:val="00CC1F5F"/>
    <w:rsid w:val="00CC32C1"/>
    <w:rsid w:val="00CC3393"/>
    <w:rsid w:val="00CC3781"/>
    <w:rsid w:val="00CC3C9E"/>
    <w:rsid w:val="00CC4422"/>
    <w:rsid w:val="00CC4638"/>
    <w:rsid w:val="00CC4EBD"/>
    <w:rsid w:val="00CC529B"/>
    <w:rsid w:val="00CC54AF"/>
    <w:rsid w:val="00CC553F"/>
    <w:rsid w:val="00CC68BA"/>
    <w:rsid w:val="00CC6943"/>
    <w:rsid w:val="00CC69A6"/>
    <w:rsid w:val="00CC6A14"/>
    <w:rsid w:val="00CC70A3"/>
    <w:rsid w:val="00CC755B"/>
    <w:rsid w:val="00CC77E6"/>
    <w:rsid w:val="00CD042B"/>
    <w:rsid w:val="00CD0962"/>
    <w:rsid w:val="00CD1A5D"/>
    <w:rsid w:val="00CD1CE8"/>
    <w:rsid w:val="00CD30AA"/>
    <w:rsid w:val="00CD3C26"/>
    <w:rsid w:val="00CD43FC"/>
    <w:rsid w:val="00CD4442"/>
    <w:rsid w:val="00CD4DFC"/>
    <w:rsid w:val="00CD50DA"/>
    <w:rsid w:val="00CD53C3"/>
    <w:rsid w:val="00CD574E"/>
    <w:rsid w:val="00CD5CF3"/>
    <w:rsid w:val="00CD64E7"/>
    <w:rsid w:val="00CD6541"/>
    <w:rsid w:val="00CD6C75"/>
    <w:rsid w:val="00CD6CEC"/>
    <w:rsid w:val="00CD6F3B"/>
    <w:rsid w:val="00CD72ED"/>
    <w:rsid w:val="00CD749B"/>
    <w:rsid w:val="00CD7C1F"/>
    <w:rsid w:val="00CE0383"/>
    <w:rsid w:val="00CE0C06"/>
    <w:rsid w:val="00CE0FE0"/>
    <w:rsid w:val="00CE13DC"/>
    <w:rsid w:val="00CE1D7C"/>
    <w:rsid w:val="00CE1D82"/>
    <w:rsid w:val="00CE24D6"/>
    <w:rsid w:val="00CE27C6"/>
    <w:rsid w:val="00CE33F3"/>
    <w:rsid w:val="00CE3653"/>
    <w:rsid w:val="00CE3AEF"/>
    <w:rsid w:val="00CE3E83"/>
    <w:rsid w:val="00CE3F4D"/>
    <w:rsid w:val="00CE44AC"/>
    <w:rsid w:val="00CE4C22"/>
    <w:rsid w:val="00CE54BE"/>
    <w:rsid w:val="00CE5869"/>
    <w:rsid w:val="00CE5BF1"/>
    <w:rsid w:val="00CE6526"/>
    <w:rsid w:val="00CE7401"/>
    <w:rsid w:val="00CF0506"/>
    <w:rsid w:val="00CF1134"/>
    <w:rsid w:val="00CF2150"/>
    <w:rsid w:val="00CF220B"/>
    <w:rsid w:val="00CF325D"/>
    <w:rsid w:val="00CF3E03"/>
    <w:rsid w:val="00CF407E"/>
    <w:rsid w:val="00CF40CB"/>
    <w:rsid w:val="00CF41EC"/>
    <w:rsid w:val="00CF5D04"/>
    <w:rsid w:val="00CF6853"/>
    <w:rsid w:val="00CF6E8F"/>
    <w:rsid w:val="00CF71EF"/>
    <w:rsid w:val="00CF7A22"/>
    <w:rsid w:val="00CF7B7D"/>
    <w:rsid w:val="00CF7F0B"/>
    <w:rsid w:val="00D00540"/>
    <w:rsid w:val="00D01AD6"/>
    <w:rsid w:val="00D01D25"/>
    <w:rsid w:val="00D01DC2"/>
    <w:rsid w:val="00D01E6D"/>
    <w:rsid w:val="00D02101"/>
    <w:rsid w:val="00D0315F"/>
    <w:rsid w:val="00D03577"/>
    <w:rsid w:val="00D03B2B"/>
    <w:rsid w:val="00D03BAB"/>
    <w:rsid w:val="00D0422F"/>
    <w:rsid w:val="00D04C70"/>
    <w:rsid w:val="00D04DE4"/>
    <w:rsid w:val="00D04E5B"/>
    <w:rsid w:val="00D055EE"/>
    <w:rsid w:val="00D056C9"/>
    <w:rsid w:val="00D05701"/>
    <w:rsid w:val="00D059E0"/>
    <w:rsid w:val="00D05E4B"/>
    <w:rsid w:val="00D05E8B"/>
    <w:rsid w:val="00D063F1"/>
    <w:rsid w:val="00D06EB9"/>
    <w:rsid w:val="00D072C7"/>
    <w:rsid w:val="00D072DB"/>
    <w:rsid w:val="00D11B18"/>
    <w:rsid w:val="00D128DE"/>
    <w:rsid w:val="00D12A60"/>
    <w:rsid w:val="00D12C07"/>
    <w:rsid w:val="00D12CDB"/>
    <w:rsid w:val="00D13264"/>
    <w:rsid w:val="00D140A2"/>
    <w:rsid w:val="00D140D9"/>
    <w:rsid w:val="00D140E5"/>
    <w:rsid w:val="00D14143"/>
    <w:rsid w:val="00D14F22"/>
    <w:rsid w:val="00D158F5"/>
    <w:rsid w:val="00D16F4E"/>
    <w:rsid w:val="00D1766C"/>
    <w:rsid w:val="00D205C2"/>
    <w:rsid w:val="00D208B3"/>
    <w:rsid w:val="00D209CE"/>
    <w:rsid w:val="00D209DB"/>
    <w:rsid w:val="00D212B5"/>
    <w:rsid w:val="00D2174A"/>
    <w:rsid w:val="00D226D6"/>
    <w:rsid w:val="00D22B48"/>
    <w:rsid w:val="00D22D0A"/>
    <w:rsid w:val="00D2303F"/>
    <w:rsid w:val="00D2311B"/>
    <w:rsid w:val="00D23687"/>
    <w:rsid w:val="00D23BDE"/>
    <w:rsid w:val="00D23C28"/>
    <w:rsid w:val="00D23D4B"/>
    <w:rsid w:val="00D24354"/>
    <w:rsid w:val="00D24760"/>
    <w:rsid w:val="00D24865"/>
    <w:rsid w:val="00D2494C"/>
    <w:rsid w:val="00D24FC4"/>
    <w:rsid w:val="00D25049"/>
    <w:rsid w:val="00D25E32"/>
    <w:rsid w:val="00D2672E"/>
    <w:rsid w:val="00D26757"/>
    <w:rsid w:val="00D27D01"/>
    <w:rsid w:val="00D27DDD"/>
    <w:rsid w:val="00D3088E"/>
    <w:rsid w:val="00D320D2"/>
    <w:rsid w:val="00D32A62"/>
    <w:rsid w:val="00D32DAA"/>
    <w:rsid w:val="00D32E71"/>
    <w:rsid w:val="00D3361B"/>
    <w:rsid w:val="00D340AF"/>
    <w:rsid w:val="00D346F0"/>
    <w:rsid w:val="00D364E8"/>
    <w:rsid w:val="00D37669"/>
    <w:rsid w:val="00D37CD9"/>
    <w:rsid w:val="00D37F1C"/>
    <w:rsid w:val="00D37FD3"/>
    <w:rsid w:val="00D40045"/>
    <w:rsid w:val="00D4038D"/>
    <w:rsid w:val="00D407B3"/>
    <w:rsid w:val="00D413BF"/>
    <w:rsid w:val="00D41B64"/>
    <w:rsid w:val="00D41E68"/>
    <w:rsid w:val="00D420A1"/>
    <w:rsid w:val="00D42350"/>
    <w:rsid w:val="00D42447"/>
    <w:rsid w:val="00D429AF"/>
    <w:rsid w:val="00D42A14"/>
    <w:rsid w:val="00D4362F"/>
    <w:rsid w:val="00D43645"/>
    <w:rsid w:val="00D439D8"/>
    <w:rsid w:val="00D439E2"/>
    <w:rsid w:val="00D4496C"/>
    <w:rsid w:val="00D44DBC"/>
    <w:rsid w:val="00D45652"/>
    <w:rsid w:val="00D4642A"/>
    <w:rsid w:val="00D46543"/>
    <w:rsid w:val="00D4720D"/>
    <w:rsid w:val="00D4741C"/>
    <w:rsid w:val="00D47720"/>
    <w:rsid w:val="00D50314"/>
    <w:rsid w:val="00D5059E"/>
    <w:rsid w:val="00D52225"/>
    <w:rsid w:val="00D523F6"/>
    <w:rsid w:val="00D52766"/>
    <w:rsid w:val="00D534E7"/>
    <w:rsid w:val="00D538E1"/>
    <w:rsid w:val="00D56D02"/>
    <w:rsid w:val="00D5711F"/>
    <w:rsid w:val="00D57661"/>
    <w:rsid w:val="00D57918"/>
    <w:rsid w:val="00D57F78"/>
    <w:rsid w:val="00D600DF"/>
    <w:rsid w:val="00D608DD"/>
    <w:rsid w:val="00D60924"/>
    <w:rsid w:val="00D60A44"/>
    <w:rsid w:val="00D61686"/>
    <w:rsid w:val="00D6205C"/>
    <w:rsid w:val="00D624F5"/>
    <w:rsid w:val="00D62CE4"/>
    <w:rsid w:val="00D62EA9"/>
    <w:rsid w:val="00D63190"/>
    <w:rsid w:val="00D6337F"/>
    <w:rsid w:val="00D6342F"/>
    <w:rsid w:val="00D6345C"/>
    <w:rsid w:val="00D6348B"/>
    <w:rsid w:val="00D63561"/>
    <w:rsid w:val="00D6432D"/>
    <w:rsid w:val="00D6445B"/>
    <w:rsid w:val="00D64673"/>
    <w:rsid w:val="00D64769"/>
    <w:rsid w:val="00D647B8"/>
    <w:rsid w:val="00D647E9"/>
    <w:rsid w:val="00D64B70"/>
    <w:rsid w:val="00D65388"/>
    <w:rsid w:val="00D66A82"/>
    <w:rsid w:val="00D70083"/>
    <w:rsid w:val="00D70A02"/>
    <w:rsid w:val="00D70C93"/>
    <w:rsid w:val="00D71BED"/>
    <w:rsid w:val="00D71ED5"/>
    <w:rsid w:val="00D72116"/>
    <w:rsid w:val="00D72855"/>
    <w:rsid w:val="00D72F21"/>
    <w:rsid w:val="00D730CF"/>
    <w:rsid w:val="00D7362D"/>
    <w:rsid w:val="00D73DC6"/>
    <w:rsid w:val="00D74391"/>
    <w:rsid w:val="00D74888"/>
    <w:rsid w:val="00D74C1A"/>
    <w:rsid w:val="00D74DF8"/>
    <w:rsid w:val="00D75130"/>
    <w:rsid w:val="00D751AD"/>
    <w:rsid w:val="00D75395"/>
    <w:rsid w:val="00D754C1"/>
    <w:rsid w:val="00D7599A"/>
    <w:rsid w:val="00D77089"/>
    <w:rsid w:val="00D77268"/>
    <w:rsid w:val="00D77393"/>
    <w:rsid w:val="00D77A35"/>
    <w:rsid w:val="00D77D5B"/>
    <w:rsid w:val="00D77DC2"/>
    <w:rsid w:val="00D80248"/>
    <w:rsid w:val="00D804CC"/>
    <w:rsid w:val="00D81B3E"/>
    <w:rsid w:val="00D81F6A"/>
    <w:rsid w:val="00D82007"/>
    <w:rsid w:val="00D828EF"/>
    <w:rsid w:val="00D82C6A"/>
    <w:rsid w:val="00D8370A"/>
    <w:rsid w:val="00D848E4"/>
    <w:rsid w:val="00D84A86"/>
    <w:rsid w:val="00D855B6"/>
    <w:rsid w:val="00D85EAB"/>
    <w:rsid w:val="00D8667D"/>
    <w:rsid w:val="00D86771"/>
    <w:rsid w:val="00D86775"/>
    <w:rsid w:val="00D869BE"/>
    <w:rsid w:val="00D9064E"/>
    <w:rsid w:val="00D90C70"/>
    <w:rsid w:val="00D90E49"/>
    <w:rsid w:val="00D92008"/>
    <w:rsid w:val="00D92039"/>
    <w:rsid w:val="00D924F7"/>
    <w:rsid w:val="00D92B6E"/>
    <w:rsid w:val="00D92C95"/>
    <w:rsid w:val="00D931F4"/>
    <w:rsid w:val="00D935A9"/>
    <w:rsid w:val="00D93BEC"/>
    <w:rsid w:val="00D93C0C"/>
    <w:rsid w:val="00D93ED3"/>
    <w:rsid w:val="00D940DC"/>
    <w:rsid w:val="00D941F5"/>
    <w:rsid w:val="00D94A45"/>
    <w:rsid w:val="00D955E4"/>
    <w:rsid w:val="00D95843"/>
    <w:rsid w:val="00D958A4"/>
    <w:rsid w:val="00D95935"/>
    <w:rsid w:val="00D96ADE"/>
    <w:rsid w:val="00D97E2B"/>
    <w:rsid w:val="00D97E6C"/>
    <w:rsid w:val="00D97F2B"/>
    <w:rsid w:val="00DA0B25"/>
    <w:rsid w:val="00DA0CE2"/>
    <w:rsid w:val="00DA11E5"/>
    <w:rsid w:val="00DA2E6F"/>
    <w:rsid w:val="00DA3ABD"/>
    <w:rsid w:val="00DA3C1F"/>
    <w:rsid w:val="00DA4123"/>
    <w:rsid w:val="00DA4850"/>
    <w:rsid w:val="00DA4D65"/>
    <w:rsid w:val="00DA5660"/>
    <w:rsid w:val="00DA610A"/>
    <w:rsid w:val="00DA72F5"/>
    <w:rsid w:val="00DA73B6"/>
    <w:rsid w:val="00DA75C6"/>
    <w:rsid w:val="00DA763C"/>
    <w:rsid w:val="00DA7DBE"/>
    <w:rsid w:val="00DB03EF"/>
    <w:rsid w:val="00DB061C"/>
    <w:rsid w:val="00DB0F46"/>
    <w:rsid w:val="00DB1779"/>
    <w:rsid w:val="00DB230F"/>
    <w:rsid w:val="00DB2331"/>
    <w:rsid w:val="00DB23C6"/>
    <w:rsid w:val="00DB2A43"/>
    <w:rsid w:val="00DB3D7B"/>
    <w:rsid w:val="00DB440A"/>
    <w:rsid w:val="00DB6466"/>
    <w:rsid w:val="00DB652D"/>
    <w:rsid w:val="00DB66AC"/>
    <w:rsid w:val="00DB6950"/>
    <w:rsid w:val="00DB6B33"/>
    <w:rsid w:val="00DB74DF"/>
    <w:rsid w:val="00DB7A65"/>
    <w:rsid w:val="00DB7EBD"/>
    <w:rsid w:val="00DC030B"/>
    <w:rsid w:val="00DC0B3D"/>
    <w:rsid w:val="00DC1E80"/>
    <w:rsid w:val="00DC265D"/>
    <w:rsid w:val="00DC28A9"/>
    <w:rsid w:val="00DC2C63"/>
    <w:rsid w:val="00DC36C2"/>
    <w:rsid w:val="00DC3CAA"/>
    <w:rsid w:val="00DC3F89"/>
    <w:rsid w:val="00DC5029"/>
    <w:rsid w:val="00DC5A76"/>
    <w:rsid w:val="00DC5EF4"/>
    <w:rsid w:val="00DC6A10"/>
    <w:rsid w:val="00DC71F3"/>
    <w:rsid w:val="00DC7468"/>
    <w:rsid w:val="00DC7832"/>
    <w:rsid w:val="00DC7C93"/>
    <w:rsid w:val="00DC7F36"/>
    <w:rsid w:val="00DC7F39"/>
    <w:rsid w:val="00DD0133"/>
    <w:rsid w:val="00DD0733"/>
    <w:rsid w:val="00DD11C6"/>
    <w:rsid w:val="00DD1426"/>
    <w:rsid w:val="00DD2504"/>
    <w:rsid w:val="00DD253F"/>
    <w:rsid w:val="00DD2770"/>
    <w:rsid w:val="00DD2CB0"/>
    <w:rsid w:val="00DD428D"/>
    <w:rsid w:val="00DD45B4"/>
    <w:rsid w:val="00DD5B81"/>
    <w:rsid w:val="00DD6102"/>
    <w:rsid w:val="00DD644F"/>
    <w:rsid w:val="00DD64BE"/>
    <w:rsid w:val="00DD659C"/>
    <w:rsid w:val="00DD6E3E"/>
    <w:rsid w:val="00DD7505"/>
    <w:rsid w:val="00DD7874"/>
    <w:rsid w:val="00DD79E5"/>
    <w:rsid w:val="00DD7ED7"/>
    <w:rsid w:val="00DE0522"/>
    <w:rsid w:val="00DE053F"/>
    <w:rsid w:val="00DE08B5"/>
    <w:rsid w:val="00DE095F"/>
    <w:rsid w:val="00DE0B69"/>
    <w:rsid w:val="00DE0DB5"/>
    <w:rsid w:val="00DE0E88"/>
    <w:rsid w:val="00DE1AC9"/>
    <w:rsid w:val="00DE218D"/>
    <w:rsid w:val="00DE21E6"/>
    <w:rsid w:val="00DE231D"/>
    <w:rsid w:val="00DE242E"/>
    <w:rsid w:val="00DE26E7"/>
    <w:rsid w:val="00DE3A78"/>
    <w:rsid w:val="00DE3C10"/>
    <w:rsid w:val="00DE41F2"/>
    <w:rsid w:val="00DE4648"/>
    <w:rsid w:val="00DE4B0E"/>
    <w:rsid w:val="00DE4DD5"/>
    <w:rsid w:val="00DE5C81"/>
    <w:rsid w:val="00DE6056"/>
    <w:rsid w:val="00DE6092"/>
    <w:rsid w:val="00DE612B"/>
    <w:rsid w:val="00DE657E"/>
    <w:rsid w:val="00DE6B8A"/>
    <w:rsid w:val="00DE6F10"/>
    <w:rsid w:val="00DE7699"/>
    <w:rsid w:val="00DE79C9"/>
    <w:rsid w:val="00DF03C4"/>
    <w:rsid w:val="00DF0706"/>
    <w:rsid w:val="00DF0FDF"/>
    <w:rsid w:val="00DF1259"/>
    <w:rsid w:val="00DF15AA"/>
    <w:rsid w:val="00DF1938"/>
    <w:rsid w:val="00DF256C"/>
    <w:rsid w:val="00DF2EBA"/>
    <w:rsid w:val="00DF3492"/>
    <w:rsid w:val="00DF39A3"/>
    <w:rsid w:val="00DF3C16"/>
    <w:rsid w:val="00DF3E80"/>
    <w:rsid w:val="00DF41DE"/>
    <w:rsid w:val="00DF4704"/>
    <w:rsid w:val="00DF5C56"/>
    <w:rsid w:val="00DF5D3C"/>
    <w:rsid w:val="00DF5E35"/>
    <w:rsid w:val="00DF631F"/>
    <w:rsid w:val="00DF6939"/>
    <w:rsid w:val="00DF791A"/>
    <w:rsid w:val="00DF7F01"/>
    <w:rsid w:val="00E004FE"/>
    <w:rsid w:val="00E00A54"/>
    <w:rsid w:val="00E013B4"/>
    <w:rsid w:val="00E01A5E"/>
    <w:rsid w:val="00E02057"/>
    <w:rsid w:val="00E020ED"/>
    <w:rsid w:val="00E021AD"/>
    <w:rsid w:val="00E024AA"/>
    <w:rsid w:val="00E0275D"/>
    <w:rsid w:val="00E02938"/>
    <w:rsid w:val="00E02941"/>
    <w:rsid w:val="00E02D6C"/>
    <w:rsid w:val="00E02DF4"/>
    <w:rsid w:val="00E038A1"/>
    <w:rsid w:val="00E0437A"/>
    <w:rsid w:val="00E04BF8"/>
    <w:rsid w:val="00E064E1"/>
    <w:rsid w:val="00E06993"/>
    <w:rsid w:val="00E071F1"/>
    <w:rsid w:val="00E07216"/>
    <w:rsid w:val="00E1019B"/>
    <w:rsid w:val="00E10682"/>
    <w:rsid w:val="00E10C34"/>
    <w:rsid w:val="00E10ED2"/>
    <w:rsid w:val="00E112A7"/>
    <w:rsid w:val="00E1143D"/>
    <w:rsid w:val="00E11603"/>
    <w:rsid w:val="00E12639"/>
    <w:rsid w:val="00E1263A"/>
    <w:rsid w:val="00E127EC"/>
    <w:rsid w:val="00E135FA"/>
    <w:rsid w:val="00E139B1"/>
    <w:rsid w:val="00E13EB4"/>
    <w:rsid w:val="00E13FCC"/>
    <w:rsid w:val="00E14C7B"/>
    <w:rsid w:val="00E14ED8"/>
    <w:rsid w:val="00E15311"/>
    <w:rsid w:val="00E1593E"/>
    <w:rsid w:val="00E15C21"/>
    <w:rsid w:val="00E15F5E"/>
    <w:rsid w:val="00E162A9"/>
    <w:rsid w:val="00E164FF"/>
    <w:rsid w:val="00E16703"/>
    <w:rsid w:val="00E1755F"/>
    <w:rsid w:val="00E17834"/>
    <w:rsid w:val="00E17980"/>
    <w:rsid w:val="00E17E3C"/>
    <w:rsid w:val="00E20778"/>
    <w:rsid w:val="00E20BC1"/>
    <w:rsid w:val="00E22492"/>
    <w:rsid w:val="00E2281A"/>
    <w:rsid w:val="00E22C03"/>
    <w:rsid w:val="00E238FA"/>
    <w:rsid w:val="00E23D3A"/>
    <w:rsid w:val="00E24A85"/>
    <w:rsid w:val="00E24ACE"/>
    <w:rsid w:val="00E24CD5"/>
    <w:rsid w:val="00E24F20"/>
    <w:rsid w:val="00E250F1"/>
    <w:rsid w:val="00E2582D"/>
    <w:rsid w:val="00E265CD"/>
    <w:rsid w:val="00E268C4"/>
    <w:rsid w:val="00E269B0"/>
    <w:rsid w:val="00E26D5C"/>
    <w:rsid w:val="00E26F0F"/>
    <w:rsid w:val="00E27A09"/>
    <w:rsid w:val="00E27D0D"/>
    <w:rsid w:val="00E27FDC"/>
    <w:rsid w:val="00E3051F"/>
    <w:rsid w:val="00E307DC"/>
    <w:rsid w:val="00E30851"/>
    <w:rsid w:val="00E310FA"/>
    <w:rsid w:val="00E312FB"/>
    <w:rsid w:val="00E3137D"/>
    <w:rsid w:val="00E31419"/>
    <w:rsid w:val="00E3174C"/>
    <w:rsid w:val="00E3181F"/>
    <w:rsid w:val="00E31A6C"/>
    <w:rsid w:val="00E31B0F"/>
    <w:rsid w:val="00E3248A"/>
    <w:rsid w:val="00E3359F"/>
    <w:rsid w:val="00E3363C"/>
    <w:rsid w:val="00E338B9"/>
    <w:rsid w:val="00E33CB7"/>
    <w:rsid w:val="00E34369"/>
    <w:rsid w:val="00E346F3"/>
    <w:rsid w:val="00E348EB"/>
    <w:rsid w:val="00E34978"/>
    <w:rsid w:val="00E34E52"/>
    <w:rsid w:val="00E3550D"/>
    <w:rsid w:val="00E371C9"/>
    <w:rsid w:val="00E377A9"/>
    <w:rsid w:val="00E37CFC"/>
    <w:rsid w:val="00E40B71"/>
    <w:rsid w:val="00E419FE"/>
    <w:rsid w:val="00E41F1A"/>
    <w:rsid w:val="00E420FC"/>
    <w:rsid w:val="00E4222A"/>
    <w:rsid w:val="00E424A0"/>
    <w:rsid w:val="00E42707"/>
    <w:rsid w:val="00E43100"/>
    <w:rsid w:val="00E43E1D"/>
    <w:rsid w:val="00E4401E"/>
    <w:rsid w:val="00E440EC"/>
    <w:rsid w:val="00E44F4F"/>
    <w:rsid w:val="00E45623"/>
    <w:rsid w:val="00E45C8A"/>
    <w:rsid w:val="00E45FA7"/>
    <w:rsid w:val="00E464D0"/>
    <w:rsid w:val="00E46984"/>
    <w:rsid w:val="00E46C0F"/>
    <w:rsid w:val="00E4714F"/>
    <w:rsid w:val="00E472AC"/>
    <w:rsid w:val="00E47EFC"/>
    <w:rsid w:val="00E504B0"/>
    <w:rsid w:val="00E51566"/>
    <w:rsid w:val="00E525FD"/>
    <w:rsid w:val="00E52838"/>
    <w:rsid w:val="00E532C0"/>
    <w:rsid w:val="00E539B7"/>
    <w:rsid w:val="00E5453F"/>
    <w:rsid w:val="00E54681"/>
    <w:rsid w:val="00E551C2"/>
    <w:rsid w:val="00E55856"/>
    <w:rsid w:val="00E5638C"/>
    <w:rsid w:val="00E56C81"/>
    <w:rsid w:val="00E570D7"/>
    <w:rsid w:val="00E5739E"/>
    <w:rsid w:val="00E60AC1"/>
    <w:rsid w:val="00E60D6B"/>
    <w:rsid w:val="00E60F59"/>
    <w:rsid w:val="00E614E0"/>
    <w:rsid w:val="00E617E1"/>
    <w:rsid w:val="00E61822"/>
    <w:rsid w:val="00E6198C"/>
    <w:rsid w:val="00E62A19"/>
    <w:rsid w:val="00E62AE8"/>
    <w:rsid w:val="00E6342F"/>
    <w:rsid w:val="00E635AD"/>
    <w:rsid w:val="00E6440D"/>
    <w:rsid w:val="00E66935"/>
    <w:rsid w:val="00E66B83"/>
    <w:rsid w:val="00E67EC6"/>
    <w:rsid w:val="00E70911"/>
    <w:rsid w:val="00E70A3D"/>
    <w:rsid w:val="00E70EA0"/>
    <w:rsid w:val="00E71C0B"/>
    <w:rsid w:val="00E71D76"/>
    <w:rsid w:val="00E72659"/>
    <w:rsid w:val="00E72A64"/>
    <w:rsid w:val="00E72E82"/>
    <w:rsid w:val="00E73B24"/>
    <w:rsid w:val="00E73F7F"/>
    <w:rsid w:val="00E74272"/>
    <w:rsid w:val="00E74C7A"/>
    <w:rsid w:val="00E74EB1"/>
    <w:rsid w:val="00E7504F"/>
    <w:rsid w:val="00E7549C"/>
    <w:rsid w:val="00E75667"/>
    <w:rsid w:val="00E758FB"/>
    <w:rsid w:val="00E75D30"/>
    <w:rsid w:val="00E75D97"/>
    <w:rsid w:val="00E75F2E"/>
    <w:rsid w:val="00E76878"/>
    <w:rsid w:val="00E77667"/>
    <w:rsid w:val="00E80552"/>
    <w:rsid w:val="00E8223B"/>
    <w:rsid w:val="00E83140"/>
    <w:rsid w:val="00E837F4"/>
    <w:rsid w:val="00E8415E"/>
    <w:rsid w:val="00E8492C"/>
    <w:rsid w:val="00E85409"/>
    <w:rsid w:val="00E87A16"/>
    <w:rsid w:val="00E91722"/>
    <w:rsid w:val="00E91766"/>
    <w:rsid w:val="00E9281A"/>
    <w:rsid w:val="00E92883"/>
    <w:rsid w:val="00E928FB"/>
    <w:rsid w:val="00E9310E"/>
    <w:rsid w:val="00E941F8"/>
    <w:rsid w:val="00E94C28"/>
    <w:rsid w:val="00E95157"/>
    <w:rsid w:val="00E96436"/>
    <w:rsid w:val="00E9650E"/>
    <w:rsid w:val="00E9658E"/>
    <w:rsid w:val="00E96988"/>
    <w:rsid w:val="00E96D6C"/>
    <w:rsid w:val="00E97280"/>
    <w:rsid w:val="00E9742E"/>
    <w:rsid w:val="00E97743"/>
    <w:rsid w:val="00E97AEF"/>
    <w:rsid w:val="00E97B63"/>
    <w:rsid w:val="00EA04A5"/>
    <w:rsid w:val="00EA0B8F"/>
    <w:rsid w:val="00EA1980"/>
    <w:rsid w:val="00EA2125"/>
    <w:rsid w:val="00EA219F"/>
    <w:rsid w:val="00EA245E"/>
    <w:rsid w:val="00EA287D"/>
    <w:rsid w:val="00EA2ADA"/>
    <w:rsid w:val="00EA2ADB"/>
    <w:rsid w:val="00EA307D"/>
    <w:rsid w:val="00EA3756"/>
    <w:rsid w:val="00EA4197"/>
    <w:rsid w:val="00EA429F"/>
    <w:rsid w:val="00EA4511"/>
    <w:rsid w:val="00EA4B2C"/>
    <w:rsid w:val="00EA4BC1"/>
    <w:rsid w:val="00EA4DB1"/>
    <w:rsid w:val="00EA4F26"/>
    <w:rsid w:val="00EA4F9E"/>
    <w:rsid w:val="00EA59AF"/>
    <w:rsid w:val="00EA5AE4"/>
    <w:rsid w:val="00EA5F03"/>
    <w:rsid w:val="00EA6006"/>
    <w:rsid w:val="00EA608C"/>
    <w:rsid w:val="00EA63CA"/>
    <w:rsid w:val="00EA6957"/>
    <w:rsid w:val="00EA6D3B"/>
    <w:rsid w:val="00EA700B"/>
    <w:rsid w:val="00EA758F"/>
    <w:rsid w:val="00EA768C"/>
    <w:rsid w:val="00EA7A0C"/>
    <w:rsid w:val="00EA7DAF"/>
    <w:rsid w:val="00EB00AD"/>
    <w:rsid w:val="00EB00E9"/>
    <w:rsid w:val="00EB0AE1"/>
    <w:rsid w:val="00EB0D88"/>
    <w:rsid w:val="00EB1002"/>
    <w:rsid w:val="00EB136C"/>
    <w:rsid w:val="00EB23E0"/>
    <w:rsid w:val="00EB24CA"/>
    <w:rsid w:val="00EB3210"/>
    <w:rsid w:val="00EB3B9A"/>
    <w:rsid w:val="00EB3BF1"/>
    <w:rsid w:val="00EB46C5"/>
    <w:rsid w:val="00EB4787"/>
    <w:rsid w:val="00EB480E"/>
    <w:rsid w:val="00EB4849"/>
    <w:rsid w:val="00EB5BE7"/>
    <w:rsid w:val="00EB5EC6"/>
    <w:rsid w:val="00EB6401"/>
    <w:rsid w:val="00EB7048"/>
    <w:rsid w:val="00EB7270"/>
    <w:rsid w:val="00EB7D8D"/>
    <w:rsid w:val="00EB7FC9"/>
    <w:rsid w:val="00EC01F1"/>
    <w:rsid w:val="00EC0382"/>
    <w:rsid w:val="00EC0554"/>
    <w:rsid w:val="00EC065B"/>
    <w:rsid w:val="00EC0C6C"/>
    <w:rsid w:val="00EC0DA2"/>
    <w:rsid w:val="00EC12C4"/>
    <w:rsid w:val="00EC12E6"/>
    <w:rsid w:val="00EC1783"/>
    <w:rsid w:val="00EC18D0"/>
    <w:rsid w:val="00EC1A96"/>
    <w:rsid w:val="00EC20C7"/>
    <w:rsid w:val="00EC20D9"/>
    <w:rsid w:val="00EC28E5"/>
    <w:rsid w:val="00EC2FB5"/>
    <w:rsid w:val="00EC36ED"/>
    <w:rsid w:val="00EC3C0A"/>
    <w:rsid w:val="00EC4896"/>
    <w:rsid w:val="00EC4F07"/>
    <w:rsid w:val="00EC5372"/>
    <w:rsid w:val="00EC54C3"/>
    <w:rsid w:val="00EC576C"/>
    <w:rsid w:val="00EC5CEA"/>
    <w:rsid w:val="00EC63BC"/>
    <w:rsid w:val="00EC7447"/>
    <w:rsid w:val="00EC761B"/>
    <w:rsid w:val="00ED01EF"/>
    <w:rsid w:val="00ED1519"/>
    <w:rsid w:val="00ED1A73"/>
    <w:rsid w:val="00ED2707"/>
    <w:rsid w:val="00ED27E8"/>
    <w:rsid w:val="00ED2A6E"/>
    <w:rsid w:val="00ED2BDA"/>
    <w:rsid w:val="00ED5A74"/>
    <w:rsid w:val="00ED650B"/>
    <w:rsid w:val="00ED699D"/>
    <w:rsid w:val="00ED6C85"/>
    <w:rsid w:val="00ED6CD4"/>
    <w:rsid w:val="00ED6E22"/>
    <w:rsid w:val="00ED7137"/>
    <w:rsid w:val="00ED7C25"/>
    <w:rsid w:val="00ED7E7B"/>
    <w:rsid w:val="00EE0F4A"/>
    <w:rsid w:val="00EE0FAA"/>
    <w:rsid w:val="00EE286D"/>
    <w:rsid w:val="00EE30F1"/>
    <w:rsid w:val="00EE41CB"/>
    <w:rsid w:val="00EE44A2"/>
    <w:rsid w:val="00EE45F2"/>
    <w:rsid w:val="00EE5796"/>
    <w:rsid w:val="00EE58AE"/>
    <w:rsid w:val="00EE5B08"/>
    <w:rsid w:val="00EE5D96"/>
    <w:rsid w:val="00EE6031"/>
    <w:rsid w:val="00EE63C2"/>
    <w:rsid w:val="00EE6457"/>
    <w:rsid w:val="00EE6764"/>
    <w:rsid w:val="00EE6DDB"/>
    <w:rsid w:val="00EE70D2"/>
    <w:rsid w:val="00EE77A0"/>
    <w:rsid w:val="00EE7823"/>
    <w:rsid w:val="00EE7A6B"/>
    <w:rsid w:val="00EF00C5"/>
    <w:rsid w:val="00EF00E0"/>
    <w:rsid w:val="00EF06EA"/>
    <w:rsid w:val="00EF0758"/>
    <w:rsid w:val="00EF094A"/>
    <w:rsid w:val="00EF0985"/>
    <w:rsid w:val="00EF0C86"/>
    <w:rsid w:val="00EF1BC1"/>
    <w:rsid w:val="00EF1D20"/>
    <w:rsid w:val="00EF2224"/>
    <w:rsid w:val="00EF2C54"/>
    <w:rsid w:val="00EF3247"/>
    <w:rsid w:val="00EF38D3"/>
    <w:rsid w:val="00EF4311"/>
    <w:rsid w:val="00EF486B"/>
    <w:rsid w:val="00EF522D"/>
    <w:rsid w:val="00EF64CE"/>
    <w:rsid w:val="00EF6AFA"/>
    <w:rsid w:val="00EF74B9"/>
    <w:rsid w:val="00EF777B"/>
    <w:rsid w:val="00EF78B3"/>
    <w:rsid w:val="00EF7DCF"/>
    <w:rsid w:val="00F00500"/>
    <w:rsid w:val="00F02994"/>
    <w:rsid w:val="00F0392E"/>
    <w:rsid w:val="00F039A7"/>
    <w:rsid w:val="00F03D38"/>
    <w:rsid w:val="00F03F83"/>
    <w:rsid w:val="00F0452C"/>
    <w:rsid w:val="00F04EAE"/>
    <w:rsid w:val="00F05401"/>
    <w:rsid w:val="00F05903"/>
    <w:rsid w:val="00F05CCB"/>
    <w:rsid w:val="00F05D9B"/>
    <w:rsid w:val="00F067FB"/>
    <w:rsid w:val="00F0693F"/>
    <w:rsid w:val="00F078BF"/>
    <w:rsid w:val="00F07E90"/>
    <w:rsid w:val="00F10178"/>
    <w:rsid w:val="00F1099E"/>
    <w:rsid w:val="00F10B28"/>
    <w:rsid w:val="00F110B3"/>
    <w:rsid w:val="00F11359"/>
    <w:rsid w:val="00F1146A"/>
    <w:rsid w:val="00F11FE3"/>
    <w:rsid w:val="00F11FF2"/>
    <w:rsid w:val="00F1289F"/>
    <w:rsid w:val="00F12B9F"/>
    <w:rsid w:val="00F132EE"/>
    <w:rsid w:val="00F13447"/>
    <w:rsid w:val="00F1408A"/>
    <w:rsid w:val="00F141E6"/>
    <w:rsid w:val="00F14353"/>
    <w:rsid w:val="00F14643"/>
    <w:rsid w:val="00F14865"/>
    <w:rsid w:val="00F16DE3"/>
    <w:rsid w:val="00F1733E"/>
    <w:rsid w:val="00F1749B"/>
    <w:rsid w:val="00F1750B"/>
    <w:rsid w:val="00F17597"/>
    <w:rsid w:val="00F20445"/>
    <w:rsid w:val="00F2044A"/>
    <w:rsid w:val="00F20899"/>
    <w:rsid w:val="00F20F6D"/>
    <w:rsid w:val="00F21088"/>
    <w:rsid w:val="00F21253"/>
    <w:rsid w:val="00F21719"/>
    <w:rsid w:val="00F21F24"/>
    <w:rsid w:val="00F22274"/>
    <w:rsid w:val="00F222F9"/>
    <w:rsid w:val="00F22508"/>
    <w:rsid w:val="00F22570"/>
    <w:rsid w:val="00F22752"/>
    <w:rsid w:val="00F22BF3"/>
    <w:rsid w:val="00F2371E"/>
    <w:rsid w:val="00F23C69"/>
    <w:rsid w:val="00F24051"/>
    <w:rsid w:val="00F24270"/>
    <w:rsid w:val="00F24364"/>
    <w:rsid w:val="00F2452B"/>
    <w:rsid w:val="00F24E29"/>
    <w:rsid w:val="00F253B4"/>
    <w:rsid w:val="00F2550D"/>
    <w:rsid w:val="00F25690"/>
    <w:rsid w:val="00F2593A"/>
    <w:rsid w:val="00F25EC2"/>
    <w:rsid w:val="00F26001"/>
    <w:rsid w:val="00F26582"/>
    <w:rsid w:val="00F26C46"/>
    <w:rsid w:val="00F26F59"/>
    <w:rsid w:val="00F274E6"/>
    <w:rsid w:val="00F27B08"/>
    <w:rsid w:val="00F300AF"/>
    <w:rsid w:val="00F3012E"/>
    <w:rsid w:val="00F3043B"/>
    <w:rsid w:val="00F307BD"/>
    <w:rsid w:val="00F30905"/>
    <w:rsid w:val="00F30C36"/>
    <w:rsid w:val="00F3134E"/>
    <w:rsid w:val="00F3275D"/>
    <w:rsid w:val="00F327E7"/>
    <w:rsid w:val="00F32A64"/>
    <w:rsid w:val="00F33622"/>
    <w:rsid w:val="00F33880"/>
    <w:rsid w:val="00F34308"/>
    <w:rsid w:val="00F34500"/>
    <w:rsid w:val="00F34E23"/>
    <w:rsid w:val="00F354EE"/>
    <w:rsid w:val="00F35746"/>
    <w:rsid w:val="00F3575E"/>
    <w:rsid w:val="00F365EC"/>
    <w:rsid w:val="00F366E6"/>
    <w:rsid w:val="00F36784"/>
    <w:rsid w:val="00F371EB"/>
    <w:rsid w:val="00F371F3"/>
    <w:rsid w:val="00F37C26"/>
    <w:rsid w:val="00F37E53"/>
    <w:rsid w:val="00F40598"/>
    <w:rsid w:val="00F40A86"/>
    <w:rsid w:val="00F40D5B"/>
    <w:rsid w:val="00F4102D"/>
    <w:rsid w:val="00F41AD4"/>
    <w:rsid w:val="00F4274C"/>
    <w:rsid w:val="00F42CD3"/>
    <w:rsid w:val="00F4315F"/>
    <w:rsid w:val="00F437C0"/>
    <w:rsid w:val="00F43B5B"/>
    <w:rsid w:val="00F43F74"/>
    <w:rsid w:val="00F447C7"/>
    <w:rsid w:val="00F456C5"/>
    <w:rsid w:val="00F45788"/>
    <w:rsid w:val="00F459B1"/>
    <w:rsid w:val="00F459B4"/>
    <w:rsid w:val="00F462AC"/>
    <w:rsid w:val="00F46FC1"/>
    <w:rsid w:val="00F47470"/>
    <w:rsid w:val="00F503F1"/>
    <w:rsid w:val="00F509D3"/>
    <w:rsid w:val="00F51DCB"/>
    <w:rsid w:val="00F51E19"/>
    <w:rsid w:val="00F5211B"/>
    <w:rsid w:val="00F52143"/>
    <w:rsid w:val="00F521BD"/>
    <w:rsid w:val="00F530E8"/>
    <w:rsid w:val="00F53E69"/>
    <w:rsid w:val="00F54D5B"/>
    <w:rsid w:val="00F54E24"/>
    <w:rsid w:val="00F554A9"/>
    <w:rsid w:val="00F55B23"/>
    <w:rsid w:val="00F56831"/>
    <w:rsid w:val="00F56C33"/>
    <w:rsid w:val="00F5766B"/>
    <w:rsid w:val="00F57CCE"/>
    <w:rsid w:val="00F6026B"/>
    <w:rsid w:val="00F60BC7"/>
    <w:rsid w:val="00F610B6"/>
    <w:rsid w:val="00F61BD7"/>
    <w:rsid w:val="00F61CEB"/>
    <w:rsid w:val="00F61CEF"/>
    <w:rsid w:val="00F63E3D"/>
    <w:rsid w:val="00F65141"/>
    <w:rsid w:val="00F6529A"/>
    <w:rsid w:val="00F65977"/>
    <w:rsid w:val="00F65F86"/>
    <w:rsid w:val="00F66E56"/>
    <w:rsid w:val="00F671DB"/>
    <w:rsid w:val="00F679EE"/>
    <w:rsid w:val="00F67AE6"/>
    <w:rsid w:val="00F70114"/>
    <w:rsid w:val="00F7065C"/>
    <w:rsid w:val="00F716FD"/>
    <w:rsid w:val="00F72943"/>
    <w:rsid w:val="00F72BAF"/>
    <w:rsid w:val="00F72E60"/>
    <w:rsid w:val="00F73518"/>
    <w:rsid w:val="00F73BF0"/>
    <w:rsid w:val="00F73D62"/>
    <w:rsid w:val="00F73ED4"/>
    <w:rsid w:val="00F744B2"/>
    <w:rsid w:val="00F751E6"/>
    <w:rsid w:val="00F75557"/>
    <w:rsid w:val="00F75778"/>
    <w:rsid w:val="00F75A37"/>
    <w:rsid w:val="00F75B0F"/>
    <w:rsid w:val="00F75C23"/>
    <w:rsid w:val="00F8002C"/>
    <w:rsid w:val="00F80355"/>
    <w:rsid w:val="00F81044"/>
    <w:rsid w:val="00F81A73"/>
    <w:rsid w:val="00F81FB0"/>
    <w:rsid w:val="00F84D06"/>
    <w:rsid w:val="00F84DA7"/>
    <w:rsid w:val="00F85FA2"/>
    <w:rsid w:val="00F86A0E"/>
    <w:rsid w:val="00F87358"/>
    <w:rsid w:val="00F87614"/>
    <w:rsid w:val="00F87B2E"/>
    <w:rsid w:val="00F87C22"/>
    <w:rsid w:val="00F87C43"/>
    <w:rsid w:val="00F916BA"/>
    <w:rsid w:val="00F91861"/>
    <w:rsid w:val="00F9270C"/>
    <w:rsid w:val="00F9290C"/>
    <w:rsid w:val="00F92E46"/>
    <w:rsid w:val="00F9341F"/>
    <w:rsid w:val="00F93F27"/>
    <w:rsid w:val="00F93F74"/>
    <w:rsid w:val="00F94A06"/>
    <w:rsid w:val="00F97122"/>
    <w:rsid w:val="00F97765"/>
    <w:rsid w:val="00FA0567"/>
    <w:rsid w:val="00FA0EFF"/>
    <w:rsid w:val="00FA0FD1"/>
    <w:rsid w:val="00FA123F"/>
    <w:rsid w:val="00FA1FA6"/>
    <w:rsid w:val="00FA2B7D"/>
    <w:rsid w:val="00FA36F4"/>
    <w:rsid w:val="00FA3D8D"/>
    <w:rsid w:val="00FA432F"/>
    <w:rsid w:val="00FA4A6B"/>
    <w:rsid w:val="00FA5954"/>
    <w:rsid w:val="00FA68F3"/>
    <w:rsid w:val="00FA6BA4"/>
    <w:rsid w:val="00FA6BC3"/>
    <w:rsid w:val="00FA6CF1"/>
    <w:rsid w:val="00FA7257"/>
    <w:rsid w:val="00FA759E"/>
    <w:rsid w:val="00FB0276"/>
    <w:rsid w:val="00FB0379"/>
    <w:rsid w:val="00FB04B2"/>
    <w:rsid w:val="00FB0501"/>
    <w:rsid w:val="00FB0C81"/>
    <w:rsid w:val="00FB2117"/>
    <w:rsid w:val="00FB2466"/>
    <w:rsid w:val="00FB2F91"/>
    <w:rsid w:val="00FB302D"/>
    <w:rsid w:val="00FB4C95"/>
    <w:rsid w:val="00FB57A9"/>
    <w:rsid w:val="00FB5908"/>
    <w:rsid w:val="00FB625B"/>
    <w:rsid w:val="00FB6282"/>
    <w:rsid w:val="00FB6295"/>
    <w:rsid w:val="00FB6C92"/>
    <w:rsid w:val="00FB715D"/>
    <w:rsid w:val="00FC0CBA"/>
    <w:rsid w:val="00FC1B84"/>
    <w:rsid w:val="00FC2003"/>
    <w:rsid w:val="00FC2199"/>
    <w:rsid w:val="00FC2200"/>
    <w:rsid w:val="00FC2540"/>
    <w:rsid w:val="00FC284A"/>
    <w:rsid w:val="00FC2A8E"/>
    <w:rsid w:val="00FC35D9"/>
    <w:rsid w:val="00FC3EF6"/>
    <w:rsid w:val="00FC3EF9"/>
    <w:rsid w:val="00FC4116"/>
    <w:rsid w:val="00FC4985"/>
    <w:rsid w:val="00FC524E"/>
    <w:rsid w:val="00FC5B41"/>
    <w:rsid w:val="00FC6131"/>
    <w:rsid w:val="00FC65D8"/>
    <w:rsid w:val="00FC7364"/>
    <w:rsid w:val="00FC769C"/>
    <w:rsid w:val="00FD00C5"/>
    <w:rsid w:val="00FD0AD8"/>
    <w:rsid w:val="00FD0DC2"/>
    <w:rsid w:val="00FD0EB7"/>
    <w:rsid w:val="00FD167A"/>
    <w:rsid w:val="00FD2549"/>
    <w:rsid w:val="00FD26E5"/>
    <w:rsid w:val="00FD26FB"/>
    <w:rsid w:val="00FD2B8F"/>
    <w:rsid w:val="00FD2EB1"/>
    <w:rsid w:val="00FD3205"/>
    <w:rsid w:val="00FD4891"/>
    <w:rsid w:val="00FD48F4"/>
    <w:rsid w:val="00FD4B95"/>
    <w:rsid w:val="00FD5802"/>
    <w:rsid w:val="00FD5D49"/>
    <w:rsid w:val="00FD5E7F"/>
    <w:rsid w:val="00FD62EB"/>
    <w:rsid w:val="00FD6A46"/>
    <w:rsid w:val="00FD6DAC"/>
    <w:rsid w:val="00FD74CD"/>
    <w:rsid w:val="00FD7728"/>
    <w:rsid w:val="00FD7CC1"/>
    <w:rsid w:val="00FE1308"/>
    <w:rsid w:val="00FE177C"/>
    <w:rsid w:val="00FE1D8F"/>
    <w:rsid w:val="00FE1FBE"/>
    <w:rsid w:val="00FE2363"/>
    <w:rsid w:val="00FE435C"/>
    <w:rsid w:val="00FE45E1"/>
    <w:rsid w:val="00FE47AB"/>
    <w:rsid w:val="00FE47DA"/>
    <w:rsid w:val="00FE510A"/>
    <w:rsid w:val="00FE5622"/>
    <w:rsid w:val="00FE61D0"/>
    <w:rsid w:val="00FE688D"/>
    <w:rsid w:val="00FE6A61"/>
    <w:rsid w:val="00FE71BF"/>
    <w:rsid w:val="00FE7653"/>
    <w:rsid w:val="00FF0204"/>
    <w:rsid w:val="00FF05FF"/>
    <w:rsid w:val="00FF1251"/>
    <w:rsid w:val="00FF2CF4"/>
    <w:rsid w:val="00FF3AED"/>
    <w:rsid w:val="00FF3CB1"/>
    <w:rsid w:val="00FF4139"/>
    <w:rsid w:val="00FF47C2"/>
    <w:rsid w:val="00FF4ED1"/>
    <w:rsid w:val="00FF527F"/>
    <w:rsid w:val="00FF68F5"/>
    <w:rsid w:val="00FF694B"/>
    <w:rsid w:val="00FF6B86"/>
    <w:rsid w:val="00FF707F"/>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50411"/>
  <w15:docId w15:val="{0249EB84-8628-4FF0-A88B-6AE8ADDC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link w:val="ListParagraphChar"/>
    <w:uiPriority w:val="34"/>
    <w:qFormat/>
    <w:rsid w:val="00C679D6"/>
    <w:pPr>
      <w:ind w:left="720"/>
      <w:contextualSpacing/>
    </w:pPr>
  </w:style>
  <w:style w:type="character" w:customStyle="1" w:styleId="ListParagraphChar">
    <w:name w:val="List Paragraph Char"/>
    <w:basedOn w:val="DefaultParagraphFont"/>
    <w:link w:val="ListParagraph"/>
    <w:uiPriority w:val="34"/>
    <w:locked/>
    <w:rsid w:val="00C679D6"/>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C679D6"/>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C679D6"/>
    <w:rPr>
      <w:lang w:val="en-GB"/>
    </w:rPr>
  </w:style>
  <w:style w:type="character" w:styleId="FootnoteReference">
    <w:name w:val="footnote reference"/>
    <w:basedOn w:val="DefaultParagraphFont"/>
    <w:uiPriority w:val="99"/>
    <w:unhideWhenUsed/>
    <w:rsid w:val="00C679D6"/>
    <w:rPr>
      <w:vertAlign w:val="superscript"/>
    </w:rPr>
  </w:style>
  <w:style w:type="paragraph" w:customStyle="1" w:styleId="Default">
    <w:name w:val="Default"/>
    <w:rsid w:val="00C679D6"/>
    <w:pPr>
      <w:widowControl w:val="0"/>
      <w:autoSpaceDE w:val="0"/>
      <w:autoSpaceDN w:val="0"/>
      <w:adjustRightInd w:val="0"/>
    </w:pPr>
    <w:rPr>
      <w:color w:val="000000"/>
      <w:sz w:val="24"/>
      <w:szCs w:val="24"/>
    </w:rPr>
  </w:style>
  <w:style w:type="table" w:customStyle="1" w:styleId="TableGrid10">
    <w:name w:val="Table Grid1"/>
    <w:basedOn w:val="TableNormal"/>
    <w:next w:val="TableGrid"/>
    <w:rsid w:val="00EE5B08"/>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11A5"/>
    <w:rPr>
      <w:sz w:val="22"/>
      <w:szCs w:val="22"/>
      <w:lang w:val="en-GB"/>
    </w:rPr>
  </w:style>
  <w:style w:type="paragraph" w:styleId="NormalWeb">
    <w:name w:val="Normal (Web)"/>
    <w:basedOn w:val="Normal"/>
    <w:uiPriority w:val="99"/>
    <w:semiHidden/>
    <w:unhideWhenUsed/>
    <w:rsid w:val="00A45EE3"/>
    <w:pPr>
      <w:jc w:val="left"/>
    </w:pPr>
    <w:rPr>
      <w:rFonts w:eastAsiaTheme="minorHAnsi"/>
      <w:sz w:val="24"/>
      <w:szCs w:val="24"/>
      <w:lang w:val="en-US"/>
    </w:rPr>
  </w:style>
  <w:style w:type="paragraph" w:styleId="EndnoteText">
    <w:name w:val="endnote text"/>
    <w:basedOn w:val="Normal"/>
    <w:link w:val="EndnoteTextChar"/>
    <w:uiPriority w:val="99"/>
    <w:semiHidden/>
    <w:unhideWhenUsed/>
    <w:rsid w:val="002A050F"/>
    <w:rPr>
      <w:sz w:val="20"/>
      <w:szCs w:val="20"/>
    </w:rPr>
  </w:style>
  <w:style w:type="character" w:customStyle="1" w:styleId="EndnoteTextChar">
    <w:name w:val="Endnote Text Char"/>
    <w:basedOn w:val="DefaultParagraphFont"/>
    <w:link w:val="EndnoteText"/>
    <w:uiPriority w:val="99"/>
    <w:semiHidden/>
    <w:rsid w:val="002A050F"/>
    <w:rPr>
      <w:lang w:val="en-GB"/>
    </w:rPr>
  </w:style>
  <w:style w:type="character" w:styleId="EndnoteReference">
    <w:name w:val="endnote reference"/>
    <w:basedOn w:val="DefaultParagraphFont"/>
    <w:uiPriority w:val="99"/>
    <w:semiHidden/>
    <w:unhideWhenUsed/>
    <w:rsid w:val="002A050F"/>
    <w:rPr>
      <w:vertAlign w:val="superscript"/>
    </w:rPr>
  </w:style>
  <w:style w:type="table" w:customStyle="1" w:styleId="TableGrid11">
    <w:name w:val="Table Grid11"/>
    <w:basedOn w:val="TableNormal"/>
    <w:next w:val="TableGrid"/>
    <w:rsid w:val="004964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964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65451"/>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F7A8D"/>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BF7A8D"/>
    <w:rPr>
      <w:sz w:val="22"/>
      <w:szCs w:val="22"/>
      <w:lang w:val="en-GB"/>
    </w:rPr>
  </w:style>
  <w:style w:type="character" w:customStyle="1" w:styleId="HeaderChar">
    <w:name w:val="Header Char"/>
    <w:basedOn w:val="DefaultParagraphFont"/>
    <w:link w:val="Header"/>
    <w:rsid w:val="00EF098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4785">
      <w:bodyDiv w:val="1"/>
      <w:marLeft w:val="0"/>
      <w:marRight w:val="0"/>
      <w:marTop w:val="0"/>
      <w:marBottom w:val="0"/>
      <w:divBdr>
        <w:top w:val="none" w:sz="0" w:space="0" w:color="auto"/>
        <w:left w:val="none" w:sz="0" w:space="0" w:color="auto"/>
        <w:bottom w:val="none" w:sz="0" w:space="0" w:color="auto"/>
        <w:right w:val="none" w:sz="0" w:space="0" w:color="auto"/>
      </w:divBdr>
    </w:div>
    <w:div w:id="718239131">
      <w:bodyDiv w:val="1"/>
      <w:marLeft w:val="0"/>
      <w:marRight w:val="0"/>
      <w:marTop w:val="0"/>
      <w:marBottom w:val="0"/>
      <w:divBdr>
        <w:top w:val="none" w:sz="0" w:space="0" w:color="auto"/>
        <w:left w:val="none" w:sz="0" w:space="0" w:color="auto"/>
        <w:bottom w:val="none" w:sz="0" w:space="0" w:color="auto"/>
        <w:right w:val="none" w:sz="0" w:space="0" w:color="auto"/>
      </w:divBdr>
    </w:div>
    <w:div w:id="811214797">
      <w:bodyDiv w:val="1"/>
      <w:marLeft w:val="0"/>
      <w:marRight w:val="0"/>
      <w:marTop w:val="0"/>
      <w:marBottom w:val="0"/>
      <w:divBdr>
        <w:top w:val="none" w:sz="0" w:space="0" w:color="auto"/>
        <w:left w:val="none" w:sz="0" w:space="0" w:color="auto"/>
        <w:bottom w:val="none" w:sz="0" w:space="0" w:color="auto"/>
        <w:right w:val="none" w:sz="0" w:space="0" w:color="auto"/>
      </w:divBdr>
    </w:div>
    <w:div w:id="1078290921">
      <w:bodyDiv w:val="1"/>
      <w:marLeft w:val="0"/>
      <w:marRight w:val="0"/>
      <w:marTop w:val="0"/>
      <w:marBottom w:val="0"/>
      <w:divBdr>
        <w:top w:val="none" w:sz="0" w:space="0" w:color="auto"/>
        <w:left w:val="none" w:sz="0" w:space="0" w:color="auto"/>
        <w:bottom w:val="none" w:sz="0" w:space="0" w:color="auto"/>
        <w:right w:val="none" w:sz="0" w:space="0" w:color="auto"/>
      </w:divBdr>
    </w:div>
    <w:div w:id="176969249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UNEP/OzL.Pro/ExCom/87/30</Document_x0020_Number>
  </documentManagement>
</p:properties>
</file>

<file path=customXml/itemProps1.xml><?xml version="1.0" encoding="utf-8"?>
<ds:datastoreItem xmlns:ds="http://schemas.openxmlformats.org/officeDocument/2006/customXml" ds:itemID="{7BBDBB3F-90FB-4728-9914-4A1502603469}"/>
</file>

<file path=customXml/itemProps2.xml><?xml version="1.0" encoding="utf-8"?>
<ds:datastoreItem xmlns:ds="http://schemas.openxmlformats.org/officeDocument/2006/customXml" ds:itemID="{86A95752-4E25-447A-889D-AC2B31D0E04A}"/>
</file>

<file path=customXml/itemProps3.xml><?xml version="1.0" encoding="utf-8"?>
<ds:datastoreItem xmlns:ds="http://schemas.openxmlformats.org/officeDocument/2006/customXml" ds:itemID="{CABEF669-361B-43D9-A33D-52200AAC7440}"/>
</file>

<file path=customXml/itemProps4.xml><?xml version="1.0" encoding="utf-8"?>
<ds:datastoreItem xmlns:ds="http://schemas.openxmlformats.org/officeDocument/2006/customXml" ds:itemID="{D513D81C-56AC-4964-BDA2-C67615AC020B}"/>
</file>

<file path=docProps/app.xml><?xml version="1.0" encoding="utf-8"?>
<Properties xmlns="http://schemas.openxmlformats.org/officeDocument/2006/extended-properties" xmlns:vt="http://schemas.openxmlformats.org/officeDocument/2006/docPropsVTypes">
  <Template>Normal</Template>
  <TotalTime>2</TotalTime>
  <Pages>23</Pages>
  <Words>9828</Words>
  <Characters>56020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Propuesta de proyecto: Iraq</vt:lpstr>
    </vt:vector>
  </TitlesOfParts>
  <Company>UNMFS</Company>
  <LinksUpToDate>false</LinksUpToDate>
  <CharactersWithSpaces>65717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Iraq</dc:title>
  <dc:subject>87th</dc:subject>
  <dc:creator>Patricia Chau</dc:creator>
  <cp:keywords/>
  <dc:description/>
  <cp:lastModifiedBy>HB</cp:lastModifiedBy>
  <cp:revision>4</cp:revision>
  <cp:lastPrinted>2001-05-26T16:40:00Z</cp:lastPrinted>
  <dcterms:created xsi:type="dcterms:W3CDTF">2021-07-02T20:42:00Z</dcterms:created>
  <dcterms:modified xsi:type="dcterms:W3CDTF">2021-07-02T21:52:00Z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UNEP/OzL.Pro/ExCom/87/30</vt:lpwstr>
  </property>
  <property fmtid="{D5CDD505-2E9C-101B-9397-08002B2CF9AE}" pid="3" name="Revision date">
    <vt:lpwstr>06/14/2021</vt:lpwstr>
  </property>
  <property fmtid="{D5CDD505-2E9C-101B-9397-08002B2CF9AE}" pid="4" name="ContentTypeId">
    <vt:lpwstr>0x010100ACD79882E53CBD488ABE60AC614F6D01</vt:lpwstr>
  </property>
</Properties>
</file>