
<file path=[Content_Types].xml><?xml version="1.0" encoding="utf-8"?>
<Types xmlns="http://schemas.openxmlformats.org/package/2006/content-types">
  <Default Extension="bin" ContentType="application/vnd.ms-word.attachedToolbar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88089B" w14:paraId="5DD473DA" w14:textId="77777777">
        <w:trPr>
          <w:trHeight w:val="720"/>
        </w:trPr>
        <w:tc>
          <w:tcPr>
            <w:tcW w:w="6494" w:type="dxa"/>
            <w:gridSpan w:val="2"/>
            <w:tcBorders>
              <w:bottom w:val="single" w:sz="18" w:space="0" w:color="auto"/>
            </w:tcBorders>
          </w:tcPr>
          <w:p w14:paraId="70589362" w14:textId="77777777" w:rsidR="0087455A" w:rsidRPr="0088089B" w:rsidRDefault="0024162E" w:rsidP="0088089B">
            <w:pPr>
              <w:rPr>
                <w:rFonts w:ascii="Univers" w:hAnsi="Univers"/>
                <w:b/>
                <w:sz w:val="28"/>
                <w:szCs w:val="28"/>
                <w:lang w:val="es-ES"/>
              </w:rPr>
            </w:pPr>
            <w:r w:rsidRPr="0088089B">
              <w:rPr>
                <w:rFonts w:ascii="Univers" w:hAnsi="Univers"/>
                <w:b/>
                <w:sz w:val="28"/>
                <w:szCs w:val="28"/>
                <w:lang w:val="es-ES"/>
              </w:rPr>
              <w:t>NACIONES</w:t>
            </w:r>
          </w:p>
          <w:p w14:paraId="111B056C" w14:textId="77777777" w:rsidR="0087455A" w:rsidRPr="0088089B" w:rsidRDefault="0024162E" w:rsidP="0088089B">
            <w:pPr>
              <w:rPr>
                <w:rFonts w:ascii="Univers" w:hAnsi="Univers"/>
                <w:b/>
                <w:sz w:val="28"/>
                <w:szCs w:val="28"/>
                <w:lang w:val="es-ES"/>
              </w:rPr>
            </w:pPr>
            <w:r w:rsidRPr="0088089B">
              <w:rPr>
                <w:rFonts w:ascii="Univers" w:hAnsi="Univers"/>
                <w:b/>
                <w:sz w:val="28"/>
                <w:szCs w:val="28"/>
                <w:lang w:val="es-ES"/>
              </w:rPr>
              <w:t>UNIDAS</w:t>
            </w:r>
          </w:p>
        </w:tc>
        <w:tc>
          <w:tcPr>
            <w:tcW w:w="4590" w:type="dxa"/>
            <w:tcBorders>
              <w:bottom w:val="single" w:sz="18" w:space="0" w:color="auto"/>
            </w:tcBorders>
          </w:tcPr>
          <w:p w14:paraId="54ABCC96" w14:textId="77777777" w:rsidR="0087455A" w:rsidRPr="0088089B" w:rsidRDefault="0024162E" w:rsidP="0088089B">
            <w:pPr>
              <w:jc w:val="right"/>
              <w:rPr>
                <w:rFonts w:asciiTheme="minorBidi" w:hAnsiTheme="minorBidi" w:cstheme="minorBidi"/>
                <w:sz w:val="52"/>
                <w:szCs w:val="52"/>
                <w:lang w:val="es-ES"/>
              </w:rPr>
            </w:pPr>
            <w:r w:rsidRPr="0088089B">
              <w:rPr>
                <w:rFonts w:asciiTheme="minorBidi" w:hAnsiTheme="minorBidi" w:cstheme="minorBidi"/>
                <w:b/>
                <w:sz w:val="72"/>
                <w:lang w:val="es-ES"/>
              </w:rPr>
              <w:t>EP</w:t>
            </w:r>
          </w:p>
        </w:tc>
      </w:tr>
      <w:tr w:rsidR="0087455A" w:rsidRPr="0088089B" w14:paraId="49F26A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A6D5879" w14:textId="77777777" w:rsidR="0087455A" w:rsidRPr="0088089B" w:rsidRDefault="0024162E" w:rsidP="0088089B">
            <w:pPr>
              <w:spacing w:before="120"/>
              <w:rPr>
                <w:lang w:val="es-ES"/>
              </w:rPr>
            </w:pPr>
            <w:r w:rsidRPr="0088089B">
              <w:rPr>
                <w:noProof/>
                <w:lang w:val="en-US"/>
              </w:rPr>
              <w:drawing>
                <wp:anchor distT="0" distB="0" distL="114300" distR="114300" simplePos="0" relativeHeight="251660288" behindDoc="0" locked="0" layoutInCell="1" allowOverlap="1" wp14:anchorId="61F0670A" wp14:editId="28559993">
                  <wp:simplePos x="0" y="0"/>
                  <wp:positionH relativeFrom="column">
                    <wp:posOffset>51876</wp:posOffset>
                  </wp:positionH>
                  <wp:positionV relativeFrom="paragraph">
                    <wp:posOffset>934940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88089B">
              <w:rPr>
                <w:noProof/>
                <w:lang w:val="en-US"/>
              </w:rPr>
              <w:drawing>
                <wp:anchor distT="0" distB="0" distL="114300" distR="114300" simplePos="0" relativeHeight="251661312" behindDoc="1" locked="0" layoutInCell="0" allowOverlap="1" wp14:anchorId="4D373208" wp14:editId="5987389E">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0FE7F17A" w14:textId="77777777" w:rsidR="0087455A" w:rsidRPr="0088089B" w:rsidRDefault="0087455A" w:rsidP="0088089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p>
          <w:p w14:paraId="50278ECA" w14:textId="77777777" w:rsidR="0087455A" w:rsidRPr="0088089B" w:rsidRDefault="0024162E" w:rsidP="0088089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88089B">
              <w:rPr>
                <w:rFonts w:ascii="Univers" w:hAnsi="Univers"/>
                <w:b/>
                <w:sz w:val="32"/>
                <w:lang w:val="es-ES"/>
              </w:rPr>
              <w:t>Programa de las</w:t>
            </w:r>
          </w:p>
          <w:p w14:paraId="189DC170" w14:textId="77777777" w:rsidR="0087455A" w:rsidRPr="0088089B" w:rsidRDefault="0024162E" w:rsidP="0088089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88089B">
              <w:rPr>
                <w:rFonts w:ascii="Univers" w:hAnsi="Univers"/>
                <w:b/>
                <w:sz w:val="32"/>
                <w:lang w:val="es-ES"/>
              </w:rPr>
              <w:t>Naciones Unidas</w:t>
            </w:r>
          </w:p>
          <w:p w14:paraId="7712A84C" w14:textId="77777777" w:rsidR="0087455A" w:rsidRPr="0088089B" w:rsidRDefault="0024162E" w:rsidP="0088089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88089B">
              <w:rPr>
                <w:rFonts w:ascii="Univers" w:hAnsi="Univers"/>
                <w:b/>
                <w:sz w:val="32"/>
                <w:lang w:val="es-ES"/>
              </w:rPr>
              <w:t>para el Medio Ambiente</w:t>
            </w:r>
          </w:p>
          <w:p w14:paraId="21CF57CF" w14:textId="77777777" w:rsidR="0087455A" w:rsidRPr="0088089B" w:rsidRDefault="0087455A" w:rsidP="0088089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
              </w:rPr>
            </w:pPr>
          </w:p>
          <w:p w14:paraId="2A685EC4" w14:textId="77777777" w:rsidR="0087455A" w:rsidRPr="0088089B" w:rsidRDefault="0087455A" w:rsidP="0088089B">
            <w:pPr>
              <w:spacing w:before="720"/>
              <w:ind w:left="158"/>
              <w:rPr>
                <w:lang w:val="es-ES"/>
              </w:rPr>
            </w:pPr>
          </w:p>
        </w:tc>
        <w:tc>
          <w:tcPr>
            <w:tcW w:w="4590" w:type="dxa"/>
            <w:tcBorders>
              <w:top w:val="nil"/>
              <w:left w:val="nil"/>
              <w:bottom w:val="single" w:sz="36" w:space="0" w:color="auto"/>
              <w:right w:val="nil"/>
            </w:tcBorders>
          </w:tcPr>
          <w:p w14:paraId="01085262" w14:textId="77777777" w:rsidR="0087455A" w:rsidRPr="0088089B" w:rsidRDefault="0087455A" w:rsidP="0088089B">
            <w:pPr>
              <w:rPr>
                <w:lang w:val="es-ES"/>
              </w:rPr>
            </w:pPr>
          </w:p>
          <w:p w14:paraId="374D3086" w14:textId="77777777" w:rsidR="0087455A" w:rsidRPr="0088089B" w:rsidRDefault="0024162E" w:rsidP="0088089B">
            <w:pPr>
              <w:rPr>
                <w:lang w:val="es-ES"/>
              </w:rPr>
            </w:pPr>
            <w:r w:rsidRPr="0088089B">
              <w:rPr>
                <w:lang w:val="es-ES"/>
              </w:rPr>
              <w:t>Distr.</w:t>
            </w:r>
          </w:p>
          <w:p w14:paraId="274B63FE" w14:textId="77777777" w:rsidR="0087455A" w:rsidRPr="0088089B" w:rsidRDefault="0024162E" w:rsidP="0088089B">
            <w:pPr>
              <w:rPr>
                <w:lang w:val="es-ES"/>
              </w:rPr>
            </w:pPr>
            <w:r w:rsidRPr="0088089B">
              <w:rPr>
                <w:lang w:val="es-ES"/>
              </w:rPr>
              <w:t>GENERAL</w:t>
            </w:r>
          </w:p>
          <w:p w14:paraId="1247C804" w14:textId="77777777" w:rsidR="0087455A" w:rsidRPr="0088089B" w:rsidRDefault="0087455A" w:rsidP="0088089B">
            <w:pPr>
              <w:rPr>
                <w:lang w:val="es-ES"/>
              </w:rPr>
            </w:pPr>
          </w:p>
          <w:p w14:paraId="66D0F287" w14:textId="3A1F6CCC" w:rsidR="0087455A" w:rsidRPr="0088089B" w:rsidRDefault="0024162E" w:rsidP="0088089B">
            <w:pPr>
              <w:rPr>
                <w:lang w:val="es-ES"/>
              </w:rPr>
            </w:pPr>
            <w:r w:rsidRPr="0088089B">
              <w:rPr>
                <w:lang w:val="es-ES"/>
              </w:rPr>
              <w:fldChar w:fldCharType="begin"/>
            </w:r>
            <w:r w:rsidRPr="0088089B">
              <w:rPr>
                <w:lang w:val="es-ES"/>
              </w:rPr>
              <w:instrText xml:space="preserve"> DOCPROPERTY "Document number"  \* MERGEFORMAT </w:instrText>
            </w:r>
            <w:r w:rsidRPr="0088089B">
              <w:rPr>
                <w:lang w:val="es-ES"/>
              </w:rPr>
              <w:fldChar w:fldCharType="separate"/>
            </w:r>
            <w:r w:rsidR="00055977">
              <w:rPr>
                <w:lang w:val="es-ES"/>
              </w:rPr>
              <w:t>UNEP/OzL.Pro/ExCom/87/40</w:t>
            </w:r>
            <w:r w:rsidRPr="0088089B">
              <w:rPr>
                <w:lang w:val="es-ES"/>
              </w:rPr>
              <w:fldChar w:fldCharType="end"/>
            </w:r>
          </w:p>
          <w:p w14:paraId="78F52445" w14:textId="6653EA42" w:rsidR="002959B4" w:rsidRPr="0088089B" w:rsidRDefault="002959B4" w:rsidP="0088089B">
            <w:pPr>
              <w:rPr>
                <w:lang w:val="es-ES"/>
              </w:rPr>
            </w:pPr>
            <w:r w:rsidRPr="0088089B">
              <w:rPr>
                <w:lang w:val="es-ES"/>
              </w:rPr>
              <w:fldChar w:fldCharType="begin"/>
            </w:r>
            <w:r w:rsidRPr="0088089B">
              <w:rPr>
                <w:lang w:val="es-ES"/>
              </w:rPr>
              <w:instrText xml:space="preserve"> DOCPROPERTY "Revision date" \@ "d MMMM YYYY"  \* MERGEFORMAT </w:instrText>
            </w:r>
            <w:r w:rsidRPr="0088089B">
              <w:rPr>
                <w:lang w:val="es-ES"/>
              </w:rPr>
              <w:fldChar w:fldCharType="separate"/>
            </w:r>
            <w:r w:rsidR="001550CD" w:rsidRPr="0088089B">
              <w:rPr>
                <w:lang w:val="es-ES"/>
              </w:rPr>
              <w:t>11</w:t>
            </w:r>
            <w:r w:rsidRPr="0088089B">
              <w:rPr>
                <w:lang w:val="es-ES"/>
              </w:rPr>
              <w:t xml:space="preserve"> de </w:t>
            </w:r>
            <w:r w:rsidR="00E70EAE" w:rsidRPr="0088089B">
              <w:rPr>
                <w:lang w:val="es-ES"/>
              </w:rPr>
              <w:t>junio</w:t>
            </w:r>
            <w:r w:rsidRPr="0088089B">
              <w:rPr>
                <w:lang w:val="es-ES"/>
              </w:rPr>
              <w:t xml:space="preserve"> </w:t>
            </w:r>
            <w:r w:rsidR="004E2331" w:rsidRPr="0088089B">
              <w:rPr>
                <w:lang w:val="es-ES"/>
              </w:rPr>
              <w:t>de 20</w:t>
            </w:r>
            <w:r w:rsidRPr="0088089B">
              <w:rPr>
                <w:lang w:val="es-ES"/>
              </w:rPr>
              <w:t>21</w:t>
            </w:r>
            <w:r w:rsidRPr="0088089B">
              <w:rPr>
                <w:lang w:val="es-ES"/>
              </w:rPr>
              <w:fldChar w:fldCharType="end"/>
            </w:r>
          </w:p>
          <w:p w14:paraId="6F7D553D" w14:textId="77777777" w:rsidR="00114CAA" w:rsidRPr="0088089B" w:rsidRDefault="00114CAA" w:rsidP="0088089B">
            <w:pPr>
              <w:rPr>
                <w:caps/>
                <w:lang w:val="es-ES"/>
              </w:rPr>
            </w:pPr>
          </w:p>
          <w:p w14:paraId="363BEDD6" w14:textId="77777777" w:rsidR="0087455A" w:rsidRPr="0088089B" w:rsidRDefault="0024162E" w:rsidP="0088089B">
            <w:pPr>
              <w:rPr>
                <w:lang w:val="es-ES"/>
              </w:rPr>
            </w:pPr>
            <w:r w:rsidRPr="0088089B">
              <w:rPr>
                <w:lang w:val="es-ES"/>
              </w:rPr>
              <w:t xml:space="preserve">ESPAÑOL </w:t>
            </w:r>
          </w:p>
          <w:p w14:paraId="341FFB24" w14:textId="77777777" w:rsidR="0087455A" w:rsidRPr="0088089B" w:rsidRDefault="0024162E" w:rsidP="0088089B">
            <w:pPr>
              <w:rPr>
                <w:lang w:val="es-ES"/>
              </w:rPr>
            </w:pPr>
            <w:r w:rsidRPr="0088089B">
              <w:rPr>
                <w:lang w:val="es-ES"/>
              </w:rPr>
              <w:t>ORIGINAL: INGLÉS</w:t>
            </w:r>
          </w:p>
        </w:tc>
      </w:tr>
    </w:tbl>
    <w:p w14:paraId="01A140F7" w14:textId="77777777" w:rsidR="0087455A" w:rsidRPr="0088089B" w:rsidRDefault="0024162E" w:rsidP="0088089B">
      <w:pPr>
        <w:jc w:val="left"/>
        <w:rPr>
          <w:lang w:val="es-ES"/>
        </w:rPr>
      </w:pPr>
      <w:r w:rsidRPr="0088089B">
        <w:rPr>
          <w:lang w:val="es-ES"/>
        </w:rPr>
        <w:t>COMITÉ EJECUTIVO DEL FONDO MULTILATERAL</w:t>
      </w:r>
      <w:r w:rsidRPr="0088089B">
        <w:rPr>
          <w:lang w:val="es-ES"/>
        </w:rPr>
        <w:br/>
        <w:t xml:space="preserve">  PARA LA APLICACIÓN DEL</w:t>
      </w:r>
      <w:r w:rsidRPr="0088089B">
        <w:rPr>
          <w:lang w:val="es-ES"/>
        </w:rPr>
        <w:br/>
        <w:t xml:space="preserve">  PROTOCOLO DE MONTREAL</w:t>
      </w:r>
    </w:p>
    <w:p w14:paraId="58CF67E7" w14:textId="77777777" w:rsidR="0088089B" w:rsidRPr="0088089B" w:rsidRDefault="00106F6E" w:rsidP="0088089B">
      <w:pPr>
        <w:jc w:val="left"/>
        <w:rPr>
          <w:lang w:val="es-ES"/>
        </w:rPr>
      </w:pPr>
      <w:r w:rsidRPr="0088089B">
        <w:rPr>
          <w:lang w:val="es-ES"/>
        </w:rPr>
        <w:t xml:space="preserve">Octogésima </w:t>
      </w:r>
      <w:r w:rsidR="002959B4" w:rsidRPr="0088089B">
        <w:rPr>
          <w:lang w:val="es-ES"/>
        </w:rPr>
        <w:t>séptima</w:t>
      </w:r>
      <w:r w:rsidR="003863A4" w:rsidRPr="0088089B">
        <w:rPr>
          <w:lang w:val="es-ES"/>
        </w:rPr>
        <w:t xml:space="preserve"> Reunión</w:t>
      </w:r>
      <w:r w:rsidR="003863A4" w:rsidRPr="0088089B">
        <w:rPr>
          <w:lang w:val="es-ES"/>
        </w:rPr>
        <w:br/>
      </w:r>
      <w:r w:rsidR="0088089B" w:rsidRPr="0088089B">
        <w:rPr>
          <w:lang w:val="es-ES"/>
        </w:rPr>
        <w:t>Montreal, 28 de junio – 2 de julio de 2021</w:t>
      </w:r>
      <w:r w:rsidR="0088089B" w:rsidRPr="0088089B">
        <w:rPr>
          <w:rStyle w:val="FootnoteReference"/>
          <w:lang w:val="es-ES"/>
        </w:rPr>
        <w:footnoteReference w:id="1"/>
      </w:r>
    </w:p>
    <w:p w14:paraId="27D1F125" w14:textId="77777777" w:rsidR="0088089B" w:rsidRPr="0088089B" w:rsidRDefault="0088089B" w:rsidP="0088089B">
      <w:pPr>
        <w:jc w:val="left"/>
        <w:rPr>
          <w:lang w:val="es-ES"/>
        </w:rPr>
      </w:pPr>
    </w:p>
    <w:p w14:paraId="3C1CE552" w14:textId="77777777" w:rsidR="0088089B" w:rsidRPr="0088089B" w:rsidRDefault="0088089B" w:rsidP="0088089B">
      <w:pPr>
        <w:jc w:val="left"/>
        <w:rPr>
          <w:lang w:val="es-ES"/>
        </w:rPr>
      </w:pPr>
    </w:p>
    <w:p w14:paraId="3B963C34" w14:textId="77777777" w:rsidR="0088089B" w:rsidRPr="0088089B" w:rsidRDefault="0088089B" w:rsidP="0088089B">
      <w:pPr>
        <w:rPr>
          <w:lang w:val="es-ES"/>
        </w:rPr>
      </w:pPr>
    </w:p>
    <w:p w14:paraId="0D906053" w14:textId="77777777" w:rsidR="0088089B" w:rsidRPr="0088089B" w:rsidRDefault="0088089B" w:rsidP="0088089B">
      <w:pPr>
        <w:rPr>
          <w:lang w:val="es-ES"/>
        </w:rPr>
      </w:pPr>
    </w:p>
    <w:p w14:paraId="76CC03ED" w14:textId="25EF8A58" w:rsidR="0088089B" w:rsidRPr="0088089B" w:rsidRDefault="00055977" w:rsidP="0088089B">
      <w:pPr>
        <w:jc w:val="center"/>
        <w:rPr>
          <w:b/>
          <w:lang w:val="es-ES"/>
        </w:rPr>
      </w:pPr>
      <w:r>
        <w:rPr>
          <w:b/>
          <w:lang w:val="es-ES"/>
        </w:rPr>
        <w:t>PROPUESTA DE PROYECTO: VIET N</w:t>
      </w:r>
      <w:r w:rsidRPr="0088089B">
        <w:rPr>
          <w:b/>
          <w:lang w:val="es-ES"/>
        </w:rPr>
        <w:t>AM</w:t>
      </w:r>
    </w:p>
    <w:p w14:paraId="0BBF88A5" w14:textId="77777777" w:rsidR="0088089B" w:rsidRPr="0088089B" w:rsidRDefault="0088089B" w:rsidP="0088089B">
      <w:pPr>
        <w:rPr>
          <w:lang w:val="es-ES"/>
        </w:rPr>
      </w:pPr>
    </w:p>
    <w:p w14:paraId="4DE9EAFF" w14:textId="77777777" w:rsidR="0088089B" w:rsidRPr="0088089B" w:rsidRDefault="0088089B" w:rsidP="0088089B">
      <w:pPr>
        <w:rPr>
          <w:lang w:val="es-ES"/>
        </w:rPr>
      </w:pPr>
    </w:p>
    <w:p w14:paraId="21E9164D" w14:textId="77777777" w:rsidR="0088089B" w:rsidRPr="0088089B" w:rsidRDefault="0088089B" w:rsidP="0088089B">
      <w:pPr>
        <w:ind w:firstLine="720"/>
        <w:rPr>
          <w:lang w:val="es-ES"/>
        </w:rPr>
      </w:pPr>
      <w:r w:rsidRPr="0088089B">
        <w:rPr>
          <w:lang w:val="es-ES"/>
        </w:rPr>
        <w:t xml:space="preserve">El presente documento consta de las observaciones y la recomendación de la Secretaría sobre la propuesta de proyecto siguiente: </w:t>
      </w:r>
    </w:p>
    <w:p w14:paraId="06093D67" w14:textId="77777777" w:rsidR="0088089B" w:rsidRPr="0088089B" w:rsidRDefault="0088089B" w:rsidP="0088089B">
      <w:pPr>
        <w:ind w:firstLine="720"/>
        <w:rPr>
          <w:lang w:val="es-ES"/>
        </w:rPr>
      </w:pPr>
    </w:p>
    <w:p w14:paraId="2B853917" w14:textId="77777777" w:rsidR="0088089B" w:rsidRPr="0088089B" w:rsidRDefault="0088089B" w:rsidP="0088089B">
      <w:pPr>
        <w:rPr>
          <w:lang w:val="es-ES"/>
        </w:rPr>
      </w:pPr>
    </w:p>
    <w:p w14:paraId="30EBE253" w14:textId="77777777" w:rsidR="0088089B" w:rsidRPr="0088089B" w:rsidRDefault="0088089B" w:rsidP="0088089B">
      <w:pPr>
        <w:rPr>
          <w:u w:val="single"/>
          <w:lang w:val="es-ES"/>
        </w:rPr>
      </w:pPr>
      <w:r w:rsidRPr="0088089B">
        <w:rPr>
          <w:u w:val="single"/>
          <w:lang w:val="es-ES"/>
        </w:rPr>
        <w:t>Eliminación</w:t>
      </w:r>
    </w:p>
    <w:p w14:paraId="6456621E" w14:textId="77777777" w:rsidR="0088089B" w:rsidRPr="0088089B" w:rsidRDefault="0088089B" w:rsidP="0088089B">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88089B" w:rsidRPr="0088089B" w14:paraId="49E1CA7E" w14:textId="77777777" w:rsidTr="001E2274">
        <w:tc>
          <w:tcPr>
            <w:tcW w:w="6941" w:type="dxa"/>
          </w:tcPr>
          <w:p w14:paraId="60FEFC2D" w14:textId="77777777" w:rsidR="0088089B" w:rsidRPr="0088089B" w:rsidRDefault="0088089B" w:rsidP="0088089B">
            <w:pPr>
              <w:pStyle w:val="ListParagraph"/>
              <w:numPr>
                <w:ilvl w:val="0"/>
                <w:numId w:val="35"/>
              </w:numPr>
              <w:tabs>
                <w:tab w:val="clear" w:pos="1247"/>
                <w:tab w:val="clear" w:pos="1814"/>
                <w:tab w:val="clear" w:pos="2381"/>
                <w:tab w:val="clear" w:pos="2948"/>
                <w:tab w:val="clear" w:pos="3515"/>
              </w:tabs>
              <w:ind w:hanging="830"/>
              <w:jc w:val="both"/>
            </w:pPr>
            <w:r w:rsidRPr="0088089B">
              <w:t>Plan de gestión de la eliminación de los HCFC (etapa II, tercer tramo)</w:t>
            </w:r>
          </w:p>
        </w:tc>
        <w:tc>
          <w:tcPr>
            <w:tcW w:w="2409" w:type="dxa"/>
          </w:tcPr>
          <w:p w14:paraId="311D3E0A" w14:textId="77777777" w:rsidR="0088089B" w:rsidRPr="0088089B" w:rsidRDefault="0088089B" w:rsidP="0088089B">
            <w:pPr>
              <w:jc w:val="right"/>
              <w:rPr>
                <w:lang w:val="es-ES"/>
              </w:rPr>
            </w:pPr>
            <w:r w:rsidRPr="0088089B">
              <w:rPr>
                <w:lang w:val="es-ES"/>
              </w:rPr>
              <w:t>Banco Mundial y Japón</w:t>
            </w:r>
          </w:p>
        </w:tc>
      </w:tr>
    </w:tbl>
    <w:p w14:paraId="76221AD6" w14:textId="77777777" w:rsidR="0088089B" w:rsidRPr="0088089B" w:rsidRDefault="0088089B" w:rsidP="0088089B">
      <w:pPr>
        <w:rPr>
          <w:lang w:val="es-ES"/>
        </w:rPr>
      </w:pPr>
    </w:p>
    <w:p w14:paraId="156C867F" w14:textId="77777777" w:rsidR="0088089B" w:rsidRPr="0088089B" w:rsidRDefault="0088089B" w:rsidP="0088089B">
      <w:pPr>
        <w:rPr>
          <w:lang w:val="es-ES"/>
        </w:rPr>
      </w:pPr>
    </w:p>
    <w:p w14:paraId="7F706843" w14:textId="77777777" w:rsidR="0088089B" w:rsidRPr="0088089B" w:rsidRDefault="0088089B" w:rsidP="0088089B">
      <w:pPr>
        <w:rPr>
          <w:lang w:val="es-ES"/>
        </w:rPr>
      </w:pPr>
    </w:p>
    <w:p w14:paraId="165CC00A" w14:textId="77777777" w:rsidR="0088089B" w:rsidRPr="0088089B" w:rsidRDefault="0088089B" w:rsidP="0088089B">
      <w:pPr>
        <w:rPr>
          <w:lang w:val="es-ES"/>
        </w:rPr>
      </w:pPr>
      <w:r w:rsidRPr="0088089B">
        <w:rPr>
          <w:lang w:val="es-ES"/>
        </w:rPr>
        <w:br w:type="page"/>
      </w:r>
    </w:p>
    <w:p w14:paraId="7F3FF01C" w14:textId="77777777" w:rsidR="0088089B" w:rsidRPr="0088089B" w:rsidRDefault="0088089B" w:rsidP="0088089B">
      <w:pPr>
        <w:jc w:val="center"/>
        <w:rPr>
          <w:b/>
          <w:lang w:val="es-ES"/>
        </w:rPr>
      </w:pPr>
      <w:r w:rsidRPr="0088089B">
        <w:rPr>
          <w:b/>
          <w:lang w:val="es-ES"/>
        </w:rPr>
        <w:lastRenderedPageBreak/>
        <w:t>HOJA DE EVALUACIÓN DE PROYECTO – PROYECTOS PLURIANUALES</w:t>
      </w:r>
    </w:p>
    <w:p w14:paraId="52EB5004" w14:textId="77777777" w:rsidR="0088089B" w:rsidRPr="0088089B" w:rsidRDefault="0088089B" w:rsidP="0088089B">
      <w:pPr>
        <w:jc w:val="center"/>
        <w:rPr>
          <w:lang w:val="es-ES"/>
        </w:rPr>
      </w:pPr>
    </w:p>
    <w:p w14:paraId="28698E62" w14:textId="77777777" w:rsidR="0088089B" w:rsidRPr="0088089B" w:rsidRDefault="0088089B" w:rsidP="0088089B">
      <w:pPr>
        <w:jc w:val="center"/>
        <w:rPr>
          <w:lang w:val="es-ES"/>
        </w:rPr>
      </w:pPr>
      <w:r w:rsidRPr="0088089B">
        <w:rPr>
          <w:b/>
          <w:lang w:val="es-ES"/>
        </w:rPr>
        <w:t>Viet Nam</w:t>
      </w:r>
    </w:p>
    <w:p w14:paraId="748812C6" w14:textId="77777777" w:rsidR="0088089B" w:rsidRPr="0088089B" w:rsidRDefault="0088089B" w:rsidP="0088089B">
      <w:pPr>
        <w:jc w:val="center"/>
        <w:rPr>
          <w:lang w:val="es-ES"/>
        </w:rPr>
      </w:pPr>
    </w:p>
    <w:tbl>
      <w:tblPr>
        <w:tblStyle w:val="TableGrid"/>
        <w:tblW w:w="10885" w:type="dxa"/>
        <w:jc w:val="center"/>
        <w:tblLook w:val="04A0" w:firstRow="1" w:lastRow="0" w:firstColumn="1" w:lastColumn="0" w:noHBand="0" w:noVBand="1"/>
      </w:tblPr>
      <w:tblGrid>
        <w:gridCol w:w="3539"/>
        <w:gridCol w:w="2216"/>
        <w:gridCol w:w="2880"/>
        <w:gridCol w:w="2250"/>
      </w:tblGrid>
      <w:tr w:rsidR="0088089B" w:rsidRPr="00055977" w14:paraId="7E1031B4" w14:textId="77777777" w:rsidTr="00055977">
        <w:trPr>
          <w:trHeight w:val="240"/>
          <w:jc w:val="center"/>
        </w:trPr>
        <w:tc>
          <w:tcPr>
            <w:tcW w:w="3539" w:type="dxa"/>
            <w:shd w:val="clear" w:color="auto" w:fill="auto"/>
          </w:tcPr>
          <w:p w14:paraId="23453995" w14:textId="77777777" w:rsidR="0088089B" w:rsidRPr="00055977" w:rsidRDefault="0088089B" w:rsidP="0088089B">
            <w:pPr>
              <w:spacing w:after="80"/>
              <w:jc w:val="left"/>
              <w:rPr>
                <w:b/>
                <w:sz w:val="18"/>
                <w:szCs w:val="18"/>
                <w:lang w:val="es-ES"/>
              </w:rPr>
            </w:pPr>
            <w:r w:rsidRPr="00055977">
              <w:rPr>
                <w:b/>
                <w:sz w:val="18"/>
                <w:szCs w:val="18"/>
                <w:lang w:val="es-ES"/>
              </w:rPr>
              <w:t>I) TÍTULO DEL PROYECTO</w:t>
            </w:r>
          </w:p>
        </w:tc>
        <w:tc>
          <w:tcPr>
            <w:tcW w:w="2216" w:type="dxa"/>
            <w:shd w:val="clear" w:color="auto" w:fill="auto"/>
          </w:tcPr>
          <w:p w14:paraId="31BEC227" w14:textId="77777777" w:rsidR="0088089B" w:rsidRPr="00055977" w:rsidRDefault="0088089B" w:rsidP="0088089B">
            <w:pPr>
              <w:spacing w:after="80"/>
              <w:jc w:val="center"/>
              <w:rPr>
                <w:b/>
                <w:sz w:val="18"/>
                <w:szCs w:val="18"/>
                <w:lang w:val="es-ES"/>
              </w:rPr>
            </w:pPr>
            <w:r w:rsidRPr="00055977">
              <w:rPr>
                <w:b/>
                <w:sz w:val="18"/>
                <w:szCs w:val="18"/>
                <w:lang w:val="es-ES"/>
              </w:rPr>
              <w:t>ORGANISMO</w:t>
            </w:r>
          </w:p>
        </w:tc>
        <w:tc>
          <w:tcPr>
            <w:tcW w:w="2880" w:type="dxa"/>
            <w:shd w:val="clear" w:color="auto" w:fill="auto"/>
          </w:tcPr>
          <w:p w14:paraId="7E2B0E68" w14:textId="77777777" w:rsidR="0088089B" w:rsidRPr="00055977" w:rsidRDefault="0088089B" w:rsidP="0088089B">
            <w:pPr>
              <w:spacing w:after="80"/>
              <w:jc w:val="center"/>
              <w:rPr>
                <w:b/>
                <w:sz w:val="18"/>
                <w:szCs w:val="18"/>
                <w:lang w:val="es-ES"/>
              </w:rPr>
            </w:pPr>
            <w:r w:rsidRPr="00055977">
              <w:rPr>
                <w:b/>
                <w:sz w:val="18"/>
                <w:szCs w:val="18"/>
                <w:lang w:val="es-ES"/>
              </w:rPr>
              <w:t>APROBADO EN LA REUNIÓN</w:t>
            </w:r>
          </w:p>
        </w:tc>
        <w:tc>
          <w:tcPr>
            <w:tcW w:w="2250" w:type="dxa"/>
            <w:shd w:val="clear" w:color="auto" w:fill="auto"/>
          </w:tcPr>
          <w:p w14:paraId="54D4AD7B" w14:textId="77777777" w:rsidR="0088089B" w:rsidRPr="00055977" w:rsidRDefault="0088089B" w:rsidP="0088089B">
            <w:pPr>
              <w:spacing w:after="80"/>
              <w:jc w:val="center"/>
              <w:rPr>
                <w:b/>
                <w:sz w:val="18"/>
                <w:szCs w:val="18"/>
                <w:lang w:val="es-ES"/>
              </w:rPr>
            </w:pPr>
            <w:r w:rsidRPr="00055977">
              <w:rPr>
                <w:b/>
                <w:sz w:val="18"/>
                <w:szCs w:val="18"/>
                <w:lang w:val="es-ES"/>
              </w:rPr>
              <w:t>MEDIDA DE CONTROL</w:t>
            </w:r>
          </w:p>
        </w:tc>
      </w:tr>
      <w:tr w:rsidR="0088089B" w:rsidRPr="00055977" w14:paraId="56DE7A41" w14:textId="77777777" w:rsidTr="00055977">
        <w:trPr>
          <w:trHeight w:val="240"/>
          <w:jc w:val="center"/>
        </w:trPr>
        <w:tc>
          <w:tcPr>
            <w:tcW w:w="3539" w:type="dxa"/>
            <w:shd w:val="clear" w:color="auto" w:fill="auto"/>
          </w:tcPr>
          <w:p w14:paraId="4E4FC76B" w14:textId="77777777" w:rsidR="0088089B" w:rsidRPr="00055977" w:rsidRDefault="0088089B" w:rsidP="0088089B">
            <w:pPr>
              <w:spacing w:after="80"/>
              <w:jc w:val="center"/>
              <w:rPr>
                <w:sz w:val="18"/>
                <w:szCs w:val="18"/>
                <w:lang w:val="es-ES"/>
              </w:rPr>
            </w:pPr>
            <w:r w:rsidRPr="00055977">
              <w:rPr>
                <w:sz w:val="18"/>
                <w:szCs w:val="18"/>
                <w:lang w:val="es-ES"/>
              </w:rPr>
              <w:t>Plan de gestión de la eliminación de los HCFC (etapa II)</w:t>
            </w:r>
          </w:p>
        </w:tc>
        <w:tc>
          <w:tcPr>
            <w:tcW w:w="2216" w:type="dxa"/>
            <w:shd w:val="clear" w:color="auto" w:fill="auto"/>
          </w:tcPr>
          <w:p w14:paraId="65A2259E" w14:textId="77777777" w:rsidR="0088089B" w:rsidRPr="00055977" w:rsidRDefault="0088089B" w:rsidP="0088089B">
            <w:pPr>
              <w:spacing w:after="80"/>
              <w:jc w:val="center"/>
              <w:rPr>
                <w:sz w:val="18"/>
                <w:szCs w:val="18"/>
                <w:lang w:val="es-ES"/>
              </w:rPr>
            </w:pPr>
            <w:r w:rsidRPr="00055977">
              <w:rPr>
                <w:sz w:val="18"/>
                <w:szCs w:val="18"/>
                <w:lang w:val="es-ES"/>
              </w:rPr>
              <w:t>Banco Mundial (principal), Japón</w:t>
            </w:r>
          </w:p>
        </w:tc>
        <w:tc>
          <w:tcPr>
            <w:tcW w:w="2880" w:type="dxa"/>
            <w:shd w:val="clear" w:color="auto" w:fill="auto"/>
          </w:tcPr>
          <w:p w14:paraId="1889FEC2" w14:textId="77777777" w:rsidR="0088089B" w:rsidRPr="00055977" w:rsidRDefault="0088089B" w:rsidP="0088089B">
            <w:pPr>
              <w:spacing w:after="80"/>
              <w:jc w:val="center"/>
              <w:rPr>
                <w:sz w:val="18"/>
                <w:szCs w:val="18"/>
                <w:lang w:val="es-ES"/>
              </w:rPr>
            </w:pPr>
            <w:r w:rsidRPr="00055977">
              <w:rPr>
                <w:sz w:val="18"/>
                <w:szCs w:val="18"/>
                <w:lang w:val="es-ES"/>
              </w:rPr>
              <w:t>63</w:t>
            </w:r>
            <w:r w:rsidRPr="00055977">
              <w:rPr>
                <w:sz w:val="18"/>
                <w:szCs w:val="18"/>
                <w:vertAlign w:val="superscript"/>
                <w:lang w:val="es-ES"/>
              </w:rPr>
              <w:t>a</w:t>
            </w:r>
          </w:p>
        </w:tc>
        <w:tc>
          <w:tcPr>
            <w:tcW w:w="2250" w:type="dxa"/>
            <w:shd w:val="clear" w:color="auto" w:fill="auto"/>
          </w:tcPr>
          <w:p w14:paraId="00FF2296" w14:textId="77777777" w:rsidR="0088089B" w:rsidRPr="00055977" w:rsidRDefault="0088089B" w:rsidP="0088089B">
            <w:pPr>
              <w:spacing w:after="80"/>
              <w:jc w:val="center"/>
              <w:rPr>
                <w:sz w:val="18"/>
                <w:szCs w:val="18"/>
                <w:lang w:val="es-ES"/>
              </w:rPr>
            </w:pPr>
            <w:r w:rsidRPr="00055977">
              <w:rPr>
                <w:sz w:val="18"/>
                <w:szCs w:val="18"/>
                <w:lang w:val="es-ES"/>
              </w:rPr>
              <w:t>28% para 2021</w:t>
            </w:r>
          </w:p>
        </w:tc>
      </w:tr>
    </w:tbl>
    <w:p w14:paraId="3004FE6F" w14:textId="77777777" w:rsidR="0088089B" w:rsidRPr="00055977" w:rsidRDefault="0088089B" w:rsidP="0088089B">
      <w:pPr>
        <w:spacing w:after="60"/>
        <w:jc w:val="center"/>
        <w:rPr>
          <w:sz w:val="10"/>
          <w:szCs w:val="18"/>
          <w:lang w:val="es-ES"/>
        </w:rPr>
      </w:pPr>
    </w:p>
    <w:tbl>
      <w:tblPr>
        <w:tblStyle w:val="TableGrid"/>
        <w:tblW w:w="10902" w:type="dxa"/>
        <w:jc w:val="center"/>
        <w:tblLook w:val="04A0" w:firstRow="1" w:lastRow="0" w:firstColumn="1" w:lastColumn="0" w:noHBand="0" w:noVBand="1"/>
      </w:tblPr>
      <w:tblGrid>
        <w:gridCol w:w="7105"/>
        <w:gridCol w:w="1620"/>
        <w:gridCol w:w="2177"/>
      </w:tblGrid>
      <w:tr w:rsidR="0088089B" w:rsidRPr="00055977" w14:paraId="4F4C10BE" w14:textId="77777777" w:rsidTr="00055977">
        <w:trPr>
          <w:trHeight w:val="240"/>
          <w:jc w:val="center"/>
        </w:trPr>
        <w:tc>
          <w:tcPr>
            <w:tcW w:w="7105" w:type="dxa"/>
            <w:shd w:val="clear" w:color="auto" w:fill="auto"/>
          </w:tcPr>
          <w:p w14:paraId="4AA1C011" w14:textId="77777777" w:rsidR="0088089B" w:rsidRPr="00055977" w:rsidRDefault="0088089B" w:rsidP="0088089B">
            <w:pPr>
              <w:spacing w:after="60"/>
              <w:jc w:val="left"/>
              <w:rPr>
                <w:b/>
                <w:sz w:val="18"/>
                <w:szCs w:val="18"/>
                <w:lang w:val="es-ES"/>
              </w:rPr>
            </w:pPr>
            <w:r w:rsidRPr="00055977">
              <w:rPr>
                <w:b/>
                <w:sz w:val="18"/>
                <w:szCs w:val="18"/>
                <w:lang w:val="es-ES"/>
              </w:rPr>
              <w:t>II) DATOS MÁS RECIENTES CON ARREGLO AL ARTÍCULO 7 (Anexo C, Grupo l)</w:t>
            </w:r>
          </w:p>
        </w:tc>
        <w:tc>
          <w:tcPr>
            <w:tcW w:w="1620" w:type="dxa"/>
            <w:shd w:val="clear" w:color="auto" w:fill="auto"/>
          </w:tcPr>
          <w:p w14:paraId="3A521A8D" w14:textId="77777777" w:rsidR="0088089B" w:rsidRPr="00055977" w:rsidRDefault="0088089B" w:rsidP="0088089B">
            <w:pPr>
              <w:spacing w:after="60"/>
              <w:jc w:val="center"/>
              <w:rPr>
                <w:sz w:val="18"/>
                <w:szCs w:val="18"/>
                <w:lang w:val="es-ES"/>
              </w:rPr>
            </w:pPr>
            <w:r w:rsidRPr="00055977">
              <w:rPr>
                <w:sz w:val="18"/>
                <w:szCs w:val="18"/>
                <w:lang w:val="es-ES"/>
              </w:rPr>
              <w:t>Año: 2019</w:t>
            </w:r>
          </w:p>
        </w:tc>
        <w:tc>
          <w:tcPr>
            <w:tcW w:w="2177" w:type="dxa"/>
            <w:shd w:val="clear" w:color="auto" w:fill="auto"/>
          </w:tcPr>
          <w:p w14:paraId="7AD16CE9" w14:textId="77777777" w:rsidR="0088089B" w:rsidRPr="00055977" w:rsidRDefault="0088089B" w:rsidP="0088089B">
            <w:pPr>
              <w:spacing w:after="60"/>
              <w:jc w:val="right"/>
              <w:rPr>
                <w:sz w:val="18"/>
                <w:szCs w:val="18"/>
                <w:lang w:val="es-ES"/>
              </w:rPr>
            </w:pPr>
            <w:r w:rsidRPr="00055977">
              <w:rPr>
                <w:sz w:val="18"/>
                <w:szCs w:val="18"/>
                <w:lang w:val="es-ES"/>
              </w:rPr>
              <w:t>197,55 (toneladas PAO)</w:t>
            </w:r>
          </w:p>
        </w:tc>
      </w:tr>
    </w:tbl>
    <w:p w14:paraId="342B2AA8" w14:textId="77777777" w:rsidR="0088089B" w:rsidRPr="00055977" w:rsidRDefault="0088089B" w:rsidP="0088089B">
      <w:pPr>
        <w:spacing w:after="60"/>
        <w:jc w:val="center"/>
        <w:rPr>
          <w:sz w:val="10"/>
          <w:szCs w:val="18"/>
          <w:lang w:val="es-ES"/>
        </w:rPr>
      </w:pPr>
    </w:p>
    <w:tbl>
      <w:tblPr>
        <w:tblStyle w:val="TableGrid"/>
        <w:tblW w:w="11087" w:type="dxa"/>
        <w:jc w:val="center"/>
        <w:tblLook w:val="04A0" w:firstRow="1" w:lastRow="0" w:firstColumn="1" w:lastColumn="0" w:noHBand="0" w:noVBand="1"/>
      </w:tblPr>
      <w:tblGrid>
        <w:gridCol w:w="1560"/>
        <w:gridCol w:w="936"/>
        <w:gridCol w:w="866"/>
        <w:gridCol w:w="1721"/>
        <w:gridCol w:w="1066"/>
        <w:gridCol w:w="1296"/>
        <w:gridCol w:w="1066"/>
        <w:gridCol w:w="846"/>
        <w:gridCol w:w="611"/>
        <w:gridCol w:w="1119"/>
      </w:tblGrid>
      <w:tr w:rsidR="0088089B" w:rsidRPr="00055977" w14:paraId="7D692713" w14:textId="77777777" w:rsidTr="00055977">
        <w:trPr>
          <w:trHeight w:val="240"/>
          <w:jc w:val="center"/>
        </w:trPr>
        <w:tc>
          <w:tcPr>
            <w:tcW w:w="9290" w:type="dxa"/>
            <w:gridSpan w:val="8"/>
            <w:shd w:val="clear" w:color="auto" w:fill="auto"/>
          </w:tcPr>
          <w:p w14:paraId="77103C81" w14:textId="77777777" w:rsidR="0088089B" w:rsidRPr="00055977" w:rsidRDefault="0088089B" w:rsidP="0088089B">
            <w:pPr>
              <w:spacing w:after="60"/>
              <w:jc w:val="left"/>
              <w:rPr>
                <w:b/>
                <w:sz w:val="18"/>
                <w:szCs w:val="18"/>
                <w:lang w:val="es-ES"/>
              </w:rPr>
            </w:pPr>
            <w:r w:rsidRPr="00055977">
              <w:rPr>
                <w:b/>
                <w:sz w:val="18"/>
                <w:szCs w:val="18"/>
                <w:lang w:val="es-ES"/>
              </w:rPr>
              <w:t>III) DATOS SECTORIALES DEL PROGRAMA DE PAÍS MÁS RECIENTES (toneladas PAO)</w:t>
            </w:r>
          </w:p>
        </w:tc>
        <w:tc>
          <w:tcPr>
            <w:tcW w:w="1797" w:type="dxa"/>
            <w:gridSpan w:val="2"/>
            <w:shd w:val="clear" w:color="auto" w:fill="auto"/>
          </w:tcPr>
          <w:p w14:paraId="44EE1A06" w14:textId="77777777" w:rsidR="0088089B" w:rsidRPr="00055977" w:rsidRDefault="0088089B" w:rsidP="0088089B">
            <w:pPr>
              <w:spacing w:after="60"/>
              <w:jc w:val="right"/>
              <w:rPr>
                <w:b/>
                <w:sz w:val="18"/>
                <w:szCs w:val="18"/>
                <w:lang w:val="es-ES"/>
              </w:rPr>
            </w:pPr>
            <w:r w:rsidRPr="00055977">
              <w:rPr>
                <w:b/>
                <w:sz w:val="18"/>
                <w:szCs w:val="18"/>
                <w:lang w:val="es-ES"/>
              </w:rPr>
              <w:t>Año: 2020</w:t>
            </w:r>
          </w:p>
        </w:tc>
      </w:tr>
      <w:tr w:rsidR="0088089B" w:rsidRPr="00055977" w14:paraId="081C4B4E" w14:textId="77777777" w:rsidTr="00055977">
        <w:trPr>
          <w:trHeight w:val="240"/>
          <w:jc w:val="center"/>
        </w:trPr>
        <w:tc>
          <w:tcPr>
            <w:tcW w:w="1636" w:type="dxa"/>
            <w:shd w:val="clear" w:color="auto" w:fill="auto"/>
          </w:tcPr>
          <w:p w14:paraId="460D0E5F" w14:textId="77777777" w:rsidR="0088089B" w:rsidRPr="00055977" w:rsidRDefault="0088089B" w:rsidP="0088089B">
            <w:pPr>
              <w:spacing w:after="60"/>
              <w:jc w:val="center"/>
              <w:rPr>
                <w:sz w:val="18"/>
                <w:szCs w:val="18"/>
                <w:lang w:val="es-ES"/>
              </w:rPr>
            </w:pPr>
            <w:r w:rsidRPr="00055977">
              <w:rPr>
                <w:sz w:val="18"/>
                <w:szCs w:val="18"/>
                <w:lang w:val="es-ES"/>
              </w:rPr>
              <w:t>Sustancia química</w:t>
            </w:r>
          </w:p>
        </w:tc>
        <w:tc>
          <w:tcPr>
            <w:tcW w:w="936" w:type="dxa"/>
            <w:shd w:val="clear" w:color="auto" w:fill="auto"/>
          </w:tcPr>
          <w:p w14:paraId="7DED1FC2" w14:textId="77777777" w:rsidR="0088089B" w:rsidRPr="00055977" w:rsidRDefault="0088089B" w:rsidP="0088089B">
            <w:pPr>
              <w:spacing w:after="60"/>
              <w:jc w:val="center"/>
              <w:rPr>
                <w:sz w:val="18"/>
                <w:szCs w:val="18"/>
                <w:lang w:val="es-ES"/>
              </w:rPr>
            </w:pPr>
            <w:r w:rsidRPr="00055977">
              <w:rPr>
                <w:sz w:val="18"/>
                <w:szCs w:val="18"/>
                <w:lang w:val="es-ES"/>
              </w:rPr>
              <w:t>Aerosoles</w:t>
            </w:r>
          </w:p>
        </w:tc>
        <w:tc>
          <w:tcPr>
            <w:tcW w:w="866" w:type="dxa"/>
            <w:shd w:val="clear" w:color="auto" w:fill="auto"/>
          </w:tcPr>
          <w:p w14:paraId="0CE86019" w14:textId="77777777" w:rsidR="0088089B" w:rsidRPr="00055977" w:rsidRDefault="0088089B" w:rsidP="0088089B">
            <w:pPr>
              <w:spacing w:after="60"/>
              <w:jc w:val="center"/>
              <w:rPr>
                <w:sz w:val="18"/>
                <w:szCs w:val="18"/>
                <w:lang w:val="es-ES"/>
              </w:rPr>
            </w:pPr>
            <w:r w:rsidRPr="00055977">
              <w:rPr>
                <w:sz w:val="18"/>
                <w:szCs w:val="18"/>
                <w:lang w:val="es-ES"/>
              </w:rPr>
              <w:t>Espumas</w:t>
            </w:r>
          </w:p>
        </w:tc>
        <w:tc>
          <w:tcPr>
            <w:tcW w:w="0" w:type="auto"/>
            <w:shd w:val="clear" w:color="auto" w:fill="auto"/>
          </w:tcPr>
          <w:p w14:paraId="49BB540E" w14:textId="77777777" w:rsidR="0088089B" w:rsidRPr="00055977" w:rsidRDefault="0088089B" w:rsidP="0088089B">
            <w:pPr>
              <w:spacing w:after="60"/>
              <w:jc w:val="center"/>
              <w:rPr>
                <w:sz w:val="18"/>
                <w:szCs w:val="18"/>
                <w:lang w:val="es-ES"/>
              </w:rPr>
            </w:pPr>
            <w:r w:rsidRPr="00055977">
              <w:rPr>
                <w:sz w:val="18"/>
                <w:szCs w:val="18"/>
                <w:lang w:val="es-ES"/>
              </w:rPr>
              <w:t>Lucha contra incendios</w:t>
            </w:r>
          </w:p>
        </w:tc>
        <w:tc>
          <w:tcPr>
            <w:tcW w:w="0" w:type="auto"/>
            <w:gridSpan w:val="2"/>
            <w:shd w:val="clear" w:color="auto" w:fill="auto"/>
          </w:tcPr>
          <w:p w14:paraId="32948709" w14:textId="77777777" w:rsidR="0088089B" w:rsidRPr="00055977" w:rsidRDefault="0088089B" w:rsidP="0088089B">
            <w:pPr>
              <w:spacing w:after="60"/>
              <w:jc w:val="center"/>
              <w:rPr>
                <w:sz w:val="18"/>
                <w:szCs w:val="18"/>
                <w:lang w:val="es-ES"/>
              </w:rPr>
            </w:pPr>
            <w:r w:rsidRPr="00055977">
              <w:rPr>
                <w:sz w:val="18"/>
                <w:szCs w:val="18"/>
                <w:lang w:val="es-ES"/>
              </w:rPr>
              <w:t>Refrigeración</w:t>
            </w:r>
          </w:p>
        </w:tc>
        <w:tc>
          <w:tcPr>
            <w:tcW w:w="0" w:type="auto"/>
            <w:shd w:val="clear" w:color="auto" w:fill="auto"/>
          </w:tcPr>
          <w:p w14:paraId="070D37F8" w14:textId="77777777" w:rsidR="0088089B" w:rsidRPr="00055977" w:rsidRDefault="0088089B" w:rsidP="0088089B">
            <w:pPr>
              <w:spacing w:after="60"/>
              <w:jc w:val="center"/>
              <w:rPr>
                <w:sz w:val="18"/>
                <w:szCs w:val="18"/>
                <w:lang w:val="es-ES"/>
              </w:rPr>
            </w:pPr>
            <w:r w:rsidRPr="00055977">
              <w:rPr>
                <w:sz w:val="18"/>
                <w:szCs w:val="18"/>
                <w:lang w:val="es-ES"/>
              </w:rPr>
              <w:t>Disolventes</w:t>
            </w:r>
          </w:p>
        </w:tc>
        <w:tc>
          <w:tcPr>
            <w:tcW w:w="0" w:type="auto"/>
            <w:shd w:val="clear" w:color="auto" w:fill="auto"/>
          </w:tcPr>
          <w:p w14:paraId="2128D473" w14:textId="77777777" w:rsidR="0088089B" w:rsidRPr="00055977" w:rsidRDefault="0088089B" w:rsidP="0088089B">
            <w:pPr>
              <w:spacing w:after="60"/>
              <w:jc w:val="center"/>
              <w:rPr>
                <w:sz w:val="18"/>
                <w:szCs w:val="18"/>
                <w:lang w:val="es-ES"/>
              </w:rPr>
            </w:pPr>
            <w:r w:rsidRPr="00055977">
              <w:rPr>
                <w:sz w:val="18"/>
                <w:szCs w:val="18"/>
                <w:lang w:val="es-ES"/>
              </w:rPr>
              <w:t>Agentes de procesos</w:t>
            </w:r>
          </w:p>
        </w:tc>
        <w:tc>
          <w:tcPr>
            <w:tcW w:w="633" w:type="dxa"/>
            <w:shd w:val="clear" w:color="auto" w:fill="auto"/>
          </w:tcPr>
          <w:p w14:paraId="366B11D3" w14:textId="77777777" w:rsidR="0088089B" w:rsidRPr="00055977" w:rsidRDefault="0088089B" w:rsidP="0088089B">
            <w:pPr>
              <w:spacing w:after="60"/>
              <w:jc w:val="center"/>
              <w:rPr>
                <w:sz w:val="18"/>
                <w:szCs w:val="18"/>
                <w:lang w:val="es-ES"/>
              </w:rPr>
            </w:pPr>
            <w:r w:rsidRPr="00055977">
              <w:rPr>
                <w:sz w:val="18"/>
                <w:szCs w:val="18"/>
                <w:lang w:val="es-ES"/>
              </w:rPr>
              <w:t>Uso en lab.</w:t>
            </w:r>
          </w:p>
        </w:tc>
        <w:tc>
          <w:tcPr>
            <w:tcW w:w="1164" w:type="dxa"/>
            <w:shd w:val="clear" w:color="auto" w:fill="auto"/>
          </w:tcPr>
          <w:p w14:paraId="4497A185" w14:textId="77777777" w:rsidR="0088089B" w:rsidRPr="00055977" w:rsidRDefault="0088089B" w:rsidP="0088089B">
            <w:pPr>
              <w:spacing w:after="60"/>
              <w:jc w:val="center"/>
              <w:rPr>
                <w:sz w:val="18"/>
                <w:szCs w:val="18"/>
                <w:lang w:val="es-ES"/>
              </w:rPr>
            </w:pPr>
            <w:r w:rsidRPr="00055977">
              <w:rPr>
                <w:sz w:val="18"/>
                <w:szCs w:val="18"/>
                <w:lang w:val="es-ES"/>
              </w:rPr>
              <w:t>Consumo total del sector</w:t>
            </w:r>
          </w:p>
        </w:tc>
      </w:tr>
      <w:tr w:rsidR="0088089B" w:rsidRPr="00055977" w14:paraId="7C42C95D" w14:textId="77777777" w:rsidTr="00055977">
        <w:trPr>
          <w:trHeight w:val="240"/>
          <w:jc w:val="center"/>
        </w:trPr>
        <w:tc>
          <w:tcPr>
            <w:tcW w:w="5016" w:type="dxa"/>
            <w:gridSpan w:val="4"/>
            <w:shd w:val="clear" w:color="auto" w:fill="auto"/>
          </w:tcPr>
          <w:p w14:paraId="40819699" w14:textId="77777777" w:rsidR="0088089B" w:rsidRPr="00055977" w:rsidRDefault="0088089B" w:rsidP="0088089B">
            <w:pPr>
              <w:spacing w:after="60"/>
              <w:jc w:val="center"/>
              <w:rPr>
                <w:sz w:val="18"/>
                <w:szCs w:val="18"/>
                <w:lang w:val="es-ES"/>
              </w:rPr>
            </w:pPr>
            <w:r w:rsidRPr="00055977">
              <w:rPr>
                <w:sz w:val="18"/>
                <w:szCs w:val="18"/>
                <w:lang w:val="es-ES"/>
              </w:rPr>
              <w:t xml:space="preserve"> </w:t>
            </w:r>
          </w:p>
        </w:tc>
        <w:tc>
          <w:tcPr>
            <w:tcW w:w="0" w:type="auto"/>
            <w:shd w:val="clear" w:color="auto" w:fill="auto"/>
          </w:tcPr>
          <w:p w14:paraId="467B4C50" w14:textId="77777777" w:rsidR="0088089B" w:rsidRPr="00055977" w:rsidRDefault="0088089B" w:rsidP="0088089B">
            <w:pPr>
              <w:spacing w:after="60"/>
              <w:jc w:val="center"/>
              <w:rPr>
                <w:sz w:val="18"/>
                <w:szCs w:val="18"/>
                <w:lang w:val="es-ES"/>
              </w:rPr>
            </w:pPr>
            <w:r w:rsidRPr="00055977">
              <w:rPr>
                <w:sz w:val="18"/>
                <w:szCs w:val="18"/>
                <w:lang w:val="es-ES"/>
              </w:rPr>
              <w:t>Fabricación</w:t>
            </w:r>
          </w:p>
        </w:tc>
        <w:tc>
          <w:tcPr>
            <w:tcW w:w="0" w:type="auto"/>
            <w:shd w:val="clear" w:color="auto" w:fill="auto"/>
          </w:tcPr>
          <w:p w14:paraId="032B8603" w14:textId="77777777" w:rsidR="0088089B" w:rsidRPr="00055977" w:rsidRDefault="0088089B" w:rsidP="0088089B">
            <w:pPr>
              <w:spacing w:after="60"/>
              <w:jc w:val="center"/>
              <w:rPr>
                <w:sz w:val="18"/>
                <w:szCs w:val="18"/>
                <w:lang w:val="es-ES"/>
              </w:rPr>
            </w:pPr>
            <w:r w:rsidRPr="00055977">
              <w:rPr>
                <w:sz w:val="18"/>
                <w:szCs w:val="18"/>
                <w:lang w:val="es-ES"/>
              </w:rPr>
              <w:t>Servicio y mantenimiento</w:t>
            </w:r>
          </w:p>
        </w:tc>
        <w:tc>
          <w:tcPr>
            <w:tcW w:w="3709" w:type="dxa"/>
            <w:gridSpan w:val="4"/>
            <w:shd w:val="clear" w:color="auto" w:fill="auto"/>
          </w:tcPr>
          <w:p w14:paraId="37C0D89D" w14:textId="77777777" w:rsidR="0088089B" w:rsidRPr="00055977" w:rsidRDefault="0088089B" w:rsidP="0088089B">
            <w:pPr>
              <w:spacing w:after="60"/>
              <w:jc w:val="center"/>
              <w:rPr>
                <w:sz w:val="18"/>
                <w:szCs w:val="18"/>
                <w:lang w:val="es-ES"/>
              </w:rPr>
            </w:pPr>
          </w:p>
        </w:tc>
      </w:tr>
      <w:tr w:rsidR="0088089B" w:rsidRPr="00055977" w14:paraId="6AD80AC7" w14:textId="77777777" w:rsidTr="00055977">
        <w:trPr>
          <w:trHeight w:val="240"/>
          <w:jc w:val="center"/>
        </w:trPr>
        <w:tc>
          <w:tcPr>
            <w:tcW w:w="1636" w:type="dxa"/>
            <w:shd w:val="clear" w:color="auto" w:fill="auto"/>
          </w:tcPr>
          <w:p w14:paraId="2933ECD2" w14:textId="08BE60AD" w:rsidR="0088089B" w:rsidRPr="00055977" w:rsidRDefault="0088089B" w:rsidP="0088089B">
            <w:pPr>
              <w:spacing w:after="60"/>
              <w:jc w:val="left"/>
              <w:rPr>
                <w:sz w:val="18"/>
                <w:szCs w:val="18"/>
                <w:lang w:val="es-ES"/>
              </w:rPr>
            </w:pPr>
            <w:r w:rsidRPr="00055977">
              <w:rPr>
                <w:sz w:val="18"/>
                <w:szCs w:val="18"/>
                <w:lang w:val="es-ES"/>
              </w:rPr>
              <w:t>HCFC</w:t>
            </w:r>
            <w:r w:rsidRPr="00055977">
              <w:rPr>
                <w:sz w:val="18"/>
                <w:szCs w:val="18"/>
                <w:lang w:val="es-ES"/>
              </w:rPr>
              <w:noBreakHyphen/>
              <w:t>22</w:t>
            </w:r>
          </w:p>
        </w:tc>
        <w:tc>
          <w:tcPr>
            <w:tcW w:w="936" w:type="dxa"/>
            <w:shd w:val="clear" w:color="auto" w:fill="auto"/>
          </w:tcPr>
          <w:p w14:paraId="48110DD4" w14:textId="77777777" w:rsidR="0088089B" w:rsidRPr="00055977" w:rsidRDefault="0088089B" w:rsidP="0088089B">
            <w:pPr>
              <w:spacing w:after="60"/>
              <w:jc w:val="right"/>
              <w:rPr>
                <w:sz w:val="18"/>
                <w:szCs w:val="18"/>
                <w:lang w:val="es-ES"/>
              </w:rPr>
            </w:pPr>
          </w:p>
        </w:tc>
        <w:tc>
          <w:tcPr>
            <w:tcW w:w="866" w:type="dxa"/>
            <w:shd w:val="clear" w:color="auto" w:fill="auto"/>
          </w:tcPr>
          <w:p w14:paraId="514C5A2D" w14:textId="77777777" w:rsidR="0088089B" w:rsidRPr="00055977" w:rsidRDefault="0088089B" w:rsidP="0088089B">
            <w:pPr>
              <w:spacing w:after="60"/>
              <w:jc w:val="right"/>
              <w:rPr>
                <w:sz w:val="18"/>
                <w:szCs w:val="18"/>
                <w:lang w:val="es-ES"/>
              </w:rPr>
            </w:pPr>
          </w:p>
        </w:tc>
        <w:tc>
          <w:tcPr>
            <w:tcW w:w="0" w:type="auto"/>
            <w:shd w:val="clear" w:color="auto" w:fill="auto"/>
          </w:tcPr>
          <w:p w14:paraId="792C5A38" w14:textId="77777777" w:rsidR="0088089B" w:rsidRPr="00055977" w:rsidRDefault="0088089B" w:rsidP="0088089B">
            <w:pPr>
              <w:spacing w:after="60"/>
              <w:jc w:val="right"/>
              <w:rPr>
                <w:sz w:val="18"/>
                <w:szCs w:val="18"/>
                <w:lang w:val="es-ES"/>
              </w:rPr>
            </w:pPr>
          </w:p>
        </w:tc>
        <w:tc>
          <w:tcPr>
            <w:tcW w:w="0" w:type="auto"/>
            <w:shd w:val="clear" w:color="auto" w:fill="auto"/>
          </w:tcPr>
          <w:p w14:paraId="358E096F" w14:textId="77777777" w:rsidR="0088089B" w:rsidRPr="00055977" w:rsidRDefault="0088089B" w:rsidP="0088089B">
            <w:pPr>
              <w:spacing w:after="60"/>
              <w:jc w:val="right"/>
              <w:rPr>
                <w:sz w:val="18"/>
                <w:szCs w:val="18"/>
                <w:highlight w:val="green"/>
                <w:lang w:val="es-ES"/>
              </w:rPr>
            </w:pPr>
            <w:r w:rsidRPr="00055977">
              <w:rPr>
                <w:sz w:val="18"/>
                <w:szCs w:val="18"/>
                <w:lang w:val="es-ES"/>
              </w:rPr>
              <w:t>28,44</w:t>
            </w:r>
          </w:p>
        </w:tc>
        <w:tc>
          <w:tcPr>
            <w:tcW w:w="0" w:type="auto"/>
            <w:shd w:val="clear" w:color="auto" w:fill="auto"/>
          </w:tcPr>
          <w:p w14:paraId="250CC12A" w14:textId="77777777" w:rsidR="0088089B" w:rsidRPr="00055977" w:rsidRDefault="0088089B" w:rsidP="0088089B">
            <w:pPr>
              <w:spacing w:after="60"/>
              <w:jc w:val="right"/>
              <w:rPr>
                <w:sz w:val="18"/>
                <w:szCs w:val="18"/>
                <w:lang w:val="es-ES"/>
              </w:rPr>
            </w:pPr>
            <w:r w:rsidRPr="00055977">
              <w:rPr>
                <w:sz w:val="18"/>
                <w:szCs w:val="18"/>
                <w:lang w:val="es-ES"/>
              </w:rPr>
              <w:t>113,74</w:t>
            </w:r>
          </w:p>
        </w:tc>
        <w:tc>
          <w:tcPr>
            <w:tcW w:w="0" w:type="auto"/>
            <w:shd w:val="clear" w:color="auto" w:fill="auto"/>
          </w:tcPr>
          <w:p w14:paraId="755B39ED" w14:textId="77777777" w:rsidR="0088089B" w:rsidRPr="00055977" w:rsidRDefault="0088089B" w:rsidP="0088089B">
            <w:pPr>
              <w:spacing w:after="60"/>
              <w:jc w:val="right"/>
              <w:rPr>
                <w:sz w:val="18"/>
                <w:szCs w:val="18"/>
                <w:highlight w:val="green"/>
                <w:lang w:val="es-ES"/>
              </w:rPr>
            </w:pPr>
          </w:p>
        </w:tc>
        <w:tc>
          <w:tcPr>
            <w:tcW w:w="0" w:type="auto"/>
            <w:shd w:val="clear" w:color="auto" w:fill="auto"/>
          </w:tcPr>
          <w:p w14:paraId="47CA38DA" w14:textId="77777777" w:rsidR="0088089B" w:rsidRPr="00055977" w:rsidRDefault="0088089B" w:rsidP="0088089B">
            <w:pPr>
              <w:spacing w:after="60"/>
              <w:jc w:val="right"/>
              <w:rPr>
                <w:sz w:val="18"/>
                <w:szCs w:val="18"/>
                <w:highlight w:val="green"/>
                <w:lang w:val="es-ES"/>
              </w:rPr>
            </w:pPr>
          </w:p>
        </w:tc>
        <w:tc>
          <w:tcPr>
            <w:tcW w:w="633" w:type="dxa"/>
            <w:shd w:val="clear" w:color="auto" w:fill="auto"/>
          </w:tcPr>
          <w:p w14:paraId="33F3D17F" w14:textId="77777777" w:rsidR="0088089B" w:rsidRPr="00055977" w:rsidRDefault="0088089B" w:rsidP="0088089B">
            <w:pPr>
              <w:spacing w:after="60"/>
              <w:jc w:val="right"/>
              <w:rPr>
                <w:sz w:val="18"/>
                <w:szCs w:val="18"/>
                <w:highlight w:val="green"/>
                <w:lang w:val="es-ES"/>
              </w:rPr>
            </w:pPr>
          </w:p>
        </w:tc>
        <w:tc>
          <w:tcPr>
            <w:tcW w:w="1164" w:type="dxa"/>
            <w:shd w:val="clear" w:color="auto" w:fill="auto"/>
          </w:tcPr>
          <w:p w14:paraId="2BB8C7DC" w14:textId="77777777" w:rsidR="0088089B" w:rsidRPr="00055977" w:rsidRDefault="0088089B" w:rsidP="0088089B">
            <w:pPr>
              <w:spacing w:after="60"/>
              <w:jc w:val="right"/>
              <w:rPr>
                <w:sz w:val="18"/>
                <w:szCs w:val="18"/>
                <w:lang w:val="es-ES"/>
              </w:rPr>
            </w:pPr>
            <w:r w:rsidRPr="00055977">
              <w:rPr>
                <w:sz w:val="18"/>
                <w:szCs w:val="18"/>
                <w:lang w:val="es-ES"/>
              </w:rPr>
              <w:t>142,18</w:t>
            </w:r>
          </w:p>
        </w:tc>
      </w:tr>
      <w:tr w:rsidR="0088089B" w:rsidRPr="00055977" w14:paraId="7B026702" w14:textId="77777777" w:rsidTr="00055977">
        <w:trPr>
          <w:trHeight w:val="800"/>
          <w:jc w:val="center"/>
        </w:trPr>
        <w:tc>
          <w:tcPr>
            <w:tcW w:w="1636" w:type="dxa"/>
          </w:tcPr>
          <w:p w14:paraId="7D22558C" w14:textId="3E3AC1D3" w:rsidR="0088089B" w:rsidRPr="00055977" w:rsidRDefault="0088089B" w:rsidP="0088089B">
            <w:pPr>
              <w:spacing w:after="60"/>
              <w:jc w:val="left"/>
              <w:rPr>
                <w:sz w:val="18"/>
                <w:szCs w:val="18"/>
                <w:lang w:val="es-ES"/>
              </w:rPr>
            </w:pPr>
            <w:r w:rsidRPr="00055977">
              <w:rPr>
                <w:sz w:val="18"/>
                <w:szCs w:val="18"/>
                <w:lang w:val="es-ES"/>
              </w:rPr>
              <w:t>HCFC</w:t>
            </w:r>
            <w:r w:rsidRPr="00055977">
              <w:rPr>
                <w:sz w:val="18"/>
                <w:szCs w:val="18"/>
                <w:lang w:val="es-ES"/>
              </w:rPr>
              <w:noBreakHyphen/>
              <w:t>141b contenido en polioles premezclados importados</w:t>
            </w:r>
          </w:p>
        </w:tc>
        <w:tc>
          <w:tcPr>
            <w:tcW w:w="936" w:type="dxa"/>
          </w:tcPr>
          <w:p w14:paraId="2938D35F" w14:textId="77777777" w:rsidR="0088089B" w:rsidRPr="00055977" w:rsidRDefault="0088089B" w:rsidP="0088089B">
            <w:pPr>
              <w:spacing w:after="60"/>
              <w:jc w:val="right"/>
              <w:rPr>
                <w:sz w:val="18"/>
                <w:szCs w:val="18"/>
                <w:lang w:val="es-ES"/>
              </w:rPr>
            </w:pPr>
          </w:p>
        </w:tc>
        <w:tc>
          <w:tcPr>
            <w:tcW w:w="866" w:type="dxa"/>
          </w:tcPr>
          <w:p w14:paraId="0411B291" w14:textId="77777777" w:rsidR="0088089B" w:rsidRPr="00055977" w:rsidRDefault="0088089B" w:rsidP="0088089B">
            <w:pPr>
              <w:spacing w:after="60"/>
              <w:jc w:val="right"/>
              <w:rPr>
                <w:sz w:val="18"/>
                <w:szCs w:val="18"/>
                <w:lang w:val="es-ES"/>
              </w:rPr>
            </w:pPr>
            <w:r w:rsidRPr="00055977">
              <w:rPr>
                <w:sz w:val="18"/>
                <w:szCs w:val="18"/>
                <w:lang w:val="es-ES"/>
              </w:rPr>
              <w:t>16,24</w:t>
            </w:r>
          </w:p>
        </w:tc>
        <w:tc>
          <w:tcPr>
            <w:tcW w:w="0" w:type="auto"/>
          </w:tcPr>
          <w:p w14:paraId="35FC09FE" w14:textId="77777777" w:rsidR="0088089B" w:rsidRPr="00055977" w:rsidRDefault="0088089B" w:rsidP="0088089B">
            <w:pPr>
              <w:spacing w:after="60"/>
              <w:jc w:val="right"/>
              <w:rPr>
                <w:sz w:val="18"/>
                <w:szCs w:val="18"/>
                <w:lang w:val="es-ES"/>
              </w:rPr>
            </w:pPr>
          </w:p>
        </w:tc>
        <w:tc>
          <w:tcPr>
            <w:tcW w:w="0" w:type="auto"/>
          </w:tcPr>
          <w:p w14:paraId="21181A49" w14:textId="77777777" w:rsidR="0088089B" w:rsidRPr="00055977" w:rsidRDefault="0088089B" w:rsidP="0088089B">
            <w:pPr>
              <w:spacing w:after="60"/>
              <w:jc w:val="right"/>
              <w:rPr>
                <w:sz w:val="18"/>
                <w:szCs w:val="18"/>
                <w:lang w:val="es-ES"/>
              </w:rPr>
            </w:pPr>
          </w:p>
        </w:tc>
        <w:tc>
          <w:tcPr>
            <w:tcW w:w="0" w:type="auto"/>
          </w:tcPr>
          <w:p w14:paraId="34B52129" w14:textId="77777777" w:rsidR="0088089B" w:rsidRPr="00055977" w:rsidRDefault="0088089B" w:rsidP="0088089B">
            <w:pPr>
              <w:spacing w:after="60"/>
              <w:jc w:val="right"/>
              <w:rPr>
                <w:sz w:val="18"/>
                <w:szCs w:val="18"/>
                <w:lang w:val="es-ES"/>
              </w:rPr>
            </w:pPr>
          </w:p>
        </w:tc>
        <w:tc>
          <w:tcPr>
            <w:tcW w:w="0" w:type="auto"/>
          </w:tcPr>
          <w:p w14:paraId="23C5F60B" w14:textId="77777777" w:rsidR="0088089B" w:rsidRPr="00055977" w:rsidRDefault="0088089B" w:rsidP="0088089B">
            <w:pPr>
              <w:spacing w:after="60"/>
              <w:jc w:val="right"/>
              <w:rPr>
                <w:sz w:val="18"/>
                <w:szCs w:val="18"/>
                <w:lang w:val="es-ES"/>
              </w:rPr>
            </w:pPr>
          </w:p>
        </w:tc>
        <w:tc>
          <w:tcPr>
            <w:tcW w:w="0" w:type="auto"/>
          </w:tcPr>
          <w:p w14:paraId="7C7CB6CB" w14:textId="77777777" w:rsidR="0088089B" w:rsidRPr="00055977" w:rsidRDefault="0088089B" w:rsidP="0088089B">
            <w:pPr>
              <w:spacing w:after="60"/>
              <w:jc w:val="right"/>
              <w:rPr>
                <w:sz w:val="18"/>
                <w:szCs w:val="18"/>
                <w:lang w:val="es-ES"/>
              </w:rPr>
            </w:pPr>
          </w:p>
        </w:tc>
        <w:tc>
          <w:tcPr>
            <w:tcW w:w="633" w:type="dxa"/>
          </w:tcPr>
          <w:p w14:paraId="577D8FCB" w14:textId="77777777" w:rsidR="0088089B" w:rsidRPr="00055977" w:rsidRDefault="0088089B" w:rsidP="0088089B">
            <w:pPr>
              <w:spacing w:after="60"/>
              <w:jc w:val="right"/>
              <w:rPr>
                <w:sz w:val="18"/>
                <w:szCs w:val="18"/>
                <w:lang w:val="es-ES"/>
              </w:rPr>
            </w:pPr>
          </w:p>
        </w:tc>
        <w:tc>
          <w:tcPr>
            <w:tcW w:w="1164" w:type="dxa"/>
          </w:tcPr>
          <w:p w14:paraId="070236F1" w14:textId="77777777" w:rsidR="0088089B" w:rsidRPr="00055977" w:rsidRDefault="0088089B" w:rsidP="0088089B">
            <w:pPr>
              <w:spacing w:after="60"/>
              <w:jc w:val="right"/>
              <w:rPr>
                <w:sz w:val="18"/>
                <w:szCs w:val="18"/>
                <w:lang w:val="es-ES"/>
              </w:rPr>
            </w:pPr>
            <w:r w:rsidRPr="00055977">
              <w:rPr>
                <w:sz w:val="18"/>
                <w:szCs w:val="18"/>
                <w:lang w:val="es-ES"/>
              </w:rPr>
              <w:t>16,24</w:t>
            </w:r>
          </w:p>
        </w:tc>
      </w:tr>
    </w:tbl>
    <w:p w14:paraId="26369F0E" w14:textId="77777777" w:rsidR="0088089B" w:rsidRPr="00055977" w:rsidRDefault="0088089B" w:rsidP="0088089B">
      <w:pPr>
        <w:spacing w:after="60"/>
        <w:jc w:val="center"/>
        <w:rPr>
          <w:sz w:val="12"/>
          <w:szCs w:val="18"/>
          <w:lang w:val="es-ES"/>
        </w:rPr>
      </w:pPr>
    </w:p>
    <w:tbl>
      <w:tblPr>
        <w:tblStyle w:val="TableGrid"/>
        <w:tblW w:w="10902" w:type="dxa"/>
        <w:jc w:val="center"/>
        <w:tblLook w:val="04A0" w:firstRow="1" w:lastRow="0" w:firstColumn="1" w:lastColumn="0" w:noHBand="0" w:noVBand="1"/>
      </w:tblPr>
      <w:tblGrid>
        <w:gridCol w:w="2397"/>
        <w:gridCol w:w="1559"/>
        <w:gridCol w:w="5528"/>
        <w:gridCol w:w="1418"/>
      </w:tblGrid>
      <w:tr w:rsidR="0088089B" w:rsidRPr="004465E9" w14:paraId="19D938EA" w14:textId="77777777" w:rsidTr="00055977">
        <w:trPr>
          <w:trHeight w:val="240"/>
          <w:jc w:val="center"/>
        </w:trPr>
        <w:tc>
          <w:tcPr>
            <w:tcW w:w="10902" w:type="dxa"/>
            <w:gridSpan w:val="4"/>
            <w:shd w:val="clear" w:color="auto" w:fill="auto"/>
          </w:tcPr>
          <w:p w14:paraId="1880A226" w14:textId="77777777" w:rsidR="0088089B" w:rsidRPr="00055977" w:rsidRDefault="0088089B" w:rsidP="0088089B">
            <w:pPr>
              <w:spacing w:after="60"/>
              <w:jc w:val="left"/>
              <w:rPr>
                <w:b/>
                <w:sz w:val="18"/>
                <w:szCs w:val="18"/>
                <w:lang w:val="es-ES"/>
              </w:rPr>
            </w:pPr>
            <w:r w:rsidRPr="00055977">
              <w:rPr>
                <w:b/>
                <w:sz w:val="18"/>
                <w:szCs w:val="18"/>
                <w:lang w:val="es-ES"/>
              </w:rPr>
              <w:t>IV) DATOS SOBRE EL CONSUMO (toneladas PAO)</w:t>
            </w:r>
          </w:p>
        </w:tc>
      </w:tr>
      <w:tr w:rsidR="0088089B" w:rsidRPr="00055977" w14:paraId="16F0339E" w14:textId="77777777" w:rsidTr="00055977">
        <w:trPr>
          <w:trHeight w:val="240"/>
          <w:jc w:val="center"/>
        </w:trPr>
        <w:tc>
          <w:tcPr>
            <w:tcW w:w="2397" w:type="dxa"/>
            <w:shd w:val="clear" w:color="auto" w:fill="auto"/>
          </w:tcPr>
          <w:p w14:paraId="3D6929D2" w14:textId="77777777" w:rsidR="0088089B" w:rsidRPr="00055977" w:rsidRDefault="0088089B" w:rsidP="0088089B">
            <w:pPr>
              <w:spacing w:after="60"/>
              <w:jc w:val="center"/>
              <w:rPr>
                <w:sz w:val="18"/>
                <w:szCs w:val="18"/>
                <w:lang w:val="es-ES"/>
              </w:rPr>
            </w:pPr>
            <w:r w:rsidRPr="00055977">
              <w:rPr>
                <w:sz w:val="18"/>
                <w:szCs w:val="18"/>
                <w:lang w:val="es-ES"/>
              </w:rPr>
              <w:t>Nivel básico de 2009 - 2010:</w:t>
            </w:r>
          </w:p>
        </w:tc>
        <w:tc>
          <w:tcPr>
            <w:tcW w:w="1559" w:type="dxa"/>
            <w:shd w:val="clear" w:color="auto" w:fill="auto"/>
          </w:tcPr>
          <w:p w14:paraId="06763BB4" w14:textId="77777777" w:rsidR="0088089B" w:rsidRPr="00055977" w:rsidRDefault="0088089B" w:rsidP="0088089B">
            <w:pPr>
              <w:spacing w:after="60"/>
              <w:jc w:val="right"/>
              <w:rPr>
                <w:sz w:val="18"/>
                <w:szCs w:val="18"/>
                <w:lang w:val="es-ES"/>
              </w:rPr>
            </w:pPr>
            <w:r w:rsidRPr="00055977">
              <w:rPr>
                <w:sz w:val="18"/>
                <w:szCs w:val="18"/>
                <w:lang w:val="es-ES"/>
              </w:rPr>
              <w:t>221,2</w:t>
            </w:r>
          </w:p>
        </w:tc>
        <w:tc>
          <w:tcPr>
            <w:tcW w:w="5528" w:type="dxa"/>
            <w:shd w:val="clear" w:color="auto" w:fill="auto"/>
          </w:tcPr>
          <w:p w14:paraId="00DD16C7" w14:textId="77777777" w:rsidR="0088089B" w:rsidRPr="00055977" w:rsidRDefault="0088089B" w:rsidP="0088089B">
            <w:pPr>
              <w:spacing w:after="60"/>
              <w:jc w:val="center"/>
              <w:rPr>
                <w:sz w:val="18"/>
                <w:szCs w:val="18"/>
                <w:lang w:val="es-ES"/>
              </w:rPr>
            </w:pPr>
            <w:r w:rsidRPr="00055977">
              <w:rPr>
                <w:sz w:val="18"/>
                <w:szCs w:val="18"/>
                <w:lang w:val="es-ES"/>
              </w:rPr>
              <w:t>Punto de partida para las reducciones acumuladas sostenidas:</w:t>
            </w:r>
          </w:p>
        </w:tc>
        <w:tc>
          <w:tcPr>
            <w:tcW w:w="1418" w:type="dxa"/>
            <w:shd w:val="clear" w:color="auto" w:fill="auto"/>
          </w:tcPr>
          <w:p w14:paraId="3CBF6E1D" w14:textId="77777777" w:rsidR="0088089B" w:rsidRPr="00055977" w:rsidRDefault="0088089B" w:rsidP="0088089B">
            <w:pPr>
              <w:spacing w:after="60"/>
              <w:jc w:val="right"/>
              <w:rPr>
                <w:sz w:val="18"/>
                <w:szCs w:val="18"/>
                <w:lang w:val="es-ES"/>
              </w:rPr>
            </w:pPr>
            <w:r w:rsidRPr="00055977">
              <w:rPr>
                <w:sz w:val="18"/>
                <w:szCs w:val="18"/>
                <w:lang w:val="es-ES"/>
              </w:rPr>
              <w:t>385,77</w:t>
            </w:r>
          </w:p>
        </w:tc>
      </w:tr>
      <w:tr w:rsidR="0088089B" w:rsidRPr="004465E9" w14:paraId="44CCF810" w14:textId="77777777" w:rsidTr="00055977">
        <w:trPr>
          <w:trHeight w:val="240"/>
          <w:jc w:val="center"/>
        </w:trPr>
        <w:tc>
          <w:tcPr>
            <w:tcW w:w="10902" w:type="dxa"/>
            <w:gridSpan w:val="4"/>
            <w:shd w:val="clear" w:color="auto" w:fill="auto"/>
          </w:tcPr>
          <w:p w14:paraId="17F8F49D" w14:textId="77777777" w:rsidR="0088089B" w:rsidRPr="00055977" w:rsidRDefault="0088089B" w:rsidP="0088089B">
            <w:pPr>
              <w:spacing w:after="60"/>
              <w:jc w:val="center"/>
              <w:rPr>
                <w:b/>
                <w:sz w:val="18"/>
                <w:szCs w:val="18"/>
                <w:lang w:val="es-ES"/>
              </w:rPr>
            </w:pPr>
            <w:r w:rsidRPr="00055977">
              <w:rPr>
                <w:b/>
                <w:sz w:val="18"/>
                <w:szCs w:val="18"/>
                <w:lang w:val="es-ES"/>
              </w:rPr>
              <w:t>CONSUMO ADMISIBLE PARA LA FINANCIACIÓN (toneladas PAO)</w:t>
            </w:r>
          </w:p>
        </w:tc>
      </w:tr>
      <w:tr w:rsidR="0088089B" w:rsidRPr="00055977" w14:paraId="72AF4760" w14:textId="77777777" w:rsidTr="00055977">
        <w:trPr>
          <w:trHeight w:val="240"/>
          <w:jc w:val="center"/>
        </w:trPr>
        <w:tc>
          <w:tcPr>
            <w:tcW w:w="2397" w:type="dxa"/>
            <w:shd w:val="clear" w:color="auto" w:fill="auto"/>
          </w:tcPr>
          <w:p w14:paraId="06554D2A" w14:textId="77777777" w:rsidR="0088089B" w:rsidRPr="00055977" w:rsidRDefault="0088089B" w:rsidP="0088089B">
            <w:pPr>
              <w:spacing w:after="60"/>
              <w:jc w:val="center"/>
              <w:rPr>
                <w:sz w:val="18"/>
                <w:szCs w:val="18"/>
                <w:lang w:val="es-ES"/>
              </w:rPr>
            </w:pPr>
            <w:r w:rsidRPr="00055977">
              <w:rPr>
                <w:sz w:val="18"/>
                <w:szCs w:val="18"/>
                <w:lang w:val="es-ES"/>
              </w:rPr>
              <w:t>Ya aprobado:</w:t>
            </w:r>
          </w:p>
        </w:tc>
        <w:tc>
          <w:tcPr>
            <w:tcW w:w="1559" w:type="dxa"/>
            <w:shd w:val="clear" w:color="auto" w:fill="auto"/>
          </w:tcPr>
          <w:p w14:paraId="117E0573" w14:textId="77777777" w:rsidR="0088089B" w:rsidRPr="00055977" w:rsidRDefault="0088089B" w:rsidP="0088089B">
            <w:pPr>
              <w:spacing w:after="60"/>
              <w:jc w:val="right"/>
              <w:rPr>
                <w:sz w:val="18"/>
                <w:szCs w:val="18"/>
                <w:lang w:val="es-ES"/>
              </w:rPr>
            </w:pPr>
            <w:r w:rsidRPr="00055977">
              <w:rPr>
                <w:sz w:val="18"/>
                <w:szCs w:val="18"/>
                <w:lang w:val="es-ES"/>
              </w:rPr>
              <w:t>273,77</w:t>
            </w:r>
          </w:p>
        </w:tc>
        <w:tc>
          <w:tcPr>
            <w:tcW w:w="5528" w:type="dxa"/>
            <w:shd w:val="clear" w:color="auto" w:fill="auto"/>
          </w:tcPr>
          <w:p w14:paraId="2AA3C14E" w14:textId="77777777" w:rsidR="0088089B" w:rsidRPr="00055977" w:rsidRDefault="0088089B" w:rsidP="0088089B">
            <w:pPr>
              <w:spacing w:after="60"/>
              <w:jc w:val="center"/>
              <w:rPr>
                <w:sz w:val="18"/>
                <w:szCs w:val="18"/>
                <w:lang w:val="es-ES"/>
              </w:rPr>
            </w:pPr>
            <w:r w:rsidRPr="00055977">
              <w:rPr>
                <w:sz w:val="18"/>
                <w:szCs w:val="18"/>
                <w:lang w:val="es-ES"/>
              </w:rPr>
              <w:t>Restante:</w:t>
            </w:r>
          </w:p>
        </w:tc>
        <w:tc>
          <w:tcPr>
            <w:tcW w:w="1418" w:type="dxa"/>
            <w:shd w:val="clear" w:color="auto" w:fill="auto"/>
          </w:tcPr>
          <w:p w14:paraId="673B8D79" w14:textId="77777777" w:rsidR="0088089B" w:rsidRPr="00055977" w:rsidRDefault="0088089B" w:rsidP="0088089B">
            <w:pPr>
              <w:spacing w:after="60"/>
              <w:jc w:val="right"/>
              <w:rPr>
                <w:sz w:val="18"/>
                <w:szCs w:val="18"/>
                <w:lang w:val="es-ES"/>
              </w:rPr>
            </w:pPr>
            <w:r w:rsidRPr="00055977">
              <w:rPr>
                <w:sz w:val="18"/>
                <w:szCs w:val="18"/>
                <w:lang w:val="es-ES"/>
              </w:rPr>
              <w:t>112,00</w:t>
            </w:r>
          </w:p>
        </w:tc>
      </w:tr>
    </w:tbl>
    <w:p w14:paraId="495227B5" w14:textId="77777777" w:rsidR="0088089B" w:rsidRPr="00055977" w:rsidRDefault="0088089B" w:rsidP="0088089B">
      <w:pPr>
        <w:spacing w:after="60"/>
        <w:jc w:val="center"/>
        <w:rPr>
          <w:sz w:val="8"/>
          <w:szCs w:val="18"/>
          <w:lang w:val="es-ES"/>
        </w:rPr>
      </w:pPr>
    </w:p>
    <w:tbl>
      <w:tblPr>
        <w:tblStyle w:val="TableGrid"/>
        <w:tblW w:w="10902" w:type="dxa"/>
        <w:jc w:val="center"/>
        <w:tblLook w:val="04A0" w:firstRow="1" w:lastRow="0" w:firstColumn="1" w:lastColumn="0" w:noHBand="0" w:noVBand="1"/>
      </w:tblPr>
      <w:tblGrid>
        <w:gridCol w:w="1525"/>
        <w:gridCol w:w="3960"/>
        <w:gridCol w:w="1530"/>
        <w:gridCol w:w="1440"/>
        <w:gridCol w:w="1260"/>
        <w:gridCol w:w="1187"/>
      </w:tblGrid>
      <w:tr w:rsidR="0088089B" w:rsidRPr="00055977" w14:paraId="342F214A" w14:textId="77777777" w:rsidTr="00055977">
        <w:trPr>
          <w:trHeight w:val="240"/>
          <w:jc w:val="center"/>
        </w:trPr>
        <w:tc>
          <w:tcPr>
            <w:tcW w:w="5485" w:type="dxa"/>
            <w:gridSpan w:val="2"/>
            <w:shd w:val="clear" w:color="auto" w:fill="auto"/>
          </w:tcPr>
          <w:p w14:paraId="6FCA3214" w14:textId="77777777" w:rsidR="0088089B" w:rsidRPr="00055977" w:rsidRDefault="0088089B" w:rsidP="0088089B">
            <w:pPr>
              <w:spacing w:after="60"/>
              <w:jc w:val="left"/>
              <w:rPr>
                <w:b/>
                <w:sz w:val="18"/>
                <w:szCs w:val="18"/>
                <w:lang w:val="es-ES"/>
              </w:rPr>
            </w:pPr>
            <w:r w:rsidRPr="00055977">
              <w:rPr>
                <w:b/>
                <w:sz w:val="18"/>
                <w:szCs w:val="18"/>
                <w:lang w:val="es-ES"/>
              </w:rPr>
              <w:t>V) PLAN ADMINISTRATIVO</w:t>
            </w:r>
          </w:p>
        </w:tc>
        <w:tc>
          <w:tcPr>
            <w:tcW w:w="1530" w:type="dxa"/>
            <w:shd w:val="clear" w:color="auto" w:fill="auto"/>
          </w:tcPr>
          <w:p w14:paraId="3AF0159D" w14:textId="77777777" w:rsidR="0088089B" w:rsidRPr="00055977" w:rsidRDefault="0088089B" w:rsidP="0088089B">
            <w:pPr>
              <w:spacing w:after="60"/>
              <w:jc w:val="center"/>
              <w:rPr>
                <w:b/>
                <w:sz w:val="18"/>
                <w:szCs w:val="18"/>
                <w:lang w:val="es-ES"/>
              </w:rPr>
            </w:pPr>
            <w:r w:rsidRPr="00055977">
              <w:rPr>
                <w:b/>
                <w:sz w:val="18"/>
                <w:szCs w:val="18"/>
                <w:lang w:val="es-ES"/>
              </w:rPr>
              <w:t>2021</w:t>
            </w:r>
          </w:p>
        </w:tc>
        <w:tc>
          <w:tcPr>
            <w:tcW w:w="1440" w:type="dxa"/>
            <w:shd w:val="clear" w:color="auto" w:fill="auto"/>
          </w:tcPr>
          <w:p w14:paraId="2779F4B0" w14:textId="77777777" w:rsidR="0088089B" w:rsidRPr="00055977" w:rsidRDefault="0088089B" w:rsidP="0088089B">
            <w:pPr>
              <w:spacing w:after="60"/>
              <w:jc w:val="center"/>
              <w:rPr>
                <w:b/>
                <w:sz w:val="18"/>
                <w:szCs w:val="18"/>
                <w:lang w:val="es-ES"/>
              </w:rPr>
            </w:pPr>
            <w:r w:rsidRPr="00055977">
              <w:rPr>
                <w:b/>
                <w:sz w:val="18"/>
                <w:szCs w:val="18"/>
                <w:lang w:val="es-ES"/>
              </w:rPr>
              <w:t>2022</w:t>
            </w:r>
          </w:p>
        </w:tc>
        <w:tc>
          <w:tcPr>
            <w:tcW w:w="1260" w:type="dxa"/>
            <w:shd w:val="clear" w:color="auto" w:fill="auto"/>
          </w:tcPr>
          <w:p w14:paraId="0CACD6D0" w14:textId="77777777" w:rsidR="0088089B" w:rsidRPr="00055977" w:rsidRDefault="0088089B" w:rsidP="0088089B">
            <w:pPr>
              <w:spacing w:after="60"/>
              <w:jc w:val="center"/>
              <w:rPr>
                <w:b/>
                <w:sz w:val="18"/>
                <w:szCs w:val="18"/>
                <w:lang w:val="es-ES"/>
              </w:rPr>
            </w:pPr>
            <w:r w:rsidRPr="00055977">
              <w:rPr>
                <w:b/>
                <w:sz w:val="18"/>
                <w:szCs w:val="18"/>
                <w:lang w:val="es-ES"/>
              </w:rPr>
              <w:t>2023</w:t>
            </w:r>
          </w:p>
        </w:tc>
        <w:tc>
          <w:tcPr>
            <w:tcW w:w="1187" w:type="dxa"/>
            <w:shd w:val="clear" w:color="auto" w:fill="auto"/>
          </w:tcPr>
          <w:p w14:paraId="5DB998FE" w14:textId="77777777" w:rsidR="0088089B" w:rsidRPr="00055977" w:rsidRDefault="0088089B" w:rsidP="0088089B">
            <w:pPr>
              <w:spacing w:after="60"/>
              <w:jc w:val="center"/>
              <w:rPr>
                <w:b/>
                <w:sz w:val="18"/>
                <w:szCs w:val="18"/>
                <w:lang w:val="es-ES"/>
              </w:rPr>
            </w:pPr>
            <w:r w:rsidRPr="00055977">
              <w:rPr>
                <w:b/>
                <w:sz w:val="18"/>
                <w:szCs w:val="18"/>
                <w:lang w:val="es-ES"/>
              </w:rPr>
              <w:t>Total</w:t>
            </w:r>
          </w:p>
        </w:tc>
      </w:tr>
      <w:tr w:rsidR="0088089B" w:rsidRPr="00055977" w14:paraId="272B5E81" w14:textId="77777777" w:rsidTr="00055977">
        <w:trPr>
          <w:trHeight w:val="240"/>
          <w:jc w:val="center"/>
        </w:trPr>
        <w:tc>
          <w:tcPr>
            <w:tcW w:w="1525" w:type="dxa"/>
            <w:vMerge w:val="restart"/>
            <w:shd w:val="clear" w:color="auto" w:fill="auto"/>
          </w:tcPr>
          <w:p w14:paraId="0F1CE5A2" w14:textId="77777777" w:rsidR="0088089B" w:rsidRPr="00055977" w:rsidRDefault="0088089B" w:rsidP="0088089B">
            <w:pPr>
              <w:spacing w:after="60"/>
              <w:jc w:val="center"/>
              <w:rPr>
                <w:sz w:val="18"/>
                <w:szCs w:val="18"/>
                <w:lang w:val="es-ES"/>
              </w:rPr>
            </w:pPr>
            <w:r w:rsidRPr="00055977">
              <w:rPr>
                <w:sz w:val="18"/>
                <w:szCs w:val="18"/>
                <w:lang w:val="es-ES"/>
              </w:rPr>
              <w:t>Banco Mundial</w:t>
            </w:r>
          </w:p>
        </w:tc>
        <w:tc>
          <w:tcPr>
            <w:tcW w:w="3960" w:type="dxa"/>
            <w:shd w:val="clear" w:color="auto" w:fill="auto"/>
          </w:tcPr>
          <w:p w14:paraId="62A231D8" w14:textId="77777777" w:rsidR="0088089B" w:rsidRPr="00055977" w:rsidRDefault="0088089B" w:rsidP="0088089B">
            <w:pPr>
              <w:spacing w:after="60"/>
              <w:jc w:val="left"/>
              <w:rPr>
                <w:sz w:val="18"/>
                <w:szCs w:val="18"/>
                <w:lang w:val="es-ES"/>
              </w:rPr>
            </w:pPr>
            <w:r w:rsidRPr="00055977">
              <w:rPr>
                <w:sz w:val="18"/>
                <w:szCs w:val="18"/>
                <w:lang w:val="es-ES"/>
              </w:rPr>
              <w:t>Eliminación de SAO (toneladas PAO)</w:t>
            </w:r>
          </w:p>
        </w:tc>
        <w:tc>
          <w:tcPr>
            <w:tcW w:w="1530" w:type="dxa"/>
            <w:shd w:val="clear" w:color="auto" w:fill="auto"/>
          </w:tcPr>
          <w:p w14:paraId="035F1BF1" w14:textId="77777777" w:rsidR="0088089B" w:rsidRPr="00055977" w:rsidRDefault="0088089B" w:rsidP="0088089B">
            <w:pPr>
              <w:spacing w:after="60"/>
              <w:jc w:val="right"/>
              <w:rPr>
                <w:sz w:val="18"/>
                <w:szCs w:val="18"/>
                <w:lang w:val="es-ES"/>
              </w:rPr>
            </w:pPr>
            <w:r w:rsidRPr="00055977">
              <w:rPr>
                <w:sz w:val="18"/>
                <w:szCs w:val="18"/>
                <w:lang w:val="es-ES"/>
              </w:rPr>
              <w:t>33,93</w:t>
            </w:r>
          </w:p>
        </w:tc>
        <w:tc>
          <w:tcPr>
            <w:tcW w:w="1440" w:type="dxa"/>
            <w:shd w:val="clear" w:color="auto" w:fill="auto"/>
          </w:tcPr>
          <w:p w14:paraId="72BF9250" w14:textId="77777777" w:rsidR="0088089B" w:rsidRPr="00055977" w:rsidRDefault="0088089B" w:rsidP="0088089B">
            <w:pPr>
              <w:spacing w:after="60"/>
              <w:jc w:val="right"/>
              <w:rPr>
                <w:sz w:val="18"/>
                <w:szCs w:val="18"/>
                <w:lang w:val="es-ES"/>
              </w:rPr>
            </w:pPr>
            <w:r w:rsidRPr="00055977">
              <w:rPr>
                <w:sz w:val="18"/>
                <w:szCs w:val="18"/>
                <w:lang w:val="es-ES"/>
              </w:rPr>
              <w:t>39,42</w:t>
            </w:r>
          </w:p>
        </w:tc>
        <w:tc>
          <w:tcPr>
            <w:tcW w:w="1260" w:type="dxa"/>
            <w:shd w:val="clear" w:color="auto" w:fill="auto"/>
          </w:tcPr>
          <w:p w14:paraId="3A5CF5E2" w14:textId="77777777" w:rsidR="0088089B" w:rsidRPr="00055977" w:rsidRDefault="0088089B" w:rsidP="0088089B">
            <w:pPr>
              <w:spacing w:after="60"/>
              <w:jc w:val="right"/>
              <w:rPr>
                <w:sz w:val="18"/>
                <w:szCs w:val="18"/>
                <w:lang w:val="es-ES"/>
              </w:rPr>
            </w:pPr>
            <w:r w:rsidRPr="00055977">
              <w:rPr>
                <w:sz w:val="18"/>
                <w:szCs w:val="18"/>
                <w:lang w:val="es-ES"/>
              </w:rPr>
              <w:t>26,28</w:t>
            </w:r>
          </w:p>
        </w:tc>
        <w:tc>
          <w:tcPr>
            <w:tcW w:w="1187" w:type="dxa"/>
            <w:shd w:val="clear" w:color="auto" w:fill="auto"/>
          </w:tcPr>
          <w:p w14:paraId="1B51AB75" w14:textId="77777777" w:rsidR="0088089B" w:rsidRPr="00055977" w:rsidRDefault="0088089B" w:rsidP="0088089B">
            <w:pPr>
              <w:spacing w:after="60"/>
              <w:jc w:val="right"/>
              <w:rPr>
                <w:sz w:val="18"/>
                <w:szCs w:val="18"/>
                <w:lang w:val="es-ES"/>
              </w:rPr>
            </w:pPr>
            <w:r w:rsidRPr="00055977">
              <w:rPr>
                <w:sz w:val="18"/>
                <w:szCs w:val="18"/>
                <w:lang w:val="es-ES"/>
              </w:rPr>
              <w:fldChar w:fldCharType="begin"/>
            </w:r>
            <w:r w:rsidRPr="00055977">
              <w:rPr>
                <w:sz w:val="18"/>
                <w:szCs w:val="18"/>
                <w:lang w:val="es-ES"/>
              </w:rPr>
              <w:instrText xml:space="preserve"> =SUM(LEFT) </w:instrText>
            </w:r>
            <w:r w:rsidRPr="00055977">
              <w:rPr>
                <w:sz w:val="18"/>
                <w:szCs w:val="18"/>
                <w:lang w:val="es-ES"/>
              </w:rPr>
              <w:fldChar w:fldCharType="separate"/>
            </w:r>
            <w:r w:rsidRPr="00055977">
              <w:rPr>
                <w:sz w:val="18"/>
                <w:szCs w:val="18"/>
                <w:lang w:val="es-ES"/>
              </w:rPr>
              <w:t>99,63</w:t>
            </w:r>
            <w:r w:rsidRPr="00055977">
              <w:rPr>
                <w:sz w:val="18"/>
                <w:szCs w:val="18"/>
                <w:lang w:val="es-ES"/>
              </w:rPr>
              <w:fldChar w:fldCharType="end"/>
            </w:r>
          </w:p>
        </w:tc>
      </w:tr>
      <w:tr w:rsidR="0088089B" w:rsidRPr="00055977" w14:paraId="69F2D861" w14:textId="77777777" w:rsidTr="00055977">
        <w:trPr>
          <w:trHeight w:val="240"/>
          <w:jc w:val="center"/>
        </w:trPr>
        <w:tc>
          <w:tcPr>
            <w:tcW w:w="1525" w:type="dxa"/>
            <w:vMerge/>
            <w:shd w:val="clear" w:color="auto" w:fill="auto"/>
          </w:tcPr>
          <w:p w14:paraId="45D53AC7" w14:textId="77777777" w:rsidR="0088089B" w:rsidRPr="00055977" w:rsidRDefault="0088089B" w:rsidP="0088089B">
            <w:pPr>
              <w:spacing w:after="60"/>
              <w:jc w:val="center"/>
              <w:rPr>
                <w:sz w:val="18"/>
                <w:szCs w:val="18"/>
                <w:lang w:val="es-ES"/>
              </w:rPr>
            </w:pPr>
          </w:p>
        </w:tc>
        <w:tc>
          <w:tcPr>
            <w:tcW w:w="3960" w:type="dxa"/>
            <w:shd w:val="clear" w:color="auto" w:fill="auto"/>
          </w:tcPr>
          <w:p w14:paraId="203CBBD0" w14:textId="77777777" w:rsidR="0088089B" w:rsidRPr="00055977" w:rsidRDefault="0088089B" w:rsidP="0088089B">
            <w:pPr>
              <w:spacing w:after="60"/>
              <w:jc w:val="left"/>
              <w:rPr>
                <w:sz w:val="18"/>
                <w:szCs w:val="18"/>
                <w:lang w:val="es-ES"/>
              </w:rPr>
            </w:pPr>
            <w:r w:rsidRPr="00055977">
              <w:rPr>
                <w:sz w:val="18"/>
                <w:szCs w:val="18"/>
                <w:lang w:val="es-ES"/>
              </w:rPr>
              <w:t>Financiación ($EUA)</w:t>
            </w:r>
          </w:p>
        </w:tc>
        <w:tc>
          <w:tcPr>
            <w:tcW w:w="1530" w:type="dxa"/>
            <w:shd w:val="clear" w:color="auto" w:fill="auto"/>
          </w:tcPr>
          <w:p w14:paraId="54FDD408" w14:textId="77777777" w:rsidR="0088089B" w:rsidRPr="00055977" w:rsidRDefault="0088089B" w:rsidP="0088089B">
            <w:pPr>
              <w:spacing w:after="60"/>
              <w:jc w:val="right"/>
              <w:rPr>
                <w:sz w:val="18"/>
                <w:szCs w:val="18"/>
                <w:lang w:val="es-ES"/>
              </w:rPr>
            </w:pPr>
            <w:r w:rsidRPr="00055977">
              <w:rPr>
                <w:sz w:val="18"/>
                <w:szCs w:val="18"/>
                <w:lang w:val="es-ES"/>
              </w:rPr>
              <w:t>4.045.945</w:t>
            </w:r>
          </w:p>
        </w:tc>
        <w:tc>
          <w:tcPr>
            <w:tcW w:w="1440" w:type="dxa"/>
            <w:shd w:val="clear" w:color="auto" w:fill="auto"/>
          </w:tcPr>
          <w:p w14:paraId="28BC1CF6" w14:textId="77777777" w:rsidR="0088089B" w:rsidRPr="00055977" w:rsidRDefault="0088089B" w:rsidP="0088089B">
            <w:pPr>
              <w:spacing w:after="60"/>
              <w:jc w:val="right"/>
              <w:rPr>
                <w:sz w:val="18"/>
                <w:szCs w:val="18"/>
                <w:lang w:val="es-ES"/>
              </w:rPr>
            </w:pPr>
            <w:r w:rsidRPr="00055977">
              <w:rPr>
                <w:sz w:val="18"/>
                <w:szCs w:val="18"/>
                <w:lang w:val="es-ES"/>
              </w:rPr>
              <w:t>4.700.992</w:t>
            </w:r>
          </w:p>
        </w:tc>
        <w:tc>
          <w:tcPr>
            <w:tcW w:w="1260" w:type="dxa"/>
            <w:shd w:val="clear" w:color="auto" w:fill="auto"/>
          </w:tcPr>
          <w:p w14:paraId="53AFCBFA" w14:textId="77777777" w:rsidR="0088089B" w:rsidRPr="00055977" w:rsidRDefault="0088089B" w:rsidP="0088089B">
            <w:pPr>
              <w:spacing w:after="60"/>
              <w:jc w:val="right"/>
              <w:rPr>
                <w:sz w:val="18"/>
                <w:szCs w:val="18"/>
                <w:lang w:val="es-ES"/>
              </w:rPr>
            </w:pPr>
            <w:r w:rsidRPr="00055977">
              <w:rPr>
                <w:sz w:val="18"/>
                <w:szCs w:val="18"/>
                <w:lang w:val="es-ES"/>
              </w:rPr>
              <w:t>3.133.995</w:t>
            </w:r>
          </w:p>
        </w:tc>
        <w:tc>
          <w:tcPr>
            <w:tcW w:w="1187" w:type="dxa"/>
            <w:shd w:val="clear" w:color="auto" w:fill="auto"/>
          </w:tcPr>
          <w:p w14:paraId="1A312205" w14:textId="77777777" w:rsidR="0088089B" w:rsidRPr="00055977" w:rsidRDefault="0088089B" w:rsidP="0088089B">
            <w:pPr>
              <w:spacing w:after="60"/>
              <w:jc w:val="right"/>
              <w:rPr>
                <w:sz w:val="18"/>
                <w:szCs w:val="18"/>
                <w:lang w:val="es-ES"/>
              </w:rPr>
            </w:pPr>
            <w:r w:rsidRPr="00055977">
              <w:rPr>
                <w:sz w:val="18"/>
                <w:szCs w:val="18"/>
                <w:lang w:val="es-ES"/>
              </w:rPr>
              <w:fldChar w:fldCharType="begin"/>
            </w:r>
            <w:r w:rsidRPr="00055977">
              <w:rPr>
                <w:sz w:val="18"/>
                <w:szCs w:val="18"/>
                <w:lang w:val="es-ES"/>
              </w:rPr>
              <w:instrText xml:space="preserve"> =SUM(left) </w:instrText>
            </w:r>
            <w:r w:rsidRPr="00055977">
              <w:rPr>
                <w:sz w:val="18"/>
                <w:szCs w:val="18"/>
                <w:lang w:val="es-ES"/>
              </w:rPr>
              <w:fldChar w:fldCharType="separate"/>
            </w:r>
            <w:r w:rsidRPr="00055977">
              <w:rPr>
                <w:sz w:val="18"/>
                <w:szCs w:val="18"/>
                <w:lang w:val="es-ES"/>
              </w:rPr>
              <w:t>11.880.932</w:t>
            </w:r>
            <w:r w:rsidRPr="00055977">
              <w:rPr>
                <w:sz w:val="18"/>
                <w:szCs w:val="18"/>
                <w:lang w:val="es-ES"/>
              </w:rPr>
              <w:fldChar w:fldCharType="end"/>
            </w:r>
          </w:p>
        </w:tc>
      </w:tr>
      <w:tr w:rsidR="0088089B" w:rsidRPr="00055977" w14:paraId="05CAE1EC" w14:textId="77777777" w:rsidTr="00055977">
        <w:trPr>
          <w:trHeight w:val="240"/>
          <w:jc w:val="center"/>
        </w:trPr>
        <w:tc>
          <w:tcPr>
            <w:tcW w:w="1525" w:type="dxa"/>
            <w:vMerge w:val="restart"/>
            <w:shd w:val="clear" w:color="auto" w:fill="auto"/>
          </w:tcPr>
          <w:p w14:paraId="2463F4C8" w14:textId="77777777" w:rsidR="0088089B" w:rsidRPr="00055977" w:rsidRDefault="0088089B" w:rsidP="0088089B">
            <w:pPr>
              <w:spacing w:after="60"/>
              <w:jc w:val="center"/>
              <w:rPr>
                <w:sz w:val="18"/>
                <w:szCs w:val="18"/>
                <w:lang w:val="es-ES"/>
              </w:rPr>
            </w:pPr>
            <w:r w:rsidRPr="00055977">
              <w:rPr>
                <w:sz w:val="18"/>
                <w:szCs w:val="18"/>
                <w:lang w:val="es-ES"/>
              </w:rPr>
              <w:t>Japón</w:t>
            </w:r>
          </w:p>
        </w:tc>
        <w:tc>
          <w:tcPr>
            <w:tcW w:w="3960" w:type="dxa"/>
            <w:shd w:val="clear" w:color="auto" w:fill="auto"/>
          </w:tcPr>
          <w:p w14:paraId="29B25395" w14:textId="77777777" w:rsidR="0088089B" w:rsidRPr="00055977" w:rsidRDefault="0088089B" w:rsidP="0088089B">
            <w:pPr>
              <w:spacing w:after="60"/>
              <w:jc w:val="left"/>
              <w:rPr>
                <w:sz w:val="18"/>
                <w:szCs w:val="18"/>
                <w:lang w:val="es-ES"/>
              </w:rPr>
            </w:pPr>
            <w:r w:rsidRPr="00055977">
              <w:rPr>
                <w:sz w:val="18"/>
                <w:szCs w:val="18"/>
                <w:lang w:val="es-ES"/>
              </w:rPr>
              <w:t>Eliminación de SAO (toneladas PAO)</w:t>
            </w:r>
          </w:p>
        </w:tc>
        <w:tc>
          <w:tcPr>
            <w:tcW w:w="1530" w:type="dxa"/>
            <w:shd w:val="clear" w:color="auto" w:fill="auto"/>
          </w:tcPr>
          <w:p w14:paraId="393D3413" w14:textId="77777777" w:rsidR="0088089B" w:rsidRPr="00055977" w:rsidRDefault="0088089B" w:rsidP="0088089B">
            <w:pPr>
              <w:spacing w:after="60"/>
              <w:jc w:val="right"/>
              <w:rPr>
                <w:sz w:val="18"/>
                <w:szCs w:val="18"/>
                <w:lang w:val="es-ES"/>
              </w:rPr>
            </w:pPr>
            <w:r w:rsidRPr="00055977">
              <w:rPr>
                <w:sz w:val="18"/>
                <w:szCs w:val="18"/>
                <w:lang w:val="es-ES"/>
              </w:rPr>
              <w:t>0,24</w:t>
            </w:r>
          </w:p>
        </w:tc>
        <w:tc>
          <w:tcPr>
            <w:tcW w:w="1440" w:type="dxa"/>
            <w:shd w:val="clear" w:color="auto" w:fill="auto"/>
          </w:tcPr>
          <w:p w14:paraId="7C039889" w14:textId="77777777" w:rsidR="0088089B" w:rsidRPr="00055977" w:rsidRDefault="0088089B" w:rsidP="0088089B">
            <w:pPr>
              <w:spacing w:after="60"/>
              <w:jc w:val="right"/>
              <w:rPr>
                <w:sz w:val="18"/>
                <w:szCs w:val="18"/>
                <w:lang w:val="es-ES"/>
              </w:rPr>
            </w:pPr>
            <w:r w:rsidRPr="00055977">
              <w:rPr>
                <w:sz w:val="18"/>
                <w:szCs w:val="18"/>
                <w:lang w:val="es-ES"/>
              </w:rPr>
              <w:t>0</w:t>
            </w:r>
          </w:p>
        </w:tc>
        <w:tc>
          <w:tcPr>
            <w:tcW w:w="1260" w:type="dxa"/>
            <w:shd w:val="clear" w:color="auto" w:fill="auto"/>
          </w:tcPr>
          <w:p w14:paraId="30FFC598" w14:textId="77777777" w:rsidR="0088089B" w:rsidRPr="00055977" w:rsidRDefault="0088089B" w:rsidP="0088089B">
            <w:pPr>
              <w:spacing w:after="60"/>
              <w:jc w:val="right"/>
              <w:rPr>
                <w:sz w:val="18"/>
                <w:szCs w:val="18"/>
                <w:lang w:val="es-ES"/>
              </w:rPr>
            </w:pPr>
            <w:r w:rsidRPr="00055977">
              <w:rPr>
                <w:sz w:val="18"/>
                <w:szCs w:val="18"/>
                <w:lang w:val="es-ES"/>
              </w:rPr>
              <w:t>0</w:t>
            </w:r>
          </w:p>
        </w:tc>
        <w:tc>
          <w:tcPr>
            <w:tcW w:w="1187" w:type="dxa"/>
            <w:shd w:val="clear" w:color="auto" w:fill="auto"/>
          </w:tcPr>
          <w:p w14:paraId="5F4C1B94" w14:textId="77777777" w:rsidR="0088089B" w:rsidRPr="00055977" w:rsidRDefault="0088089B" w:rsidP="0088089B">
            <w:pPr>
              <w:spacing w:after="60"/>
              <w:jc w:val="right"/>
              <w:rPr>
                <w:sz w:val="18"/>
                <w:szCs w:val="18"/>
                <w:lang w:val="es-ES"/>
              </w:rPr>
            </w:pPr>
            <w:r w:rsidRPr="00055977">
              <w:rPr>
                <w:sz w:val="18"/>
                <w:szCs w:val="18"/>
                <w:lang w:val="es-ES"/>
              </w:rPr>
              <w:t>0,24</w:t>
            </w:r>
          </w:p>
        </w:tc>
      </w:tr>
      <w:tr w:rsidR="0088089B" w:rsidRPr="00055977" w14:paraId="55FEB8D5" w14:textId="77777777" w:rsidTr="00055977">
        <w:trPr>
          <w:trHeight w:val="240"/>
          <w:jc w:val="center"/>
        </w:trPr>
        <w:tc>
          <w:tcPr>
            <w:tcW w:w="1525" w:type="dxa"/>
            <w:vMerge/>
            <w:shd w:val="clear" w:color="auto" w:fill="auto"/>
          </w:tcPr>
          <w:p w14:paraId="5349D674" w14:textId="77777777" w:rsidR="0088089B" w:rsidRPr="00055977" w:rsidRDefault="0088089B" w:rsidP="0088089B">
            <w:pPr>
              <w:spacing w:after="60"/>
              <w:jc w:val="center"/>
              <w:rPr>
                <w:sz w:val="18"/>
                <w:szCs w:val="18"/>
                <w:lang w:val="es-ES"/>
              </w:rPr>
            </w:pPr>
          </w:p>
        </w:tc>
        <w:tc>
          <w:tcPr>
            <w:tcW w:w="3960" w:type="dxa"/>
            <w:shd w:val="clear" w:color="auto" w:fill="auto"/>
          </w:tcPr>
          <w:p w14:paraId="52B4F110" w14:textId="77777777" w:rsidR="0088089B" w:rsidRPr="00055977" w:rsidRDefault="0088089B" w:rsidP="0088089B">
            <w:pPr>
              <w:spacing w:after="60"/>
              <w:jc w:val="left"/>
              <w:rPr>
                <w:sz w:val="18"/>
                <w:szCs w:val="18"/>
                <w:lang w:val="es-ES"/>
              </w:rPr>
            </w:pPr>
            <w:r w:rsidRPr="00055977">
              <w:rPr>
                <w:sz w:val="18"/>
                <w:szCs w:val="18"/>
                <w:lang w:val="es-ES"/>
              </w:rPr>
              <w:t>Financiación ($EUA)</w:t>
            </w:r>
          </w:p>
        </w:tc>
        <w:tc>
          <w:tcPr>
            <w:tcW w:w="1530" w:type="dxa"/>
            <w:shd w:val="clear" w:color="auto" w:fill="auto"/>
          </w:tcPr>
          <w:p w14:paraId="0290D340" w14:textId="77777777" w:rsidR="0088089B" w:rsidRPr="00055977" w:rsidRDefault="0088089B" w:rsidP="0088089B">
            <w:pPr>
              <w:spacing w:after="60"/>
              <w:jc w:val="right"/>
              <w:rPr>
                <w:sz w:val="18"/>
                <w:szCs w:val="18"/>
                <w:lang w:val="es-ES"/>
              </w:rPr>
            </w:pPr>
            <w:r w:rsidRPr="00055977">
              <w:rPr>
                <w:sz w:val="18"/>
                <w:szCs w:val="18"/>
                <w:lang w:val="es-ES"/>
              </w:rPr>
              <w:t>29.832</w:t>
            </w:r>
          </w:p>
        </w:tc>
        <w:tc>
          <w:tcPr>
            <w:tcW w:w="1440" w:type="dxa"/>
            <w:shd w:val="clear" w:color="auto" w:fill="auto"/>
          </w:tcPr>
          <w:p w14:paraId="0904E8F6" w14:textId="77777777" w:rsidR="0088089B" w:rsidRPr="00055977" w:rsidRDefault="0088089B" w:rsidP="0088089B">
            <w:pPr>
              <w:spacing w:after="60"/>
              <w:jc w:val="right"/>
              <w:rPr>
                <w:sz w:val="18"/>
                <w:szCs w:val="18"/>
                <w:lang w:val="es-ES"/>
              </w:rPr>
            </w:pPr>
            <w:r w:rsidRPr="00055977">
              <w:rPr>
                <w:sz w:val="18"/>
                <w:szCs w:val="18"/>
                <w:lang w:val="es-ES"/>
              </w:rPr>
              <w:t>0</w:t>
            </w:r>
          </w:p>
        </w:tc>
        <w:tc>
          <w:tcPr>
            <w:tcW w:w="1260" w:type="dxa"/>
            <w:shd w:val="clear" w:color="auto" w:fill="auto"/>
          </w:tcPr>
          <w:p w14:paraId="1C69ED61" w14:textId="77777777" w:rsidR="0088089B" w:rsidRPr="00055977" w:rsidRDefault="0088089B" w:rsidP="0088089B">
            <w:pPr>
              <w:spacing w:after="60"/>
              <w:jc w:val="right"/>
              <w:rPr>
                <w:sz w:val="18"/>
                <w:szCs w:val="18"/>
                <w:lang w:val="es-ES"/>
              </w:rPr>
            </w:pPr>
            <w:r w:rsidRPr="00055977">
              <w:rPr>
                <w:sz w:val="18"/>
                <w:szCs w:val="18"/>
                <w:lang w:val="es-ES"/>
              </w:rPr>
              <w:t>0</w:t>
            </w:r>
          </w:p>
        </w:tc>
        <w:tc>
          <w:tcPr>
            <w:tcW w:w="1187" w:type="dxa"/>
            <w:shd w:val="clear" w:color="auto" w:fill="auto"/>
          </w:tcPr>
          <w:p w14:paraId="26C45BB3" w14:textId="77777777" w:rsidR="0088089B" w:rsidRPr="00055977" w:rsidRDefault="0088089B" w:rsidP="0088089B">
            <w:pPr>
              <w:spacing w:after="60"/>
              <w:jc w:val="right"/>
              <w:rPr>
                <w:sz w:val="18"/>
                <w:szCs w:val="18"/>
                <w:lang w:val="es-ES"/>
              </w:rPr>
            </w:pPr>
            <w:r w:rsidRPr="00055977">
              <w:rPr>
                <w:sz w:val="18"/>
                <w:szCs w:val="18"/>
                <w:lang w:val="es-ES"/>
              </w:rPr>
              <w:fldChar w:fldCharType="begin"/>
            </w:r>
            <w:r w:rsidRPr="00055977">
              <w:rPr>
                <w:sz w:val="18"/>
                <w:szCs w:val="18"/>
                <w:lang w:val="es-ES"/>
              </w:rPr>
              <w:instrText xml:space="preserve"> =SUM(left) </w:instrText>
            </w:r>
            <w:r w:rsidRPr="00055977">
              <w:rPr>
                <w:sz w:val="18"/>
                <w:szCs w:val="18"/>
                <w:lang w:val="es-ES"/>
              </w:rPr>
              <w:fldChar w:fldCharType="separate"/>
            </w:r>
            <w:r w:rsidRPr="00055977">
              <w:rPr>
                <w:sz w:val="18"/>
                <w:szCs w:val="18"/>
                <w:lang w:val="es-ES"/>
              </w:rPr>
              <w:t>29.832</w:t>
            </w:r>
            <w:r w:rsidRPr="00055977">
              <w:rPr>
                <w:sz w:val="18"/>
                <w:szCs w:val="18"/>
                <w:lang w:val="es-ES"/>
              </w:rPr>
              <w:fldChar w:fldCharType="end"/>
            </w:r>
          </w:p>
        </w:tc>
      </w:tr>
    </w:tbl>
    <w:p w14:paraId="28059A8F" w14:textId="77777777" w:rsidR="0088089B" w:rsidRPr="00055977" w:rsidRDefault="0088089B" w:rsidP="0088089B">
      <w:pPr>
        <w:spacing w:after="60"/>
        <w:jc w:val="center"/>
        <w:rPr>
          <w:sz w:val="18"/>
          <w:szCs w:val="18"/>
          <w:lang w:val="es-ES"/>
        </w:rPr>
      </w:pPr>
    </w:p>
    <w:tbl>
      <w:tblPr>
        <w:tblStyle w:val="TableGrid"/>
        <w:tblW w:w="11070" w:type="dxa"/>
        <w:jc w:val="center"/>
        <w:tblLayout w:type="fixed"/>
        <w:tblLook w:val="04A0" w:firstRow="1" w:lastRow="0" w:firstColumn="1" w:lastColumn="0" w:noHBand="0" w:noVBand="1"/>
      </w:tblPr>
      <w:tblGrid>
        <w:gridCol w:w="1165"/>
        <w:gridCol w:w="900"/>
        <w:gridCol w:w="1800"/>
        <w:gridCol w:w="810"/>
        <w:gridCol w:w="990"/>
        <w:gridCol w:w="990"/>
        <w:gridCol w:w="1170"/>
        <w:gridCol w:w="990"/>
        <w:gridCol w:w="1170"/>
        <w:gridCol w:w="1085"/>
      </w:tblGrid>
      <w:tr w:rsidR="0088089B" w:rsidRPr="00055977" w14:paraId="4BEFECBF" w14:textId="77777777" w:rsidTr="00055977">
        <w:trPr>
          <w:jc w:val="center"/>
        </w:trPr>
        <w:tc>
          <w:tcPr>
            <w:tcW w:w="3865" w:type="dxa"/>
            <w:gridSpan w:val="3"/>
            <w:shd w:val="clear" w:color="auto" w:fill="auto"/>
          </w:tcPr>
          <w:p w14:paraId="7A073391" w14:textId="77777777" w:rsidR="0088089B" w:rsidRPr="00055977" w:rsidRDefault="0088089B" w:rsidP="0088089B">
            <w:pPr>
              <w:spacing w:after="60"/>
              <w:jc w:val="left"/>
              <w:rPr>
                <w:b/>
                <w:sz w:val="18"/>
                <w:szCs w:val="18"/>
                <w:lang w:val="es-ES"/>
              </w:rPr>
            </w:pPr>
            <w:r w:rsidRPr="00055977">
              <w:rPr>
                <w:b/>
                <w:sz w:val="18"/>
                <w:szCs w:val="18"/>
                <w:lang w:val="es-ES"/>
              </w:rPr>
              <w:t>VI) DATOS DEL PROYECTO</w:t>
            </w:r>
          </w:p>
        </w:tc>
        <w:tc>
          <w:tcPr>
            <w:tcW w:w="810" w:type="dxa"/>
            <w:shd w:val="clear" w:color="auto" w:fill="auto"/>
          </w:tcPr>
          <w:p w14:paraId="015236CB" w14:textId="77777777" w:rsidR="0088089B" w:rsidRPr="00055977" w:rsidRDefault="0088089B" w:rsidP="0088089B">
            <w:pPr>
              <w:spacing w:after="60"/>
              <w:jc w:val="center"/>
              <w:rPr>
                <w:b/>
                <w:sz w:val="18"/>
                <w:szCs w:val="18"/>
                <w:lang w:val="es-ES"/>
              </w:rPr>
            </w:pPr>
            <w:r w:rsidRPr="00055977">
              <w:rPr>
                <w:b/>
                <w:sz w:val="18"/>
                <w:szCs w:val="18"/>
                <w:lang w:val="es-ES"/>
              </w:rPr>
              <w:t>2016*</w:t>
            </w:r>
          </w:p>
        </w:tc>
        <w:tc>
          <w:tcPr>
            <w:tcW w:w="990" w:type="dxa"/>
            <w:shd w:val="clear" w:color="auto" w:fill="auto"/>
          </w:tcPr>
          <w:p w14:paraId="4A0CB9A0" w14:textId="77777777" w:rsidR="0088089B" w:rsidRPr="00055977" w:rsidRDefault="0088089B" w:rsidP="0088089B">
            <w:pPr>
              <w:spacing w:after="60"/>
              <w:jc w:val="center"/>
              <w:rPr>
                <w:b/>
                <w:sz w:val="18"/>
                <w:szCs w:val="18"/>
                <w:lang w:val="es-ES"/>
              </w:rPr>
            </w:pPr>
            <w:r w:rsidRPr="00055977">
              <w:rPr>
                <w:b/>
                <w:sz w:val="18"/>
                <w:szCs w:val="18"/>
                <w:lang w:val="es-ES"/>
              </w:rPr>
              <w:t>2017</w:t>
            </w:r>
          </w:p>
        </w:tc>
        <w:tc>
          <w:tcPr>
            <w:tcW w:w="990" w:type="dxa"/>
            <w:shd w:val="clear" w:color="auto" w:fill="auto"/>
          </w:tcPr>
          <w:p w14:paraId="653A0B96" w14:textId="77777777" w:rsidR="0088089B" w:rsidRPr="00055977" w:rsidRDefault="0088089B" w:rsidP="0088089B">
            <w:pPr>
              <w:spacing w:after="60"/>
              <w:jc w:val="center"/>
              <w:rPr>
                <w:b/>
                <w:sz w:val="18"/>
                <w:szCs w:val="18"/>
                <w:lang w:val="es-ES"/>
              </w:rPr>
            </w:pPr>
            <w:r w:rsidRPr="00055977">
              <w:rPr>
                <w:b/>
                <w:sz w:val="18"/>
                <w:szCs w:val="18"/>
                <w:lang w:val="es-ES"/>
              </w:rPr>
              <w:t>2018</w:t>
            </w:r>
          </w:p>
        </w:tc>
        <w:tc>
          <w:tcPr>
            <w:tcW w:w="1170" w:type="dxa"/>
            <w:shd w:val="clear" w:color="auto" w:fill="auto"/>
          </w:tcPr>
          <w:p w14:paraId="7EDB6456" w14:textId="77777777" w:rsidR="0088089B" w:rsidRPr="00055977" w:rsidRDefault="0088089B" w:rsidP="0088089B">
            <w:pPr>
              <w:spacing w:after="60"/>
              <w:jc w:val="center"/>
              <w:rPr>
                <w:b/>
                <w:sz w:val="18"/>
                <w:szCs w:val="18"/>
                <w:lang w:val="es-ES"/>
              </w:rPr>
            </w:pPr>
            <w:r w:rsidRPr="00055977">
              <w:rPr>
                <w:b/>
                <w:sz w:val="18"/>
                <w:szCs w:val="18"/>
                <w:lang w:val="es-ES"/>
              </w:rPr>
              <w:t>2019</w:t>
            </w:r>
          </w:p>
        </w:tc>
        <w:tc>
          <w:tcPr>
            <w:tcW w:w="990" w:type="dxa"/>
            <w:shd w:val="clear" w:color="auto" w:fill="auto"/>
          </w:tcPr>
          <w:p w14:paraId="41A53832" w14:textId="77777777" w:rsidR="0088089B" w:rsidRPr="00055977" w:rsidRDefault="0088089B" w:rsidP="0088089B">
            <w:pPr>
              <w:spacing w:after="60"/>
              <w:jc w:val="center"/>
              <w:rPr>
                <w:b/>
                <w:sz w:val="18"/>
                <w:szCs w:val="18"/>
                <w:lang w:val="es-ES"/>
              </w:rPr>
            </w:pPr>
            <w:r w:rsidRPr="00055977">
              <w:rPr>
                <w:b/>
                <w:sz w:val="18"/>
                <w:szCs w:val="18"/>
                <w:lang w:val="es-ES"/>
              </w:rPr>
              <w:t>2020</w:t>
            </w:r>
          </w:p>
        </w:tc>
        <w:tc>
          <w:tcPr>
            <w:tcW w:w="1170" w:type="dxa"/>
            <w:shd w:val="clear" w:color="auto" w:fill="auto"/>
          </w:tcPr>
          <w:p w14:paraId="7A69A0DD" w14:textId="77777777" w:rsidR="0088089B" w:rsidRPr="00055977" w:rsidRDefault="0088089B" w:rsidP="0088089B">
            <w:pPr>
              <w:spacing w:after="60"/>
              <w:jc w:val="center"/>
              <w:rPr>
                <w:b/>
                <w:sz w:val="18"/>
                <w:szCs w:val="18"/>
                <w:lang w:val="es-ES"/>
              </w:rPr>
            </w:pPr>
            <w:r w:rsidRPr="00055977">
              <w:rPr>
                <w:b/>
                <w:sz w:val="18"/>
                <w:szCs w:val="18"/>
                <w:lang w:val="es-ES"/>
              </w:rPr>
              <w:t>2021</w:t>
            </w:r>
          </w:p>
        </w:tc>
        <w:tc>
          <w:tcPr>
            <w:tcW w:w="1085" w:type="dxa"/>
            <w:shd w:val="clear" w:color="auto" w:fill="auto"/>
          </w:tcPr>
          <w:p w14:paraId="414D4229" w14:textId="77777777" w:rsidR="0088089B" w:rsidRPr="00055977" w:rsidRDefault="0088089B" w:rsidP="0088089B">
            <w:pPr>
              <w:spacing w:after="60"/>
              <w:jc w:val="center"/>
              <w:rPr>
                <w:b/>
                <w:sz w:val="18"/>
                <w:szCs w:val="18"/>
                <w:lang w:val="es-ES"/>
              </w:rPr>
            </w:pPr>
            <w:r w:rsidRPr="00055977">
              <w:rPr>
                <w:b/>
                <w:sz w:val="18"/>
                <w:szCs w:val="18"/>
                <w:lang w:val="es-ES"/>
              </w:rPr>
              <w:t>Total</w:t>
            </w:r>
          </w:p>
        </w:tc>
      </w:tr>
      <w:tr w:rsidR="0088089B" w:rsidRPr="00055977" w14:paraId="5BF5064C" w14:textId="77777777" w:rsidTr="00055977">
        <w:trPr>
          <w:jc w:val="center"/>
        </w:trPr>
        <w:tc>
          <w:tcPr>
            <w:tcW w:w="3865" w:type="dxa"/>
            <w:gridSpan w:val="3"/>
            <w:shd w:val="clear" w:color="auto" w:fill="auto"/>
          </w:tcPr>
          <w:p w14:paraId="4E5A2AA9" w14:textId="77777777" w:rsidR="0088089B" w:rsidRPr="00055977" w:rsidRDefault="0088089B" w:rsidP="0088089B">
            <w:pPr>
              <w:spacing w:after="60"/>
              <w:jc w:val="left"/>
              <w:rPr>
                <w:sz w:val="18"/>
                <w:szCs w:val="18"/>
                <w:lang w:val="es-ES"/>
              </w:rPr>
            </w:pPr>
            <w:r w:rsidRPr="00055977">
              <w:rPr>
                <w:sz w:val="18"/>
                <w:szCs w:val="18"/>
                <w:lang w:val="es-ES"/>
              </w:rPr>
              <w:t>Límites de consumo establecidos en el Protocolo de Montreal</w:t>
            </w:r>
          </w:p>
        </w:tc>
        <w:tc>
          <w:tcPr>
            <w:tcW w:w="810" w:type="dxa"/>
            <w:shd w:val="clear" w:color="auto" w:fill="auto"/>
          </w:tcPr>
          <w:p w14:paraId="742375F9" w14:textId="77777777" w:rsidR="0088089B" w:rsidRPr="00055977" w:rsidRDefault="0088089B" w:rsidP="0088089B">
            <w:pPr>
              <w:jc w:val="right"/>
              <w:rPr>
                <w:color w:val="000000"/>
                <w:sz w:val="18"/>
                <w:szCs w:val="18"/>
                <w:lang w:val="es-ES"/>
              </w:rPr>
            </w:pPr>
            <w:r w:rsidRPr="00055977">
              <w:rPr>
                <w:color w:val="000000"/>
                <w:sz w:val="18"/>
                <w:szCs w:val="18"/>
                <w:lang w:val="es-ES"/>
              </w:rPr>
              <w:t>199,08</w:t>
            </w:r>
          </w:p>
        </w:tc>
        <w:tc>
          <w:tcPr>
            <w:tcW w:w="990" w:type="dxa"/>
            <w:shd w:val="clear" w:color="auto" w:fill="auto"/>
          </w:tcPr>
          <w:p w14:paraId="0F71D6D5" w14:textId="77777777" w:rsidR="0088089B" w:rsidRPr="00055977" w:rsidRDefault="0088089B" w:rsidP="0088089B">
            <w:pPr>
              <w:jc w:val="right"/>
              <w:rPr>
                <w:color w:val="000000"/>
                <w:sz w:val="18"/>
                <w:szCs w:val="18"/>
                <w:lang w:val="es-ES"/>
              </w:rPr>
            </w:pPr>
            <w:r w:rsidRPr="00055977">
              <w:rPr>
                <w:color w:val="000000"/>
                <w:sz w:val="18"/>
                <w:szCs w:val="18"/>
                <w:lang w:val="es-ES"/>
              </w:rPr>
              <w:t>199,08</w:t>
            </w:r>
          </w:p>
        </w:tc>
        <w:tc>
          <w:tcPr>
            <w:tcW w:w="990" w:type="dxa"/>
            <w:shd w:val="clear" w:color="auto" w:fill="auto"/>
          </w:tcPr>
          <w:p w14:paraId="1D4B6925" w14:textId="77777777" w:rsidR="0088089B" w:rsidRPr="00055977" w:rsidRDefault="0088089B" w:rsidP="0088089B">
            <w:pPr>
              <w:jc w:val="right"/>
              <w:rPr>
                <w:color w:val="000000"/>
                <w:sz w:val="18"/>
                <w:szCs w:val="18"/>
                <w:lang w:val="es-ES"/>
              </w:rPr>
            </w:pPr>
            <w:r w:rsidRPr="00055977">
              <w:rPr>
                <w:color w:val="000000"/>
                <w:sz w:val="18"/>
                <w:szCs w:val="18"/>
                <w:lang w:val="es-ES"/>
              </w:rPr>
              <w:t>199,08</w:t>
            </w:r>
          </w:p>
        </w:tc>
        <w:tc>
          <w:tcPr>
            <w:tcW w:w="1170" w:type="dxa"/>
            <w:shd w:val="clear" w:color="auto" w:fill="auto"/>
          </w:tcPr>
          <w:p w14:paraId="710D7A05" w14:textId="77777777" w:rsidR="0088089B" w:rsidRPr="00055977" w:rsidRDefault="0088089B" w:rsidP="0088089B">
            <w:pPr>
              <w:jc w:val="right"/>
              <w:rPr>
                <w:color w:val="000000"/>
                <w:sz w:val="18"/>
                <w:szCs w:val="18"/>
                <w:lang w:val="es-ES"/>
              </w:rPr>
            </w:pPr>
            <w:r w:rsidRPr="00055977">
              <w:rPr>
                <w:color w:val="000000"/>
                <w:sz w:val="18"/>
                <w:szCs w:val="18"/>
                <w:lang w:val="es-ES"/>
              </w:rPr>
              <w:t>199,08</w:t>
            </w:r>
          </w:p>
        </w:tc>
        <w:tc>
          <w:tcPr>
            <w:tcW w:w="990" w:type="dxa"/>
            <w:shd w:val="clear" w:color="auto" w:fill="auto"/>
          </w:tcPr>
          <w:p w14:paraId="2D0EF9E5" w14:textId="77777777" w:rsidR="0088089B" w:rsidRPr="00055977" w:rsidRDefault="0088089B" w:rsidP="0088089B">
            <w:pPr>
              <w:jc w:val="right"/>
              <w:rPr>
                <w:color w:val="000000"/>
                <w:sz w:val="18"/>
                <w:szCs w:val="18"/>
                <w:lang w:val="es-ES"/>
              </w:rPr>
            </w:pPr>
            <w:r w:rsidRPr="00055977">
              <w:rPr>
                <w:color w:val="000000"/>
                <w:sz w:val="18"/>
                <w:szCs w:val="18"/>
                <w:lang w:val="es-ES"/>
              </w:rPr>
              <w:t>143,78</w:t>
            </w:r>
          </w:p>
        </w:tc>
        <w:tc>
          <w:tcPr>
            <w:tcW w:w="1170" w:type="dxa"/>
            <w:shd w:val="clear" w:color="auto" w:fill="auto"/>
          </w:tcPr>
          <w:p w14:paraId="32958535" w14:textId="77777777" w:rsidR="0088089B" w:rsidRPr="00055977" w:rsidRDefault="0088089B" w:rsidP="0088089B">
            <w:pPr>
              <w:jc w:val="right"/>
              <w:rPr>
                <w:color w:val="000000"/>
                <w:sz w:val="18"/>
                <w:szCs w:val="18"/>
                <w:lang w:val="es-ES"/>
              </w:rPr>
            </w:pPr>
            <w:r w:rsidRPr="00055977">
              <w:rPr>
                <w:color w:val="000000"/>
                <w:sz w:val="18"/>
                <w:szCs w:val="18"/>
                <w:lang w:val="es-ES"/>
              </w:rPr>
              <w:t>143,78</w:t>
            </w:r>
          </w:p>
        </w:tc>
        <w:tc>
          <w:tcPr>
            <w:tcW w:w="1085" w:type="dxa"/>
            <w:shd w:val="clear" w:color="auto" w:fill="auto"/>
          </w:tcPr>
          <w:p w14:paraId="2D2412E1" w14:textId="77777777" w:rsidR="0088089B" w:rsidRPr="00055977" w:rsidRDefault="0088089B" w:rsidP="0088089B">
            <w:pPr>
              <w:spacing w:after="60"/>
              <w:jc w:val="center"/>
              <w:rPr>
                <w:sz w:val="18"/>
                <w:szCs w:val="18"/>
                <w:lang w:val="es-ES"/>
              </w:rPr>
            </w:pPr>
            <w:r w:rsidRPr="00055977">
              <w:rPr>
                <w:sz w:val="18"/>
                <w:szCs w:val="18"/>
                <w:lang w:val="es-ES"/>
              </w:rPr>
              <w:t>n/a</w:t>
            </w:r>
          </w:p>
        </w:tc>
      </w:tr>
      <w:tr w:rsidR="0088089B" w:rsidRPr="00055977" w14:paraId="296AE31B" w14:textId="77777777" w:rsidTr="00055977">
        <w:trPr>
          <w:jc w:val="center"/>
        </w:trPr>
        <w:tc>
          <w:tcPr>
            <w:tcW w:w="3865" w:type="dxa"/>
            <w:gridSpan w:val="3"/>
            <w:shd w:val="clear" w:color="auto" w:fill="auto"/>
          </w:tcPr>
          <w:p w14:paraId="61FF732A" w14:textId="77777777" w:rsidR="0088089B" w:rsidRPr="00055977" w:rsidRDefault="0088089B" w:rsidP="0088089B">
            <w:pPr>
              <w:spacing w:after="60"/>
              <w:jc w:val="left"/>
              <w:rPr>
                <w:sz w:val="18"/>
                <w:szCs w:val="18"/>
                <w:lang w:val="es-ES"/>
              </w:rPr>
            </w:pPr>
            <w:r w:rsidRPr="00055977">
              <w:rPr>
                <w:sz w:val="18"/>
                <w:szCs w:val="18"/>
                <w:lang w:val="es-ES"/>
              </w:rPr>
              <w:t>Consumo máximo permitido (toneladas PAO)</w:t>
            </w:r>
          </w:p>
        </w:tc>
        <w:tc>
          <w:tcPr>
            <w:tcW w:w="810" w:type="dxa"/>
            <w:shd w:val="clear" w:color="auto" w:fill="auto"/>
          </w:tcPr>
          <w:p w14:paraId="1FF1FF22" w14:textId="77777777" w:rsidR="0088089B" w:rsidRPr="00055977" w:rsidRDefault="0088089B" w:rsidP="0088089B">
            <w:pPr>
              <w:jc w:val="right"/>
              <w:rPr>
                <w:color w:val="000000"/>
                <w:sz w:val="18"/>
                <w:szCs w:val="18"/>
                <w:lang w:val="es-ES"/>
              </w:rPr>
            </w:pPr>
            <w:r w:rsidRPr="00055977">
              <w:rPr>
                <w:color w:val="000000"/>
                <w:sz w:val="18"/>
                <w:szCs w:val="18"/>
                <w:lang w:val="es-ES"/>
              </w:rPr>
              <w:t>199,08</w:t>
            </w:r>
          </w:p>
        </w:tc>
        <w:tc>
          <w:tcPr>
            <w:tcW w:w="990" w:type="dxa"/>
            <w:shd w:val="clear" w:color="auto" w:fill="auto"/>
          </w:tcPr>
          <w:p w14:paraId="21D56BE8" w14:textId="77777777" w:rsidR="0088089B" w:rsidRPr="00055977" w:rsidRDefault="0088089B" w:rsidP="0088089B">
            <w:pPr>
              <w:jc w:val="right"/>
              <w:rPr>
                <w:color w:val="000000"/>
                <w:sz w:val="18"/>
                <w:szCs w:val="18"/>
                <w:lang w:val="es-ES"/>
              </w:rPr>
            </w:pPr>
            <w:r w:rsidRPr="00055977">
              <w:rPr>
                <w:color w:val="000000"/>
                <w:sz w:val="18"/>
                <w:szCs w:val="18"/>
                <w:lang w:val="es-ES"/>
              </w:rPr>
              <w:t>199,08</w:t>
            </w:r>
          </w:p>
        </w:tc>
        <w:tc>
          <w:tcPr>
            <w:tcW w:w="990" w:type="dxa"/>
            <w:shd w:val="clear" w:color="auto" w:fill="auto"/>
          </w:tcPr>
          <w:p w14:paraId="139971BC" w14:textId="77777777" w:rsidR="0088089B" w:rsidRPr="00055977" w:rsidRDefault="0088089B" w:rsidP="0088089B">
            <w:pPr>
              <w:jc w:val="right"/>
              <w:rPr>
                <w:color w:val="000000"/>
                <w:sz w:val="18"/>
                <w:szCs w:val="18"/>
                <w:lang w:val="es-ES"/>
              </w:rPr>
            </w:pPr>
            <w:r w:rsidRPr="00055977">
              <w:rPr>
                <w:color w:val="000000"/>
                <w:sz w:val="18"/>
                <w:szCs w:val="18"/>
                <w:lang w:val="es-ES"/>
              </w:rPr>
              <w:t>199,08</w:t>
            </w:r>
          </w:p>
        </w:tc>
        <w:tc>
          <w:tcPr>
            <w:tcW w:w="1170" w:type="dxa"/>
            <w:shd w:val="clear" w:color="auto" w:fill="auto"/>
          </w:tcPr>
          <w:p w14:paraId="00ACF398" w14:textId="77777777" w:rsidR="0088089B" w:rsidRPr="00055977" w:rsidRDefault="0088089B" w:rsidP="0088089B">
            <w:pPr>
              <w:jc w:val="right"/>
              <w:rPr>
                <w:color w:val="000000"/>
                <w:sz w:val="18"/>
                <w:szCs w:val="18"/>
                <w:lang w:val="es-ES"/>
              </w:rPr>
            </w:pPr>
            <w:r w:rsidRPr="00055977">
              <w:rPr>
                <w:color w:val="000000"/>
                <w:sz w:val="18"/>
                <w:szCs w:val="18"/>
                <w:lang w:val="es-ES"/>
              </w:rPr>
              <w:t>199,08</w:t>
            </w:r>
          </w:p>
        </w:tc>
        <w:tc>
          <w:tcPr>
            <w:tcW w:w="990" w:type="dxa"/>
            <w:shd w:val="clear" w:color="auto" w:fill="auto"/>
          </w:tcPr>
          <w:p w14:paraId="0609CDD6" w14:textId="77777777" w:rsidR="0088089B" w:rsidRPr="00055977" w:rsidRDefault="0088089B" w:rsidP="0088089B">
            <w:pPr>
              <w:jc w:val="right"/>
              <w:rPr>
                <w:color w:val="000000"/>
                <w:sz w:val="18"/>
                <w:szCs w:val="18"/>
                <w:lang w:val="es-ES"/>
              </w:rPr>
            </w:pPr>
            <w:r w:rsidRPr="00055977">
              <w:rPr>
                <w:color w:val="000000"/>
                <w:sz w:val="18"/>
                <w:szCs w:val="18"/>
                <w:lang w:val="es-ES"/>
              </w:rPr>
              <w:t>143,78</w:t>
            </w:r>
          </w:p>
        </w:tc>
        <w:tc>
          <w:tcPr>
            <w:tcW w:w="1170" w:type="dxa"/>
            <w:shd w:val="clear" w:color="auto" w:fill="auto"/>
          </w:tcPr>
          <w:p w14:paraId="412A4663" w14:textId="77777777" w:rsidR="0088089B" w:rsidRPr="00055977" w:rsidRDefault="0088089B" w:rsidP="0088089B">
            <w:pPr>
              <w:jc w:val="right"/>
              <w:rPr>
                <w:color w:val="000000"/>
                <w:sz w:val="18"/>
                <w:szCs w:val="18"/>
                <w:lang w:val="es-ES"/>
              </w:rPr>
            </w:pPr>
            <w:r w:rsidRPr="00055977">
              <w:rPr>
                <w:color w:val="000000"/>
                <w:sz w:val="18"/>
                <w:szCs w:val="18"/>
                <w:lang w:val="es-ES"/>
              </w:rPr>
              <w:t>143,78</w:t>
            </w:r>
          </w:p>
        </w:tc>
        <w:tc>
          <w:tcPr>
            <w:tcW w:w="1085" w:type="dxa"/>
            <w:shd w:val="clear" w:color="auto" w:fill="auto"/>
          </w:tcPr>
          <w:p w14:paraId="0DDB196B" w14:textId="77777777" w:rsidR="0088089B" w:rsidRPr="00055977" w:rsidRDefault="0088089B" w:rsidP="0088089B">
            <w:pPr>
              <w:spacing w:after="60"/>
              <w:jc w:val="center"/>
              <w:rPr>
                <w:sz w:val="18"/>
                <w:szCs w:val="18"/>
                <w:lang w:val="es-ES"/>
              </w:rPr>
            </w:pPr>
            <w:r w:rsidRPr="00055977">
              <w:rPr>
                <w:sz w:val="18"/>
                <w:szCs w:val="18"/>
                <w:lang w:val="es-ES"/>
              </w:rPr>
              <w:t>n/a</w:t>
            </w:r>
          </w:p>
        </w:tc>
      </w:tr>
      <w:tr w:rsidR="0088089B" w:rsidRPr="00055977" w14:paraId="3B60A868" w14:textId="77777777" w:rsidTr="00055977">
        <w:trPr>
          <w:jc w:val="center"/>
        </w:trPr>
        <w:tc>
          <w:tcPr>
            <w:tcW w:w="1165" w:type="dxa"/>
            <w:vMerge w:val="restart"/>
            <w:shd w:val="clear" w:color="auto" w:fill="auto"/>
          </w:tcPr>
          <w:p w14:paraId="0497565C" w14:textId="5821931E" w:rsidR="0088089B" w:rsidRPr="00055977" w:rsidRDefault="00055977" w:rsidP="0088089B">
            <w:pPr>
              <w:spacing w:after="60"/>
              <w:jc w:val="left"/>
              <w:rPr>
                <w:sz w:val="18"/>
                <w:szCs w:val="18"/>
                <w:lang w:val="es-ES"/>
              </w:rPr>
            </w:pPr>
            <w:r>
              <w:rPr>
                <w:sz w:val="18"/>
                <w:szCs w:val="18"/>
                <w:lang w:val="es-ES"/>
              </w:rPr>
              <w:t>Financiación conve</w:t>
            </w:r>
            <w:r w:rsidR="0088089B" w:rsidRPr="00055977">
              <w:rPr>
                <w:sz w:val="18"/>
                <w:szCs w:val="18"/>
                <w:lang w:val="es-ES"/>
              </w:rPr>
              <w:t>nida ($EUA)</w:t>
            </w:r>
          </w:p>
        </w:tc>
        <w:tc>
          <w:tcPr>
            <w:tcW w:w="900" w:type="dxa"/>
            <w:vMerge w:val="restart"/>
            <w:shd w:val="clear" w:color="auto" w:fill="auto"/>
          </w:tcPr>
          <w:p w14:paraId="3CD8A8D7" w14:textId="77777777" w:rsidR="0088089B" w:rsidRPr="00055977" w:rsidRDefault="0088089B" w:rsidP="0088089B">
            <w:pPr>
              <w:spacing w:after="60"/>
              <w:jc w:val="center"/>
              <w:rPr>
                <w:sz w:val="18"/>
                <w:szCs w:val="18"/>
                <w:lang w:val="es-ES"/>
              </w:rPr>
            </w:pPr>
            <w:r w:rsidRPr="00055977">
              <w:rPr>
                <w:sz w:val="18"/>
                <w:szCs w:val="18"/>
                <w:lang w:val="es-ES"/>
              </w:rPr>
              <w:t>Banco Mundial</w:t>
            </w:r>
          </w:p>
        </w:tc>
        <w:tc>
          <w:tcPr>
            <w:tcW w:w="1800" w:type="dxa"/>
            <w:shd w:val="clear" w:color="auto" w:fill="auto"/>
          </w:tcPr>
          <w:p w14:paraId="5ED21A64" w14:textId="77777777" w:rsidR="0088089B" w:rsidRPr="00055977" w:rsidRDefault="0088089B" w:rsidP="0088089B">
            <w:pPr>
              <w:spacing w:after="60"/>
              <w:jc w:val="left"/>
              <w:rPr>
                <w:sz w:val="18"/>
                <w:szCs w:val="18"/>
                <w:lang w:val="es-ES"/>
              </w:rPr>
            </w:pPr>
            <w:r w:rsidRPr="00055977">
              <w:rPr>
                <w:sz w:val="18"/>
                <w:szCs w:val="18"/>
                <w:lang w:val="es-ES"/>
              </w:rPr>
              <w:t>Costos del proyecto</w:t>
            </w:r>
          </w:p>
        </w:tc>
        <w:tc>
          <w:tcPr>
            <w:tcW w:w="810" w:type="dxa"/>
            <w:shd w:val="clear" w:color="auto" w:fill="auto"/>
          </w:tcPr>
          <w:p w14:paraId="3D4B69CF" w14:textId="3D9A6F1D" w:rsidR="0088089B" w:rsidRPr="00055977" w:rsidRDefault="0088089B" w:rsidP="0088089B">
            <w:pPr>
              <w:spacing w:after="60"/>
              <w:jc w:val="right"/>
              <w:rPr>
                <w:sz w:val="18"/>
                <w:szCs w:val="18"/>
                <w:lang w:val="es-ES"/>
              </w:rPr>
            </w:pPr>
            <w:r w:rsidRPr="00055977">
              <w:rPr>
                <w:sz w:val="18"/>
                <w:szCs w:val="18"/>
                <w:lang w:val="es-ES"/>
              </w:rPr>
              <w:t>302 737</w:t>
            </w:r>
          </w:p>
        </w:tc>
        <w:tc>
          <w:tcPr>
            <w:tcW w:w="990" w:type="dxa"/>
            <w:shd w:val="clear" w:color="auto" w:fill="auto"/>
          </w:tcPr>
          <w:p w14:paraId="1127113B" w14:textId="10D5269B" w:rsidR="0088089B" w:rsidRPr="00055977" w:rsidRDefault="0088089B" w:rsidP="0088089B">
            <w:pPr>
              <w:spacing w:after="60"/>
              <w:jc w:val="right"/>
              <w:rPr>
                <w:sz w:val="18"/>
                <w:szCs w:val="18"/>
                <w:lang w:val="es-ES"/>
              </w:rPr>
            </w:pPr>
            <w:r w:rsidRPr="00055977">
              <w:rPr>
                <w:sz w:val="18"/>
                <w:szCs w:val="18"/>
                <w:lang w:val="es-ES"/>
              </w:rPr>
              <w:t>2 179 193</w:t>
            </w:r>
          </w:p>
        </w:tc>
        <w:tc>
          <w:tcPr>
            <w:tcW w:w="990" w:type="dxa"/>
            <w:shd w:val="clear" w:color="auto" w:fill="auto"/>
          </w:tcPr>
          <w:p w14:paraId="22CCAE8C" w14:textId="3762F781" w:rsidR="0088089B" w:rsidRPr="00055977" w:rsidRDefault="0088089B" w:rsidP="0088089B">
            <w:pPr>
              <w:spacing w:after="60"/>
              <w:jc w:val="right"/>
              <w:rPr>
                <w:sz w:val="18"/>
                <w:szCs w:val="18"/>
                <w:lang w:val="es-ES"/>
              </w:rPr>
            </w:pPr>
            <w:r w:rsidRPr="00055977">
              <w:rPr>
                <w:sz w:val="18"/>
                <w:szCs w:val="18"/>
                <w:lang w:val="es-ES"/>
              </w:rPr>
              <w:t>3 781 257</w:t>
            </w:r>
          </w:p>
        </w:tc>
        <w:tc>
          <w:tcPr>
            <w:tcW w:w="1170" w:type="dxa"/>
            <w:shd w:val="clear" w:color="auto" w:fill="auto"/>
          </w:tcPr>
          <w:p w14:paraId="2150E77C" w14:textId="48156B49" w:rsidR="0088089B" w:rsidRPr="00055977" w:rsidRDefault="0088089B" w:rsidP="0088089B">
            <w:pPr>
              <w:spacing w:after="60"/>
              <w:jc w:val="right"/>
              <w:rPr>
                <w:sz w:val="18"/>
                <w:szCs w:val="18"/>
                <w:lang w:val="es-ES"/>
              </w:rPr>
            </w:pPr>
            <w:r w:rsidRPr="00055977">
              <w:rPr>
                <w:sz w:val="18"/>
                <w:szCs w:val="18"/>
                <w:lang w:val="es-ES"/>
              </w:rPr>
              <w:t>4 393 450</w:t>
            </w:r>
          </w:p>
        </w:tc>
        <w:tc>
          <w:tcPr>
            <w:tcW w:w="990" w:type="dxa"/>
            <w:shd w:val="clear" w:color="auto" w:fill="auto"/>
          </w:tcPr>
          <w:p w14:paraId="37CD437C" w14:textId="11DA24C3" w:rsidR="0088089B" w:rsidRPr="00055977" w:rsidRDefault="0088089B" w:rsidP="0088089B">
            <w:pPr>
              <w:spacing w:after="60"/>
              <w:jc w:val="right"/>
              <w:rPr>
                <w:sz w:val="18"/>
                <w:szCs w:val="18"/>
                <w:lang w:val="es-ES"/>
              </w:rPr>
            </w:pPr>
            <w:r w:rsidRPr="00055977">
              <w:rPr>
                <w:sz w:val="18"/>
                <w:szCs w:val="18"/>
                <w:lang w:val="es-ES"/>
              </w:rPr>
              <w:t>2 928 967</w:t>
            </w:r>
          </w:p>
        </w:tc>
        <w:tc>
          <w:tcPr>
            <w:tcW w:w="1170" w:type="dxa"/>
            <w:shd w:val="clear" w:color="auto" w:fill="auto"/>
          </w:tcPr>
          <w:p w14:paraId="58A2B1CE" w14:textId="1D7B4904" w:rsidR="0088089B" w:rsidRPr="00055977" w:rsidRDefault="0088089B" w:rsidP="0088089B">
            <w:pPr>
              <w:spacing w:after="60"/>
              <w:jc w:val="right"/>
              <w:rPr>
                <w:sz w:val="18"/>
                <w:szCs w:val="18"/>
                <w:lang w:val="es-ES"/>
              </w:rPr>
            </w:pPr>
            <w:r w:rsidRPr="00055977">
              <w:rPr>
                <w:sz w:val="18"/>
                <w:szCs w:val="18"/>
                <w:lang w:val="es-ES"/>
              </w:rPr>
              <w:t>732 242</w:t>
            </w:r>
          </w:p>
        </w:tc>
        <w:tc>
          <w:tcPr>
            <w:tcW w:w="1085" w:type="dxa"/>
            <w:shd w:val="clear" w:color="auto" w:fill="auto"/>
          </w:tcPr>
          <w:p w14:paraId="748C09CB" w14:textId="77777777" w:rsidR="0088089B" w:rsidRPr="00055977" w:rsidRDefault="0088089B" w:rsidP="0088089B">
            <w:pPr>
              <w:spacing w:after="60"/>
              <w:jc w:val="right"/>
              <w:rPr>
                <w:sz w:val="18"/>
                <w:szCs w:val="18"/>
                <w:lang w:val="es-ES"/>
              </w:rPr>
            </w:pPr>
            <w:r w:rsidRPr="00055977">
              <w:rPr>
                <w:sz w:val="18"/>
                <w:szCs w:val="18"/>
                <w:lang w:val="es-ES"/>
              </w:rPr>
              <w:t>14.317.846</w:t>
            </w:r>
          </w:p>
        </w:tc>
      </w:tr>
      <w:tr w:rsidR="0088089B" w:rsidRPr="00055977" w14:paraId="75FC42DE" w14:textId="77777777" w:rsidTr="00055977">
        <w:trPr>
          <w:jc w:val="center"/>
        </w:trPr>
        <w:tc>
          <w:tcPr>
            <w:tcW w:w="1165" w:type="dxa"/>
            <w:vMerge/>
            <w:shd w:val="clear" w:color="auto" w:fill="auto"/>
          </w:tcPr>
          <w:p w14:paraId="06297AC5" w14:textId="77777777" w:rsidR="0088089B" w:rsidRPr="00055977" w:rsidRDefault="0088089B" w:rsidP="0088089B">
            <w:pPr>
              <w:spacing w:after="60"/>
              <w:jc w:val="center"/>
              <w:rPr>
                <w:sz w:val="18"/>
                <w:szCs w:val="18"/>
                <w:lang w:val="es-ES"/>
              </w:rPr>
            </w:pPr>
          </w:p>
        </w:tc>
        <w:tc>
          <w:tcPr>
            <w:tcW w:w="900" w:type="dxa"/>
            <w:vMerge/>
            <w:shd w:val="clear" w:color="auto" w:fill="auto"/>
          </w:tcPr>
          <w:p w14:paraId="00579B02" w14:textId="77777777" w:rsidR="0088089B" w:rsidRPr="00055977" w:rsidRDefault="0088089B" w:rsidP="0088089B">
            <w:pPr>
              <w:spacing w:after="60"/>
              <w:jc w:val="center"/>
              <w:rPr>
                <w:sz w:val="18"/>
                <w:szCs w:val="18"/>
                <w:lang w:val="es-ES"/>
              </w:rPr>
            </w:pPr>
          </w:p>
        </w:tc>
        <w:tc>
          <w:tcPr>
            <w:tcW w:w="1800" w:type="dxa"/>
            <w:shd w:val="clear" w:color="auto" w:fill="auto"/>
          </w:tcPr>
          <w:p w14:paraId="3BE23B1F" w14:textId="77777777" w:rsidR="0088089B" w:rsidRPr="00055977" w:rsidRDefault="0088089B" w:rsidP="0088089B">
            <w:pPr>
              <w:spacing w:after="60"/>
              <w:jc w:val="left"/>
              <w:rPr>
                <w:sz w:val="18"/>
                <w:szCs w:val="18"/>
                <w:lang w:val="es-ES"/>
              </w:rPr>
            </w:pPr>
            <w:r w:rsidRPr="00055977">
              <w:rPr>
                <w:sz w:val="18"/>
                <w:szCs w:val="18"/>
                <w:lang w:val="es-ES"/>
              </w:rPr>
              <w:t>Gastos de apoyo</w:t>
            </w:r>
          </w:p>
        </w:tc>
        <w:tc>
          <w:tcPr>
            <w:tcW w:w="810" w:type="dxa"/>
            <w:shd w:val="clear" w:color="auto" w:fill="auto"/>
          </w:tcPr>
          <w:p w14:paraId="7102F238" w14:textId="0D0C45F6" w:rsidR="0088089B" w:rsidRPr="00055977" w:rsidRDefault="0088089B" w:rsidP="0088089B">
            <w:pPr>
              <w:spacing w:after="60"/>
              <w:jc w:val="right"/>
              <w:rPr>
                <w:sz w:val="18"/>
                <w:szCs w:val="18"/>
                <w:lang w:val="es-ES"/>
              </w:rPr>
            </w:pPr>
            <w:r w:rsidRPr="00055977">
              <w:rPr>
                <w:sz w:val="18"/>
                <w:szCs w:val="18"/>
                <w:lang w:val="es-ES"/>
              </w:rPr>
              <w:t>21 192</w:t>
            </w:r>
          </w:p>
        </w:tc>
        <w:tc>
          <w:tcPr>
            <w:tcW w:w="990" w:type="dxa"/>
            <w:shd w:val="clear" w:color="auto" w:fill="auto"/>
          </w:tcPr>
          <w:p w14:paraId="19135465" w14:textId="1ECE7C67" w:rsidR="0088089B" w:rsidRPr="00055977" w:rsidRDefault="0088089B" w:rsidP="0088089B">
            <w:pPr>
              <w:spacing w:after="60"/>
              <w:jc w:val="right"/>
              <w:rPr>
                <w:sz w:val="18"/>
                <w:szCs w:val="18"/>
                <w:lang w:val="es-ES"/>
              </w:rPr>
            </w:pPr>
            <w:r w:rsidRPr="00055977">
              <w:rPr>
                <w:sz w:val="18"/>
                <w:szCs w:val="18"/>
                <w:lang w:val="es-ES"/>
              </w:rPr>
              <w:t>152 544</w:t>
            </w:r>
          </w:p>
        </w:tc>
        <w:tc>
          <w:tcPr>
            <w:tcW w:w="990" w:type="dxa"/>
            <w:shd w:val="clear" w:color="auto" w:fill="auto"/>
          </w:tcPr>
          <w:p w14:paraId="15995886" w14:textId="4AF02CE4" w:rsidR="0088089B" w:rsidRPr="00055977" w:rsidRDefault="0088089B" w:rsidP="0088089B">
            <w:pPr>
              <w:spacing w:after="60"/>
              <w:jc w:val="right"/>
              <w:rPr>
                <w:sz w:val="18"/>
                <w:szCs w:val="18"/>
                <w:lang w:val="es-ES"/>
              </w:rPr>
            </w:pPr>
            <w:r w:rsidRPr="00055977">
              <w:rPr>
                <w:sz w:val="18"/>
                <w:szCs w:val="18"/>
                <w:lang w:val="es-ES"/>
              </w:rPr>
              <w:t>264 688</w:t>
            </w:r>
          </w:p>
        </w:tc>
        <w:tc>
          <w:tcPr>
            <w:tcW w:w="1170" w:type="dxa"/>
            <w:shd w:val="clear" w:color="auto" w:fill="auto"/>
          </w:tcPr>
          <w:p w14:paraId="36E5B824" w14:textId="739352C0" w:rsidR="0088089B" w:rsidRPr="00055977" w:rsidRDefault="0088089B" w:rsidP="0088089B">
            <w:pPr>
              <w:spacing w:after="60"/>
              <w:jc w:val="right"/>
              <w:rPr>
                <w:sz w:val="18"/>
                <w:szCs w:val="18"/>
                <w:lang w:val="es-ES"/>
              </w:rPr>
            </w:pPr>
            <w:r w:rsidRPr="00055977">
              <w:rPr>
                <w:sz w:val="18"/>
                <w:szCs w:val="18"/>
                <w:lang w:val="es-ES"/>
              </w:rPr>
              <w:t>307 542</w:t>
            </w:r>
          </w:p>
        </w:tc>
        <w:tc>
          <w:tcPr>
            <w:tcW w:w="990" w:type="dxa"/>
            <w:shd w:val="clear" w:color="auto" w:fill="auto"/>
          </w:tcPr>
          <w:p w14:paraId="25D5FE0B" w14:textId="5E07C76B" w:rsidR="0088089B" w:rsidRPr="00055977" w:rsidRDefault="0088089B" w:rsidP="0088089B">
            <w:pPr>
              <w:spacing w:after="60"/>
              <w:jc w:val="right"/>
              <w:rPr>
                <w:sz w:val="18"/>
                <w:szCs w:val="18"/>
                <w:lang w:val="es-ES"/>
              </w:rPr>
            </w:pPr>
            <w:r w:rsidRPr="00055977">
              <w:rPr>
                <w:sz w:val="18"/>
                <w:szCs w:val="18"/>
                <w:lang w:val="es-ES"/>
              </w:rPr>
              <w:t>205 028</w:t>
            </w:r>
          </w:p>
        </w:tc>
        <w:tc>
          <w:tcPr>
            <w:tcW w:w="1170" w:type="dxa"/>
            <w:shd w:val="clear" w:color="auto" w:fill="auto"/>
          </w:tcPr>
          <w:p w14:paraId="1D7FB1FB" w14:textId="4C7FCB07" w:rsidR="0088089B" w:rsidRPr="00055977" w:rsidRDefault="0088089B" w:rsidP="0088089B">
            <w:pPr>
              <w:spacing w:after="60"/>
              <w:jc w:val="right"/>
              <w:rPr>
                <w:sz w:val="18"/>
                <w:szCs w:val="18"/>
                <w:lang w:val="es-ES"/>
              </w:rPr>
            </w:pPr>
            <w:r w:rsidRPr="00055977">
              <w:rPr>
                <w:sz w:val="18"/>
                <w:szCs w:val="18"/>
                <w:lang w:val="es-ES"/>
              </w:rPr>
              <w:t>51 257</w:t>
            </w:r>
          </w:p>
        </w:tc>
        <w:tc>
          <w:tcPr>
            <w:tcW w:w="1085" w:type="dxa"/>
            <w:shd w:val="clear" w:color="auto" w:fill="auto"/>
          </w:tcPr>
          <w:p w14:paraId="46DBB6AF" w14:textId="77777777" w:rsidR="0088089B" w:rsidRPr="00055977" w:rsidRDefault="0088089B" w:rsidP="0088089B">
            <w:pPr>
              <w:spacing w:after="60"/>
              <w:jc w:val="right"/>
              <w:rPr>
                <w:sz w:val="18"/>
                <w:szCs w:val="18"/>
                <w:lang w:val="es-ES"/>
              </w:rPr>
            </w:pPr>
            <w:r w:rsidRPr="00055977">
              <w:rPr>
                <w:sz w:val="18"/>
                <w:szCs w:val="18"/>
                <w:lang w:val="es-ES"/>
              </w:rPr>
              <w:t>1.002.249</w:t>
            </w:r>
          </w:p>
        </w:tc>
      </w:tr>
      <w:tr w:rsidR="0088089B" w:rsidRPr="00055977" w14:paraId="58DA9EEA" w14:textId="77777777" w:rsidTr="00055977">
        <w:trPr>
          <w:jc w:val="center"/>
        </w:trPr>
        <w:tc>
          <w:tcPr>
            <w:tcW w:w="1165" w:type="dxa"/>
            <w:vMerge/>
            <w:shd w:val="clear" w:color="auto" w:fill="auto"/>
          </w:tcPr>
          <w:p w14:paraId="699E430B" w14:textId="77777777" w:rsidR="0088089B" w:rsidRPr="00055977" w:rsidRDefault="0088089B" w:rsidP="0088089B">
            <w:pPr>
              <w:spacing w:after="60"/>
              <w:jc w:val="center"/>
              <w:rPr>
                <w:sz w:val="18"/>
                <w:szCs w:val="18"/>
                <w:lang w:val="es-ES"/>
              </w:rPr>
            </w:pPr>
          </w:p>
        </w:tc>
        <w:tc>
          <w:tcPr>
            <w:tcW w:w="900" w:type="dxa"/>
            <w:vMerge w:val="restart"/>
            <w:shd w:val="clear" w:color="auto" w:fill="auto"/>
          </w:tcPr>
          <w:p w14:paraId="777EFBB2" w14:textId="77777777" w:rsidR="0088089B" w:rsidRPr="00055977" w:rsidRDefault="0088089B" w:rsidP="0088089B">
            <w:pPr>
              <w:spacing w:after="60"/>
              <w:jc w:val="center"/>
              <w:rPr>
                <w:sz w:val="18"/>
                <w:szCs w:val="18"/>
                <w:lang w:val="es-ES"/>
              </w:rPr>
            </w:pPr>
            <w:r w:rsidRPr="00055977">
              <w:rPr>
                <w:sz w:val="18"/>
                <w:szCs w:val="18"/>
                <w:lang w:val="es-ES"/>
              </w:rPr>
              <w:t>Japón</w:t>
            </w:r>
          </w:p>
        </w:tc>
        <w:tc>
          <w:tcPr>
            <w:tcW w:w="1800" w:type="dxa"/>
            <w:shd w:val="clear" w:color="auto" w:fill="auto"/>
          </w:tcPr>
          <w:p w14:paraId="5D8AE1C9" w14:textId="77777777" w:rsidR="0088089B" w:rsidRPr="00055977" w:rsidRDefault="0088089B" w:rsidP="0088089B">
            <w:pPr>
              <w:spacing w:after="60"/>
              <w:jc w:val="left"/>
              <w:rPr>
                <w:sz w:val="18"/>
                <w:szCs w:val="18"/>
                <w:lang w:val="es-ES"/>
              </w:rPr>
            </w:pPr>
            <w:r w:rsidRPr="00055977">
              <w:rPr>
                <w:sz w:val="18"/>
                <w:szCs w:val="18"/>
                <w:lang w:val="es-ES"/>
              </w:rPr>
              <w:t>Costos del proyecto</w:t>
            </w:r>
          </w:p>
        </w:tc>
        <w:tc>
          <w:tcPr>
            <w:tcW w:w="810" w:type="dxa"/>
            <w:shd w:val="clear" w:color="auto" w:fill="auto"/>
          </w:tcPr>
          <w:p w14:paraId="3404BB41" w14:textId="5B598B1A" w:rsidR="0088089B" w:rsidRPr="00055977" w:rsidRDefault="0088089B" w:rsidP="0088089B">
            <w:pPr>
              <w:spacing w:after="60"/>
              <w:jc w:val="right"/>
              <w:rPr>
                <w:sz w:val="18"/>
                <w:szCs w:val="18"/>
                <w:lang w:val="es-ES"/>
              </w:rPr>
            </w:pPr>
            <w:r w:rsidRPr="00055977">
              <w:rPr>
                <w:sz w:val="18"/>
                <w:szCs w:val="18"/>
                <w:lang w:val="es-ES"/>
              </w:rPr>
              <w:t>43 250</w:t>
            </w:r>
          </w:p>
        </w:tc>
        <w:tc>
          <w:tcPr>
            <w:tcW w:w="990" w:type="dxa"/>
            <w:shd w:val="clear" w:color="auto" w:fill="auto"/>
          </w:tcPr>
          <w:p w14:paraId="34908149" w14:textId="79FADF94" w:rsidR="0088089B" w:rsidRPr="00055977" w:rsidRDefault="0088089B" w:rsidP="0088089B">
            <w:pPr>
              <w:spacing w:after="60"/>
              <w:jc w:val="right"/>
              <w:rPr>
                <w:sz w:val="18"/>
                <w:szCs w:val="18"/>
                <w:lang w:val="es-ES"/>
              </w:rPr>
            </w:pPr>
            <w:r w:rsidRPr="00055977">
              <w:rPr>
                <w:sz w:val="18"/>
                <w:szCs w:val="18"/>
                <w:lang w:val="es-ES"/>
              </w:rPr>
              <w:t>163 980</w:t>
            </w:r>
          </w:p>
        </w:tc>
        <w:tc>
          <w:tcPr>
            <w:tcW w:w="990" w:type="dxa"/>
            <w:shd w:val="clear" w:color="auto" w:fill="auto"/>
          </w:tcPr>
          <w:p w14:paraId="26BC8ABD" w14:textId="0EBEDAC6" w:rsidR="0088089B" w:rsidRPr="00055977" w:rsidRDefault="0088089B" w:rsidP="0088089B">
            <w:pPr>
              <w:spacing w:after="60"/>
              <w:jc w:val="right"/>
              <w:rPr>
                <w:sz w:val="18"/>
                <w:szCs w:val="18"/>
                <w:lang w:val="es-ES"/>
              </w:rPr>
            </w:pPr>
            <w:r w:rsidRPr="00055977">
              <w:rPr>
                <w:sz w:val="18"/>
                <w:szCs w:val="18"/>
                <w:lang w:val="es-ES"/>
              </w:rPr>
              <w:t>26 400</w:t>
            </w:r>
          </w:p>
        </w:tc>
        <w:tc>
          <w:tcPr>
            <w:tcW w:w="1170" w:type="dxa"/>
            <w:shd w:val="clear" w:color="auto" w:fill="auto"/>
          </w:tcPr>
          <w:p w14:paraId="2A23377F" w14:textId="77777777" w:rsidR="0088089B" w:rsidRPr="00055977" w:rsidRDefault="0088089B" w:rsidP="0088089B">
            <w:pPr>
              <w:spacing w:after="60"/>
              <w:jc w:val="right"/>
              <w:rPr>
                <w:sz w:val="18"/>
                <w:szCs w:val="18"/>
                <w:lang w:val="es-ES"/>
              </w:rPr>
            </w:pPr>
            <w:r w:rsidRPr="00055977">
              <w:rPr>
                <w:sz w:val="18"/>
                <w:szCs w:val="18"/>
                <w:lang w:val="es-ES"/>
              </w:rPr>
              <w:t>0</w:t>
            </w:r>
          </w:p>
        </w:tc>
        <w:tc>
          <w:tcPr>
            <w:tcW w:w="990" w:type="dxa"/>
            <w:shd w:val="clear" w:color="auto" w:fill="auto"/>
          </w:tcPr>
          <w:p w14:paraId="2414DDE0" w14:textId="77777777" w:rsidR="0088089B" w:rsidRPr="00055977" w:rsidRDefault="0088089B" w:rsidP="0088089B">
            <w:pPr>
              <w:spacing w:after="60"/>
              <w:jc w:val="right"/>
              <w:rPr>
                <w:sz w:val="18"/>
                <w:szCs w:val="18"/>
                <w:lang w:val="es-ES"/>
              </w:rPr>
            </w:pPr>
            <w:r w:rsidRPr="00055977">
              <w:rPr>
                <w:sz w:val="18"/>
                <w:szCs w:val="18"/>
                <w:lang w:val="es-ES"/>
              </w:rPr>
              <w:t>0</w:t>
            </w:r>
          </w:p>
        </w:tc>
        <w:tc>
          <w:tcPr>
            <w:tcW w:w="1170" w:type="dxa"/>
            <w:shd w:val="clear" w:color="auto" w:fill="auto"/>
          </w:tcPr>
          <w:p w14:paraId="4F90B2F1" w14:textId="77777777" w:rsidR="0088089B" w:rsidRPr="00055977" w:rsidRDefault="0088089B" w:rsidP="0088089B">
            <w:pPr>
              <w:spacing w:after="60"/>
              <w:jc w:val="right"/>
              <w:rPr>
                <w:sz w:val="18"/>
                <w:szCs w:val="18"/>
                <w:lang w:val="es-ES"/>
              </w:rPr>
            </w:pPr>
            <w:r w:rsidRPr="00055977">
              <w:rPr>
                <w:sz w:val="18"/>
                <w:szCs w:val="18"/>
                <w:lang w:val="es-ES"/>
              </w:rPr>
              <w:t>0</w:t>
            </w:r>
          </w:p>
        </w:tc>
        <w:tc>
          <w:tcPr>
            <w:tcW w:w="1085" w:type="dxa"/>
            <w:shd w:val="clear" w:color="auto" w:fill="auto"/>
          </w:tcPr>
          <w:p w14:paraId="7D2D95D9" w14:textId="77777777" w:rsidR="0088089B" w:rsidRPr="00055977" w:rsidRDefault="0088089B" w:rsidP="0088089B">
            <w:pPr>
              <w:spacing w:after="60"/>
              <w:jc w:val="right"/>
              <w:rPr>
                <w:sz w:val="18"/>
                <w:szCs w:val="18"/>
                <w:lang w:val="es-ES"/>
              </w:rPr>
            </w:pPr>
            <w:r w:rsidRPr="00055977">
              <w:rPr>
                <w:sz w:val="18"/>
                <w:szCs w:val="18"/>
                <w:lang w:val="es-ES"/>
              </w:rPr>
              <w:t>233.630</w:t>
            </w:r>
          </w:p>
        </w:tc>
      </w:tr>
      <w:tr w:rsidR="0088089B" w:rsidRPr="00055977" w14:paraId="0651AF41" w14:textId="77777777" w:rsidTr="00055977">
        <w:trPr>
          <w:jc w:val="center"/>
        </w:trPr>
        <w:tc>
          <w:tcPr>
            <w:tcW w:w="1165" w:type="dxa"/>
            <w:vMerge/>
            <w:shd w:val="clear" w:color="auto" w:fill="auto"/>
          </w:tcPr>
          <w:p w14:paraId="560F653A" w14:textId="77777777" w:rsidR="0088089B" w:rsidRPr="00055977" w:rsidRDefault="0088089B" w:rsidP="0088089B">
            <w:pPr>
              <w:spacing w:after="60"/>
              <w:jc w:val="center"/>
              <w:rPr>
                <w:sz w:val="18"/>
                <w:szCs w:val="18"/>
                <w:lang w:val="es-ES"/>
              </w:rPr>
            </w:pPr>
          </w:p>
        </w:tc>
        <w:tc>
          <w:tcPr>
            <w:tcW w:w="900" w:type="dxa"/>
            <w:vMerge/>
            <w:shd w:val="clear" w:color="auto" w:fill="auto"/>
          </w:tcPr>
          <w:p w14:paraId="27AB4354" w14:textId="77777777" w:rsidR="0088089B" w:rsidRPr="00055977" w:rsidRDefault="0088089B" w:rsidP="0088089B">
            <w:pPr>
              <w:spacing w:after="60"/>
              <w:jc w:val="center"/>
              <w:rPr>
                <w:sz w:val="18"/>
                <w:szCs w:val="18"/>
                <w:lang w:val="es-ES"/>
              </w:rPr>
            </w:pPr>
          </w:p>
        </w:tc>
        <w:tc>
          <w:tcPr>
            <w:tcW w:w="1800" w:type="dxa"/>
            <w:shd w:val="clear" w:color="auto" w:fill="auto"/>
          </w:tcPr>
          <w:p w14:paraId="7042BE83" w14:textId="77777777" w:rsidR="0088089B" w:rsidRPr="00055977" w:rsidRDefault="0088089B" w:rsidP="0088089B">
            <w:pPr>
              <w:spacing w:after="60"/>
              <w:jc w:val="left"/>
              <w:rPr>
                <w:sz w:val="18"/>
                <w:szCs w:val="18"/>
                <w:lang w:val="es-ES"/>
              </w:rPr>
            </w:pPr>
            <w:r w:rsidRPr="00055977">
              <w:rPr>
                <w:sz w:val="18"/>
                <w:szCs w:val="18"/>
                <w:lang w:val="es-ES"/>
              </w:rPr>
              <w:t>Gastos de apoyo</w:t>
            </w:r>
          </w:p>
        </w:tc>
        <w:tc>
          <w:tcPr>
            <w:tcW w:w="810" w:type="dxa"/>
            <w:shd w:val="clear" w:color="auto" w:fill="auto"/>
          </w:tcPr>
          <w:p w14:paraId="4B938EFE" w14:textId="6457B519" w:rsidR="0088089B" w:rsidRPr="00055977" w:rsidRDefault="0088089B" w:rsidP="0088089B">
            <w:pPr>
              <w:spacing w:after="60"/>
              <w:jc w:val="right"/>
              <w:rPr>
                <w:sz w:val="18"/>
                <w:szCs w:val="18"/>
                <w:lang w:val="es-ES"/>
              </w:rPr>
            </w:pPr>
            <w:r w:rsidRPr="00055977">
              <w:rPr>
                <w:sz w:val="18"/>
                <w:szCs w:val="18"/>
                <w:lang w:val="es-ES"/>
              </w:rPr>
              <w:t>5 623</w:t>
            </w:r>
          </w:p>
        </w:tc>
        <w:tc>
          <w:tcPr>
            <w:tcW w:w="990" w:type="dxa"/>
            <w:shd w:val="clear" w:color="auto" w:fill="auto"/>
          </w:tcPr>
          <w:p w14:paraId="76E17339" w14:textId="7E4AC19D" w:rsidR="0088089B" w:rsidRPr="00055977" w:rsidRDefault="0088089B" w:rsidP="0088089B">
            <w:pPr>
              <w:spacing w:after="60"/>
              <w:jc w:val="right"/>
              <w:rPr>
                <w:sz w:val="18"/>
                <w:szCs w:val="18"/>
                <w:lang w:val="es-ES"/>
              </w:rPr>
            </w:pPr>
            <w:r w:rsidRPr="00055977">
              <w:rPr>
                <w:sz w:val="18"/>
                <w:szCs w:val="18"/>
                <w:lang w:val="es-ES"/>
              </w:rPr>
              <w:t>21 317</w:t>
            </w:r>
          </w:p>
        </w:tc>
        <w:tc>
          <w:tcPr>
            <w:tcW w:w="990" w:type="dxa"/>
            <w:shd w:val="clear" w:color="auto" w:fill="auto"/>
          </w:tcPr>
          <w:p w14:paraId="420E4074" w14:textId="3C1AA3E7" w:rsidR="0088089B" w:rsidRPr="00055977" w:rsidRDefault="0088089B" w:rsidP="0088089B">
            <w:pPr>
              <w:spacing w:after="60"/>
              <w:jc w:val="right"/>
              <w:rPr>
                <w:sz w:val="18"/>
                <w:szCs w:val="18"/>
                <w:lang w:val="es-ES"/>
              </w:rPr>
            </w:pPr>
            <w:r w:rsidRPr="00055977">
              <w:rPr>
                <w:sz w:val="18"/>
                <w:szCs w:val="18"/>
                <w:lang w:val="es-ES"/>
              </w:rPr>
              <w:t>3 432</w:t>
            </w:r>
          </w:p>
        </w:tc>
        <w:tc>
          <w:tcPr>
            <w:tcW w:w="1170" w:type="dxa"/>
            <w:shd w:val="clear" w:color="auto" w:fill="auto"/>
          </w:tcPr>
          <w:p w14:paraId="37CB679A" w14:textId="77777777" w:rsidR="0088089B" w:rsidRPr="00055977" w:rsidRDefault="0088089B" w:rsidP="0088089B">
            <w:pPr>
              <w:spacing w:after="60"/>
              <w:jc w:val="right"/>
              <w:rPr>
                <w:sz w:val="18"/>
                <w:szCs w:val="18"/>
                <w:lang w:val="es-ES"/>
              </w:rPr>
            </w:pPr>
            <w:r w:rsidRPr="00055977">
              <w:rPr>
                <w:sz w:val="18"/>
                <w:szCs w:val="18"/>
                <w:lang w:val="es-ES"/>
              </w:rPr>
              <w:t>0</w:t>
            </w:r>
          </w:p>
        </w:tc>
        <w:tc>
          <w:tcPr>
            <w:tcW w:w="990" w:type="dxa"/>
            <w:shd w:val="clear" w:color="auto" w:fill="auto"/>
          </w:tcPr>
          <w:p w14:paraId="11524109" w14:textId="77777777" w:rsidR="0088089B" w:rsidRPr="00055977" w:rsidRDefault="0088089B" w:rsidP="0088089B">
            <w:pPr>
              <w:spacing w:after="60"/>
              <w:jc w:val="right"/>
              <w:rPr>
                <w:sz w:val="18"/>
                <w:szCs w:val="18"/>
                <w:lang w:val="es-ES"/>
              </w:rPr>
            </w:pPr>
            <w:r w:rsidRPr="00055977">
              <w:rPr>
                <w:sz w:val="18"/>
                <w:szCs w:val="18"/>
                <w:lang w:val="es-ES"/>
              </w:rPr>
              <w:t>0</w:t>
            </w:r>
          </w:p>
        </w:tc>
        <w:tc>
          <w:tcPr>
            <w:tcW w:w="1170" w:type="dxa"/>
            <w:shd w:val="clear" w:color="auto" w:fill="auto"/>
          </w:tcPr>
          <w:p w14:paraId="1B95B1B1" w14:textId="77777777" w:rsidR="0088089B" w:rsidRPr="00055977" w:rsidRDefault="0088089B" w:rsidP="0088089B">
            <w:pPr>
              <w:spacing w:after="60"/>
              <w:jc w:val="right"/>
              <w:rPr>
                <w:sz w:val="18"/>
                <w:szCs w:val="18"/>
                <w:lang w:val="es-ES"/>
              </w:rPr>
            </w:pPr>
            <w:r w:rsidRPr="00055977">
              <w:rPr>
                <w:sz w:val="18"/>
                <w:szCs w:val="18"/>
                <w:lang w:val="es-ES"/>
              </w:rPr>
              <w:t>0</w:t>
            </w:r>
          </w:p>
        </w:tc>
        <w:tc>
          <w:tcPr>
            <w:tcW w:w="1085" w:type="dxa"/>
            <w:shd w:val="clear" w:color="auto" w:fill="auto"/>
          </w:tcPr>
          <w:p w14:paraId="58CE8859" w14:textId="77777777" w:rsidR="0088089B" w:rsidRPr="00055977" w:rsidRDefault="0088089B" w:rsidP="0088089B">
            <w:pPr>
              <w:spacing w:after="60"/>
              <w:jc w:val="right"/>
              <w:rPr>
                <w:sz w:val="18"/>
                <w:szCs w:val="18"/>
                <w:lang w:val="es-ES"/>
              </w:rPr>
            </w:pPr>
            <w:r w:rsidRPr="00055977">
              <w:rPr>
                <w:sz w:val="18"/>
                <w:szCs w:val="18"/>
                <w:lang w:val="es-ES"/>
              </w:rPr>
              <w:t>30.372</w:t>
            </w:r>
          </w:p>
        </w:tc>
      </w:tr>
      <w:tr w:rsidR="0088089B" w:rsidRPr="00055977" w14:paraId="5F766EA5" w14:textId="77777777" w:rsidTr="00055977">
        <w:trPr>
          <w:jc w:val="center"/>
        </w:trPr>
        <w:tc>
          <w:tcPr>
            <w:tcW w:w="2065" w:type="dxa"/>
            <w:gridSpan w:val="2"/>
            <w:vMerge w:val="restart"/>
            <w:shd w:val="clear" w:color="auto" w:fill="auto"/>
          </w:tcPr>
          <w:p w14:paraId="06BCF9D4" w14:textId="77777777" w:rsidR="0088089B" w:rsidRPr="00055977" w:rsidRDefault="0088089B" w:rsidP="0088089B">
            <w:pPr>
              <w:spacing w:after="60"/>
              <w:jc w:val="left"/>
              <w:rPr>
                <w:sz w:val="18"/>
                <w:szCs w:val="18"/>
                <w:lang w:val="es-ES"/>
              </w:rPr>
            </w:pPr>
            <w:r w:rsidRPr="00055977">
              <w:rPr>
                <w:sz w:val="18"/>
                <w:szCs w:val="18"/>
                <w:lang w:val="es-ES"/>
              </w:rPr>
              <w:t>Fondos aprobados por el Comité Ejecutivo ($EUA)</w:t>
            </w:r>
          </w:p>
        </w:tc>
        <w:tc>
          <w:tcPr>
            <w:tcW w:w="1800" w:type="dxa"/>
            <w:shd w:val="clear" w:color="auto" w:fill="auto"/>
          </w:tcPr>
          <w:p w14:paraId="1AC8E9BF" w14:textId="77777777" w:rsidR="0088089B" w:rsidRPr="00055977" w:rsidRDefault="0088089B" w:rsidP="0088089B">
            <w:pPr>
              <w:spacing w:after="60"/>
              <w:jc w:val="left"/>
              <w:rPr>
                <w:sz w:val="18"/>
                <w:szCs w:val="18"/>
                <w:lang w:val="es-ES"/>
              </w:rPr>
            </w:pPr>
            <w:r w:rsidRPr="00055977">
              <w:rPr>
                <w:sz w:val="18"/>
                <w:szCs w:val="18"/>
                <w:lang w:val="es-ES"/>
              </w:rPr>
              <w:t>Costos del proyecto</w:t>
            </w:r>
          </w:p>
        </w:tc>
        <w:tc>
          <w:tcPr>
            <w:tcW w:w="810" w:type="dxa"/>
            <w:shd w:val="clear" w:color="auto" w:fill="auto"/>
          </w:tcPr>
          <w:p w14:paraId="28BC12EA" w14:textId="77777777" w:rsidR="0088089B" w:rsidRPr="00055977" w:rsidRDefault="0088089B" w:rsidP="0088089B">
            <w:pPr>
              <w:spacing w:after="60"/>
              <w:jc w:val="right"/>
              <w:rPr>
                <w:sz w:val="18"/>
                <w:szCs w:val="18"/>
                <w:lang w:val="es-ES"/>
              </w:rPr>
            </w:pPr>
            <w:r w:rsidRPr="00055977">
              <w:rPr>
                <w:sz w:val="18"/>
                <w:szCs w:val="18"/>
                <w:lang w:val="es-ES"/>
              </w:rPr>
              <w:t>345.987</w:t>
            </w:r>
          </w:p>
        </w:tc>
        <w:tc>
          <w:tcPr>
            <w:tcW w:w="990" w:type="dxa"/>
            <w:shd w:val="clear" w:color="auto" w:fill="auto"/>
          </w:tcPr>
          <w:p w14:paraId="522E5C45" w14:textId="77777777" w:rsidR="0088089B" w:rsidRPr="00055977" w:rsidRDefault="0088089B" w:rsidP="0088089B">
            <w:pPr>
              <w:spacing w:after="60"/>
              <w:jc w:val="right"/>
              <w:rPr>
                <w:sz w:val="18"/>
                <w:szCs w:val="18"/>
                <w:lang w:val="es-ES"/>
              </w:rPr>
            </w:pPr>
          </w:p>
        </w:tc>
        <w:tc>
          <w:tcPr>
            <w:tcW w:w="990" w:type="dxa"/>
            <w:shd w:val="clear" w:color="auto" w:fill="auto"/>
          </w:tcPr>
          <w:p w14:paraId="5796A4EC" w14:textId="77777777" w:rsidR="0088089B" w:rsidRPr="00055977" w:rsidRDefault="0088089B" w:rsidP="0088089B">
            <w:pPr>
              <w:spacing w:after="60"/>
              <w:jc w:val="right"/>
              <w:rPr>
                <w:sz w:val="18"/>
                <w:szCs w:val="18"/>
                <w:lang w:val="es-ES"/>
              </w:rPr>
            </w:pPr>
          </w:p>
        </w:tc>
        <w:tc>
          <w:tcPr>
            <w:tcW w:w="1170" w:type="dxa"/>
            <w:shd w:val="clear" w:color="auto" w:fill="auto"/>
          </w:tcPr>
          <w:p w14:paraId="4941D41D" w14:textId="6918C4D1" w:rsidR="0088089B" w:rsidRPr="00055977" w:rsidRDefault="0088089B" w:rsidP="0088089B">
            <w:pPr>
              <w:spacing w:after="60"/>
              <w:jc w:val="right"/>
              <w:rPr>
                <w:sz w:val="18"/>
                <w:szCs w:val="18"/>
                <w:lang w:val="es-ES"/>
              </w:rPr>
            </w:pPr>
            <w:r w:rsidRPr="00055977">
              <w:rPr>
                <w:sz w:val="18"/>
                <w:szCs w:val="18"/>
                <w:lang w:val="es-ES"/>
              </w:rPr>
              <w:t>2 343 173</w:t>
            </w:r>
            <w:r w:rsidRPr="00055977">
              <w:rPr>
                <w:b/>
                <w:sz w:val="18"/>
                <w:szCs w:val="18"/>
                <w:lang w:val="es-ES"/>
              </w:rPr>
              <w:t>**</w:t>
            </w:r>
          </w:p>
        </w:tc>
        <w:tc>
          <w:tcPr>
            <w:tcW w:w="990" w:type="dxa"/>
            <w:shd w:val="clear" w:color="auto" w:fill="auto"/>
          </w:tcPr>
          <w:p w14:paraId="7D734954" w14:textId="77777777" w:rsidR="0088089B" w:rsidRPr="00055977" w:rsidRDefault="0088089B" w:rsidP="0088089B">
            <w:pPr>
              <w:spacing w:after="60"/>
              <w:jc w:val="right"/>
              <w:rPr>
                <w:sz w:val="18"/>
                <w:szCs w:val="18"/>
                <w:lang w:val="es-ES"/>
              </w:rPr>
            </w:pPr>
          </w:p>
        </w:tc>
        <w:tc>
          <w:tcPr>
            <w:tcW w:w="1170" w:type="dxa"/>
            <w:shd w:val="clear" w:color="auto" w:fill="auto"/>
          </w:tcPr>
          <w:p w14:paraId="4AD111D4" w14:textId="77777777" w:rsidR="0088089B" w:rsidRPr="00055977" w:rsidRDefault="0088089B" w:rsidP="0088089B">
            <w:pPr>
              <w:spacing w:after="60"/>
              <w:jc w:val="right"/>
              <w:rPr>
                <w:sz w:val="18"/>
                <w:szCs w:val="18"/>
                <w:lang w:val="es-ES"/>
              </w:rPr>
            </w:pPr>
          </w:p>
        </w:tc>
        <w:tc>
          <w:tcPr>
            <w:tcW w:w="1085" w:type="dxa"/>
            <w:shd w:val="clear" w:color="auto" w:fill="auto"/>
          </w:tcPr>
          <w:p w14:paraId="51A5C4A9" w14:textId="10C4A3D5" w:rsidR="0088089B" w:rsidRPr="00055977" w:rsidRDefault="0088089B" w:rsidP="0088089B">
            <w:pPr>
              <w:spacing w:after="60"/>
              <w:jc w:val="right"/>
              <w:rPr>
                <w:sz w:val="18"/>
                <w:szCs w:val="18"/>
                <w:lang w:val="es-ES"/>
              </w:rPr>
            </w:pPr>
            <w:r w:rsidRPr="00055977">
              <w:rPr>
                <w:sz w:val="18"/>
                <w:szCs w:val="18"/>
                <w:lang w:val="es-ES"/>
              </w:rPr>
              <w:t>2 689 160</w:t>
            </w:r>
          </w:p>
        </w:tc>
      </w:tr>
      <w:tr w:rsidR="0088089B" w:rsidRPr="00055977" w14:paraId="060CDBCF" w14:textId="77777777" w:rsidTr="00055977">
        <w:trPr>
          <w:jc w:val="center"/>
        </w:trPr>
        <w:tc>
          <w:tcPr>
            <w:tcW w:w="2065" w:type="dxa"/>
            <w:gridSpan w:val="2"/>
            <w:vMerge/>
            <w:shd w:val="clear" w:color="auto" w:fill="auto"/>
          </w:tcPr>
          <w:p w14:paraId="5D7F9551" w14:textId="77777777" w:rsidR="0088089B" w:rsidRPr="00055977" w:rsidRDefault="0088089B" w:rsidP="0088089B">
            <w:pPr>
              <w:spacing w:after="60"/>
              <w:jc w:val="center"/>
              <w:rPr>
                <w:sz w:val="18"/>
                <w:szCs w:val="18"/>
                <w:lang w:val="es-ES"/>
              </w:rPr>
            </w:pPr>
          </w:p>
        </w:tc>
        <w:tc>
          <w:tcPr>
            <w:tcW w:w="1800" w:type="dxa"/>
            <w:shd w:val="clear" w:color="auto" w:fill="auto"/>
          </w:tcPr>
          <w:p w14:paraId="02903B6A" w14:textId="77777777" w:rsidR="0088089B" w:rsidRPr="00055977" w:rsidRDefault="0088089B" w:rsidP="0088089B">
            <w:pPr>
              <w:spacing w:after="60"/>
              <w:jc w:val="left"/>
              <w:rPr>
                <w:sz w:val="18"/>
                <w:szCs w:val="18"/>
                <w:lang w:val="es-ES"/>
              </w:rPr>
            </w:pPr>
            <w:r w:rsidRPr="00055977">
              <w:rPr>
                <w:sz w:val="18"/>
                <w:szCs w:val="18"/>
                <w:lang w:val="es-ES"/>
              </w:rPr>
              <w:t>Gastos de apoyo</w:t>
            </w:r>
          </w:p>
        </w:tc>
        <w:tc>
          <w:tcPr>
            <w:tcW w:w="810" w:type="dxa"/>
            <w:shd w:val="clear" w:color="auto" w:fill="auto"/>
          </w:tcPr>
          <w:p w14:paraId="72441611" w14:textId="77777777" w:rsidR="0088089B" w:rsidRPr="00055977" w:rsidRDefault="0088089B" w:rsidP="0088089B">
            <w:pPr>
              <w:spacing w:after="60"/>
              <w:jc w:val="right"/>
              <w:rPr>
                <w:sz w:val="18"/>
                <w:szCs w:val="18"/>
                <w:lang w:val="es-ES"/>
              </w:rPr>
            </w:pPr>
            <w:r w:rsidRPr="00055977">
              <w:rPr>
                <w:sz w:val="18"/>
                <w:szCs w:val="18"/>
                <w:lang w:val="es-ES"/>
              </w:rPr>
              <w:t>26.814</w:t>
            </w:r>
          </w:p>
        </w:tc>
        <w:tc>
          <w:tcPr>
            <w:tcW w:w="990" w:type="dxa"/>
            <w:shd w:val="clear" w:color="auto" w:fill="auto"/>
          </w:tcPr>
          <w:p w14:paraId="390F6BBC" w14:textId="77777777" w:rsidR="0088089B" w:rsidRPr="00055977" w:rsidRDefault="0088089B" w:rsidP="0088089B">
            <w:pPr>
              <w:spacing w:after="60"/>
              <w:jc w:val="right"/>
              <w:rPr>
                <w:sz w:val="18"/>
                <w:szCs w:val="18"/>
                <w:lang w:val="es-ES"/>
              </w:rPr>
            </w:pPr>
          </w:p>
        </w:tc>
        <w:tc>
          <w:tcPr>
            <w:tcW w:w="990" w:type="dxa"/>
            <w:shd w:val="clear" w:color="auto" w:fill="auto"/>
          </w:tcPr>
          <w:p w14:paraId="1FA4E8E2" w14:textId="77777777" w:rsidR="0088089B" w:rsidRPr="00055977" w:rsidRDefault="0088089B" w:rsidP="0088089B">
            <w:pPr>
              <w:spacing w:after="60"/>
              <w:jc w:val="right"/>
              <w:rPr>
                <w:sz w:val="18"/>
                <w:szCs w:val="18"/>
                <w:lang w:val="es-ES"/>
              </w:rPr>
            </w:pPr>
          </w:p>
        </w:tc>
        <w:tc>
          <w:tcPr>
            <w:tcW w:w="1170" w:type="dxa"/>
            <w:shd w:val="clear" w:color="auto" w:fill="auto"/>
          </w:tcPr>
          <w:p w14:paraId="1486FAEC" w14:textId="0FE22998" w:rsidR="0088089B" w:rsidRPr="00055977" w:rsidRDefault="0088089B" w:rsidP="0088089B">
            <w:pPr>
              <w:spacing w:after="60"/>
              <w:jc w:val="right"/>
              <w:rPr>
                <w:sz w:val="18"/>
                <w:szCs w:val="18"/>
                <w:lang w:val="es-ES"/>
              </w:rPr>
            </w:pPr>
            <w:r w:rsidRPr="00055977">
              <w:rPr>
                <w:sz w:val="18"/>
                <w:szCs w:val="18"/>
                <w:lang w:val="es-ES"/>
              </w:rPr>
              <w:t>173 861</w:t>
            </w:r>
            <w:r w:rsidRPr="00055977">
              <w:rPr>
                <w:b/>
                <w:sz w:val="18"/>
                <w:szCs w:val="18"/>
                <w:lang w:val="es-ES"/>
              </w:rPr>
              <w:t>**</w:t>
            </w:r>
          </w:p>
        </w:tc>
        <w:tc>
          <w:tcPr>
            <w:tcW w:w="990" w:type="dxa"/>
            <w:shd w:val="clear" w:color="auto" w:fill="auto"/>
          </w:tcPr>
          <w:p w14:paraId="1954FAE4" w14:textId="77777777" w:rsidR="0088089B" w:rsidRPr="00055977" w:rsidRDefault="0088089B" w:rsidP="0088089B">
            <w:pPr>
              <w:spacing w:after="60"/>
              <w:jc w:val="right"/>
              <w:rPr>
                <w:sz w:val="18"/>
                <w:szCs w:val="18"/>
                <w:lang w:val="es-ES"/>
              </w:rPr>
            </w:pPr>
          </w:p>
        </w:tc>
        <w:tc>
          <w:tcPr>
            <w:tcW w:w="1170" w:type="dxa"/>
            <w:shd w:val="clear" w:color="auto" w:fill="auto"/>
          </w:tcPr>
          <w:p w14:paraId="6C29B76B" w14:textId="77777777" w:rsidR="0088089B" w:rsidRPr="00055977" w:rsidRDefault="0088089B" w:rsidP="0088089B">
            <w:pPr>
              <w:spacing w:after="60"/>
              <w:jc w:val="right"/>
              <w:rPr>
                <w:sz w:val="18"/>
                <w:szCs w:val="18"/>
                <w:lang w:val="es-ES"/>
              </w:rPr>
            </w:pPr>
          </w:p>
        </w:tc>
        <w:tc>
          <w:tcPr>
            <w:tcW w:w="1085" w:type="dxa"/>
            <w:shd w:val="clear" w:color="auto" w:fill="auto"/>
          </w:tcPr>
          <w:p w14:paraId="176E85BA" w14:textId="422F0AA6" w:rsidR="0088089B" w:rsidRPr="00055977" w:rsidRDefault="0088089B" w:rsidP="0088089B">
            <w:pPr>
              <w:spacing w:after="60"/>
              <w:jc w:val="right"/>
              <w:rPr>
                <w:sz w:val="18"/>
                <w:szCs w:val="18"/>
                <w:lang w:val="es-ES"/>
              </w:rPr>
            </w:pPr>
            <w:r w:rsidRPr="00055977">
              <w:rPr>
                <w:sz w:val="18"/>
                <w:szCs w:val="18"/>
                <w:lang w:val="es-ES"/>
              </w:rPr>
              <w:t>200 675</w:t>
            </w:r>
          </w:p>
        </w:tc>
      </w:tr>
      <w:tr w:rsidR="0088089B" w:rsidRPr="00055977" w14:paraId="3773F915" w14:textId="77777777" w:rsidTr="00055977">
        <w:trPr>
          <w:jc w:val="center"/>
        </w:trPr>
        <w:tc>
          <w:tcPr>
            <w:tcW w:w="2065" w:type="dxa"/>
            <w:gridSpan w:val="2"/>
            <w:vMerge w:val="restart"/>
            <w:shd w:val="clear" w:color="auto" w:fill="auto"/>
          </w:tcPr>
          <w:p w14:paraId="36594042" w14:textId="77777777" w:rsidR="0088089B" w:rsidRPr="00055977" w:rsidRDefault="0088089B" w:rsidP="0088089B">
            <w:pPr>
              <w:spacing w:after="60"/>
              <w:jc w:val="left"/>
              <w:rPr>
                <w:sz w:val="18"/>
                <w:szCs w:val="18"/>
                <w:lang w:val="es-ES"/>
              </w:rPr>
            </w:pPr>
            <w:r w:rsidRPr="00055977">
              <w:rPr>
                <w:sz w:val="18"/>
                <w:szCs w:val="18"/>
                <w:lang w:val="es-ES"/>
              </w:rPr>
              <w:t>Total de fondos solicitados para aprobación en esta reunión ($EUA)</w:t>
            </w:r>
          </w:p>
        </w:tc>
        <w:tc>
          <w:tcPr>
            <w:tcW w:w="1800" w:type="dxa"/>
            <w:shd w:val="clear" w:color="auto" w:fill="auto"/>
          </w:tcPr>
          <w:p w14:paraId="1902F653" w14:textId="77777777" w:rsidR="0088089B" w:rsidRPr="00055977" w:rsidRDefault="0088089B" w:rsidP="0088089B">
            <w:pPr>
              <w:spacing w:after="60"/>
              <w:jc w:val="left"/>
              <w:rPr>
                <w:sz w:val="18"/>
                <w:szCs w:val="18"/>
                <w:lang w:val="es-ES"/>
              </w:rPr>
            </w:pPr>
            <w:r w:rsidRPr="00055977">
              <w:rPr>
                <w:sz w:val="18"/>
                <w:szCs w:val="18"/>
                <w:lang w:val="es-ES"/>
              </w:rPr>
              <w:t>Costos del proyecto</w:t>
            </w:r>
          </w:p>
        </w:tc>
        <w:tc>
          <w:tcPr>
            <w:tcW w:w="810" w:type="dxa"/>
            <w:shd w:val="clear" w:color="auto" w:fill="auto"/>
          </w:tcPr>
          <w:p w14:paraId="21B09988" w14:textId="77777777" w:rsidR="0088089B" w:rsidRPr="00055977" w:rsidRDefault="0088089B" w:rsidP="0088089B">
            <w:pPr>
              <w:spacing w:after="60"/>
              <w:jc w:val="right"/>
              <w:rPr>
                <w:sz w:val="18"/>
                <w:szCs w:val="18"/>
                <w:lang w:val="es-ES"/>
              </w:rPr>
            </w:pPr>
          </w:p>
        </w:tc>
        <w:tc>
          <w:tcPr>
            <w:tcW w:w="990" w:type="dxa"/>
            <w:shd w:val="clear" w:color="auto" w:fill="auto"/>
          </w:tcPr>
          <w:p w14:paraId="0EFEC5E9" w14:textId="77777777" w:rsidR="0088089B" w:rsidRPr="00055977" w:rsidRDefault="0088089B" w:rsidP="0088089B">
            <w:pPr>
              <w:spacing w:after="60"/>
              <w:jc w:val="right"/>
              <w:rPr>
                <w:sz w:val="18"/>
                <w:szCs w:val="18"/>
                <w:lang w:val="es-ES"/>
              </w:rPr>
            </w:pPr>
          </w:p>
        </w:tc>
        <w:tc>
          <w:tcPr>
            <w:tcW w:w="990" w:type="dxa"/>
            <w:shd w:val="clear" w:color="auto" w:fill="auto"/>
          </w:tcPr>
          <w:p w14:paraId="5EFB2467" w14:textId="77777777" w:rsidR="0088089B" w:rsidRPr="00055977" w:rsidRDefault="0088089B" w:rsidP="0088089B">
            <w:pPr>
              <w:jc w:val="right"/>
              <w:rPr>
                <w:color w:val="000000"/>
                <w:sz w:val="18"/>
                <w:szCs w:val="18"/>
                <w:lang w:val="es-ES"/>
              </w:rPr>
            </w:pPr>
          </w:p>
        </w:tc>
        <w:tc>
          <w:tcPr>
            <w:tcW w:w="1170" w:type="dxa"/>
            <w:shd w:val="clear" w:color="auto" w:fill="auto"/>
          </w:tcPr>
          <w:p w14:paraId="63B07C6D" w14:textId="77777777" w:rsidR="0088089B" w:rsidRPr="00055977" w:rsidRDefault="0088089B" w:rsidP="0088089B">
            <w:pPr>
              <w:spacing w:after="60"/>
              <w:jc w:val="right"/>
              <w:rPr>
                <w:sz w:val="18"/>
                <w:szCs w:val="18"/>
                <w:lang w:val="es-ES"/>
              </w:rPr>
            </w:pPr>
          </w:p>
        </w:tc>
        <w:tc>
          <w:tcPr>
            <w:tcW w:w="990" w:type="dxa"/>
            <w:shd w:val="clear" w:color="auto" w:fill="auto"/>
          </w:tcPr>
          <w:p w14:paraId="04A248DA" w14:textId="77777777" w:rsidR="0088089B" w:rsidRPr="00055977" w:rsidRDefault="0088089B" w:rsidP="0088089B">
            <w:pPr>
              <w:spacing w:after="60"/>
              <w:jc w:val="right"/>
              <w:rPr>
                <w:sz w:val="18"/>
                <w:szCs w:val="18"/>
                <w:lang w:val="es-ES"/>
              </w:rPr>
            </w:pPr>
          </w:p>
        </w:tc>
        <w:tc>
          <w:tcPr>
            <w:tcW w:w="1170" w:type="dxa"/>
            <w:shd w:val="clear" w:color="auto" w:fill="auto"/>
          </w:tcPr>
          <w:p w14:paraId="60D19235" w14:textId="678713EF" w:rsidR="0088089B" w:rsidRPr="00055977" w:rsidRDefault="0088089B" w:rsidP="0088089B">
            <w:pPr>
              <w:spacing w:after="60"/>
              <w:jc w:val="right"/>
              <w:rPr>
                <w:sz w:val="18"/>
                <w:szCs w:val="18"/>
                <w:lang w:val="es-ES"/>
              </w:rPr>
            </w:pPr>
            <w:r w:rsidRPr="00055977">
              <w:rPr>
                <w:sz w:val="18"/>
                <w:szCs w:val="18"/>
                <w:lang w:val="es-ES"/>
              </w:rPr>
              <w:t>3 807 657</w:t>
            </w:r>
            <w:r w:rsidRPr="00055977">
              <w:rPr>
                <w:b/>
                <w:sz w:val="18"/>
                <w:szCs w:val="18"/>
                <w:lang w:val="es-ES"/>
              </w:rPr>
              <w:t>**</w:t>
            </w:r>
          </w:p>
        </w:tc>
        <w:tc>
          <w:tcPr>
            <w:tcW w:w="1085" w:type="dxa"/>
            <w:shd w:val="clear" w:color="auto" w:fill="auto"/>
          </w:tcPr>
          <w:p w14:paraId="62E2F23D" w14:textId="756C9634" w:rsidR="0088089B" w:rsidRPr="00055977" w:rsidRDefault="0088089B" w:rsidP="0088089B">
            <w:pPr>
              <w:spacing w:after="60"/>
              <w:jc w:val="right"/>
              <w:rPr>
                <w:sz w:val="18"/>
                <w:szCs w:val="18"/>
                <w:lang w:val="es-ES"/>
              </w:rPr>
            </w:pPr>
            <w:r w:rsidRPr="00055977">
              <w:rPr>
                <w:sz w:val="18"/>
                <w:szCs w:val="18"/>
                <w:lang w:val="es-ES"/>
              </w:rPr>
              <w:t>3 807 657</w:t>
            </w:r>
          </w:p>
        </w:tc>
      </w:tr>
      <w:tr w:rsidR="0088089B" w:rsidRPr="00055977" w14:paraId="0D63F6A0" w14:textId="77777777" w:rsidTr="00055977">
        <w:trPr>
          <w:jc w:val="center"/>
        </w:trPr>
        <w:tc>
          <w:tcPr>
            <w:tcW w:w="2065" w:type="dxa"/>
            <w:gridSpan w:val="2"/>
            <w:vMerge/>
            <w:shd w:val="clear" w:color="auto" w:fill="auto"/>
          </w:tcPr>
          <w:p w14:paraId="77277C2F" w14:textId="77777777" w:rsidR="0088089B" w:rsidRPr="00055977" w:rsidRDefault="0088089B" w:rsidP="0088089B">
            <w:pPr>
              <w:spacing w:after="60"/>
              <w:jc w:val="center"/>
              <w:rPr>
                <w:sz w:val="18"/>
                <w:szCs w:val="18"/>
                <w:lang w:val="es-ES"/>
              </w:rPr>
            </w:pPr>
          </w:p>
        </w:tc>
        <w:tc>
          <w:tcPr>
            <w:tcW w:w="1800" w:type="dxa"/>
            <w:shd w:val="clear" w:color="auto" w:fill="auto"/>
          </w:tcPr>
          <w:p w14:paraId="40D403F2" w14:textId="77777777" w:rsidR="0088089B" w:rsidRPr="00055977" w:rsidRDefault="0088089B" w:rsidP="0088089B">
            <w:pPr>
              <w:spacing w:after="60"/>
              <w:jc w:val="left"/>
              <w:rPr>
                <w:sz w:val="18"/>
                <w:szCs w:val="18"/>
                <w:lang w:val="es-ES"/>
              </w:rPr>
            </w:pPr>
            <w:r w:rsidRPr="00055977">
              <w:rPr>
                <w:sz w:val="18"/>
                <w:szCs w:val="18"/>
                <w:lang w:val="es-ES"/>
              </w:rPr>
              <w:t>Gastos de apoyo</w:t>
            </w:r>
          </w:p>
        </w:tc>
        <w:tc>
          <w:tcPr>
            <w:tcW w:w="810" w:type="dxa"/>
            <w:shd w:val="clear" w:color="auto" w:fill="auto"/>
          </w:tcPr>
          <w:p w14:paraId="20A831E8" w14:textId="77777777" w:rsidR="0088089B" w:rsidRPr="00055977" w:rsidRDefault="0088089B" w:rsidP="0088089B">
            <w:pPr>
              <w:spacing w:after="60"/>
              <w:jc w:val="right"/>
              <w:rPr>
                <w:sz w:val="18"/>
                <w:szCs w:val="18"/>
                <w:lang w:val="es-ES"/>
              </w:rPr>
            </w:pPr>
          </w:p>
        </w:tc>
        <w:tc>
          <w:tcPr>
            <w:tcW w:w="990" w:type="dxa"/>
            <w:shd w:val="clear" w:color="auto" w:fill="auto"/>
          </w:tcPr>
          <w:p w14:paraId="6F8F66B2" w14:textId="77777777" w:rsidR="0088089B" w:rsidRPr="00055977" w:rsidRDefault="0088089B" w:rsidP="0088089B">
            <w:pPr>
              <w:spacing w:after="60"/>
              <w:jc w:val="right"/>
              <w:rPr>
                <w:sz w:val="18"/>
                <w:szCs w:val="18"/>
                <w:lang w:val="es-ES"/>
              </w:rPr>
            </w:pPr>
          </w:p>
        </w:tc>
        <w:tc>
          <w:tcPr>
            <w:tcW w:w="990" w:type="dxa"/>
            <w:shd w:val="clear" w:color="auto" w:fill="auto"/>
          </w:tcPr>
          <w:p w14:paraId="6B63BD90" w14:textId="77777777" w:rsidR="0088089B" w:rsidRPr="00055977" w:rsidRDefault="0088089B" w:rsidP="0088089B">
            <w:pPr>
              <w:jc w:val="right"/>
              <w:rPr>
                <w:color w:val="000000"/>
                <w:sz w:val="18"/>
                <w:szCs w:val="18"/>
                <w:lang w:val="es-ES"/>
              </w:rPr>
            </w:pPr>
          </w:p>
        </w:tc>
        <w:tc>
          <w:tcPr>
            <w:tcW w:w="1170" w:type="dxa"/>
            <w:shd w:val="clear" w:color="auto" w:fill="auto"/>
          </w:tcPr>
          <w:p w14:paraId="6C6C23BD" w14:textId="77777777" w:rsidR="0088089B" w:rsidRPr="00055977" w:rsidRDefault="0088089B" w:rsidP="0088089B">
            <w:pPr>
              <w:spacing w:after="60"/>
              <w:jc w:val="right"/>
              <w:rPr>
                <w:sz w:val="18"/>
                <w:szCs w:val="18"/>
                <w:lang w:val="es-ES"/>
              </w:rPr>
            </w:pPr>
          </w:p>
        </w:tc>
        <w:tc>
          <w:tcPr>
            <w:tcW w:w="990" w:type="dxa"/>
            <w:shd w:val="clear" w:color="auto" w:fill="auto"/>
          </w:tcPr>
          <w:p w14:paraId="0BA3EF31" w14:textId="77777777" w:rsidR="0088089B" w:rsidRPr="00055977" w:rsidRDefault="0088089B" w:rsidP="0088089B">
            <w:pPr>
              <w:spacing w:after="60"/>
              <w:jc w:val="right"/>
              <w:rPr>
                <w:sz w:val="18"/>
                <w:szCs w:val="18"/>
                <w:lang w:val="es-ES"/>
              </w:rPr>
            </w:pPr>
          </w:p>
        </w:tc>
        <w:tc>
          <w:tcPr>
            <w:tcW w:w="1170" w:type="dxa"/>
            <w:shd w:val="clear" w:color="auto" w:fill="auto"/>
          </w:tcPr>
          <w:p w14:paraId="2B1BE313" w14:textId="4DFC7842" w:rsidR="0088089B" w:rsidRPr="00055977" w:rsidRDefault="0088089B" w:rsidP="0088089B">
            <w:pPr>
              <w:spacing w:after="60"/>
              <w:jc w:val="right"/>
              <w:rPr>
                <w:sz w:val="18"/>
                <w:szCs w:val="18"/>
                <w:lang w:val="es-ES"/>
              </w:rPr>
            </w:pPr>
            <w:r w:rsidRPr="00055977">
              <w:rPr>
                <w:sz w:val="18"/>
                <w:szCs w:val="18"/>
                <w:lang w:val="es-ES"/>
              </w:rPr>
              <w:t>268 120</w:t>
            </w:r>
            <w:r w:rsidRPr="00055977">
              <w:rPr>
                <w:b/>
                <w:sz w:val="18"/>
                <w:szCs w:val="18"/>
                <w:lang w:val="es-ES"/>
              </w:rPr>
              <w:t>**</w:t>
            </w:r>
          </w:p>
        </w:tc>
        <w:tc>
          <w:tcPr>
            <w:tcW w:w="1085" w:type="dxa"/>
            <w:shd w:val="clear" w:color="auto" w:fill="auto"/>
          </w:tcPr>
          <w:p w14:paraId="67E31330" w14:textId="7D09852B" w:rsidR="0088089B" w:rsidRPr="00055977" w:rsidRDefault="0088089B" w:rsidP="0088089B">
            <w:pPr>
              <w:spacing w:after="60"/>
              <w:jc w:val="right"/>
              <w:rPr>
                <w:sz w:val="18"/>
                <w:szCs w:val="18"/>
                <w:lang w:val="es-ES"/>
              </w:rPr>
            </w:pPr>
            <w:r w:rsidRPr="00055977">
              <w:rPr>
                <w:sz w:val="18"/>
                <w:szCs w:val="18"/>
                <w:lang w:val="es-ES"/>
              </w:rPr>
              <w:t>268 120</w:t>
            </w:r>
          </w:p>
        </w:tc>
      </w:tr>
    </w:tbl>
    <w:p w14:paraId="4EF917F7" w14:textId="4FA49538" w:rsidR="0088089B" w:rsidRPr="0088089B" w:rsidRDefault="0088089B" w:rsidP="0088089B">
      <w:pPr>
        <w:ind w:left="-567"/>
        <w:jc w:val="left"/>
        <w:rPr>
          <w:sz w:val="16"/>
          <w:szCs w:val="16"/>
          <w:lang w:val="es-ES"/>
        </w:rPr>
      </w:pPr>
      <w:r w:rsidRPr="0088089B">
        <w:rPr>
          <w:sz w:val="16"/>
          <w:lang w:val="es-ES"/>
        </w:rPr>
        <w:t>*</w:t>
      </w:r>
      <w:r w:rsidRPr="0088089B">
        <w:rPr>
          <w:lang w:val="es-ES"/>
        </w:rPr>
        <w:t xml:space="preserve"> </w:t>
      </w:r>
      <w:r w:rsidRPr="0088089B">
        <w:rPr>
          <w:sz w:val="16"/>
          <w:lang w:val="es-ES"/>
        </w:rPr>
        <w:t>Financiación actualizada para reflejar la devolución de 93 358 $EUA, más gastos de apoyo del organismo de 6 535 $EUA para el Banco Mundial, debido al cambio de tecnología en Midea Consumer Electric (Viet Nam) de R-290 a H</w:t>
      </w:r>
      <w:r>
        <w:rPr>
          <w:sz w:val="16"/>
          <w:lang w:val="es-ES"/>
        </w:rPr>
        <w:t>FC</w:t>
      </w:r>
      <w:r>
        <w:rPr>
          <w:sz w:val="16"/>
          <w:lang w:val="es-ES"/>
        </w:rPr>
        <w:noBreakHyphen/>
      </w:r>
      <w:r w:rsidRPr="0088089B">
        <w:rPr>
          <w:sz w:val="16"/>
          <w:lang w:val="es-ES"/>
        </w:rPr>
        <w:t>32 (decisión 82/37 b)).</w:t>
      </w:r>
    </w:p>
    <w:p w14:paraId="45192F47" w14:textId="77777777" w:rsidR="0088089B" w:rsidRPr="0088089B" w:rsidRDefault="0088089B" w:rsidP="0088089B">
      <w:pPr>
        <w:ind w:left="-567"/>
        <w:jc w:val="left"/>
        <w:rPr>
          <w:sz w:val="16"/>
          <w:szCs w:val="16"/>
          <w:lang w:val="es-ES"/>
        </w:rPr>
      </w:pPr>
      <w:r w:rsidRPr="0088089B">
        <w:rPr>
          <w:sz w:val="16"/>
          <w:lang w:val="es-ES"/>
        </w:rPr>
        <w:t>** Los tramos segundo y tercero estaban previstos para 2017 y 2018, respectivamente.</w:t>
      </w:r>
    </w:p>
    <w:p w14:paraId="72379ABF" w14:textId="77777777" w:rsidR="0088089B" w:rsidRPr="00055977" w:rsidRDefault="0088089B" w:rsidP="0088089B">
      <w:pPr>
        <w:spacing w:after="60"/>
        <w:jc w:val="center"/>
        <w:rPr>
          <w:sz w:val="12"/>
          <w:lang w:val="es-ES"/>
        </w:rPr>
      </w:pPr>
    </w:p>
    <w:tbl>
      <w:tblPr>
        <w:tblStyle w:val="TableGrid"/>
        <w:tblW w:w="10627" w:type="dxa"/>
        <w:jc w:val="center"/>
        <w:tblLook w:val="04A0" w:firstRow="1" w:lastRow="0" w:firstColumn="1" w:lastColumn="0" w:noHBand="0" w:noVBand="1"/>
      </w:tblPr>
      <w:tblGrid>
        <w:gridCol w:w="3000"/>
        <w:gridCol w:w="7627"/>
      </w:tblGrid>
      <w:tr w:rsidR="0088089B" w:rsidRPr="0088089B" w14:paraId="0508CA03" w14:textId="77777777" w:rsidTr="001E2274">
        <w:trPr>
          <w:trHeight w:val="240"/>
          <w:jc w:val="center"/>
        </w:trPr>
        <w:tc>
          <w:tcPr>
            <w:tcW w:w="3000" w:type="dxa"/>
            <w:shd w:val="clear" w:color="auto" w:fill="auto"/>
          </w:tcPr>
          <w:p w14:paraId="5A387710" w14:textId="77777777" w:rsidR="0088089B" w:rsidRPr="0088089B" w:rsidRDefault="0088089B" w:rsidP="0088089B">
            <w:pPr>
              <w:spacing w:after="60"/>
              <w:jc w:val="left"/>
              <w:rPr>
                <w:b/>
                <w:sz w:val="18"/>
                <w:lang w:val="es-ES"/>
              </w:rPr>
            </w:pPr>
            <w:r w:rsidRPr="0088089B">
              <w:rPr>
                <w:b/>
                <w:sz w:val="18"/>
                <w:lang w:val="es-ES"/>
              </w:rPr>
              <w:t>Recomendación de la Secretaría:</w:t>
            </w:r>
          </w:p>
        </w:tc>
        <w:tc>
          <w:tcPr>
            <w:tcW w:w="7627" w:type="dxa"/>
            <w:shd w:val="clear" w:color="auto" w:fill="auto"/>
          </w:tcPr>
          <w:p w14:paraId="433C8D62" w14:textId="77777777" w:rsidR="0088089B" w:rsidRPr="0088089B" w:rsidRDefault="0088089B" w:rsidP="0088089B">
            <w:pPr>
              <w:spacing w:after="60"/>
              <w:jc w:val="center"/>
              <w:rPr>
                <w:sz w:val="18"/>
                <w:lang w:val="es-ES"/>
              </w:rPr>
            </w:pPr>
            <w:r w:rsidRPr="0088089B">
              <w:rPr>
                <w:sz w:val="18"/>
                <w:lang w:val="es-ES"/>
              </w:rPr>
              <w:t>Para aprobación general</w:t>
            </w:r>
          </w:p>
        </w:tc>
      </w:tr>
    </w:tbl>
    <w:p w14:paraId="3D3A8DA9" w14:textId="77777777" w:rsidR="0088089B" w:rsidRPr="0088089B" w:rsidRDefault="0088089B" w:rsidP="0088089B">
      <w:pPr>
        <w:rPr>
          <w:lang w:val="es-ES"/>
        </w:rPr>
      </w:pPr>
      <w:r w:rsidRPr="0088089B">
        <w:rPr>
          <w:lang w:val="es-ES"/>
        </w:rPr>
        <w:br w:type="page"/>
      </w:r>
    </w:p>
    <w:p w14:paraId="0A596B8F" w14:textId="77777777" w:rsidR="0088089B" w:rsidRPr="0088089B" w:rsidRDefault="0088089B" w:rsidP="0088089B">
      <w:pPr>
        <w:jc w:val="center"/>
        <w:rPr>
          <w:b/>
          <w:lang w:val="es-ES"/>
        </w:rPr>
      </w:pPr>
      <w:r w:rsidRPr="0088089B">
        <w:rPr>
          <w:b/>
          <w:lang w:val="es-ES"/>
        </w:rPr>
        <w:lastRenderedPageBreak/>
        <w:t>DESCRIPCIÓN DEL PROYECTO</w:t>
      </w:r>
    </w:p>
    <w:p w14:paraId="237FF44A" w14:textId="77777777" w:rsidR="0088089B" w:rsidRPr="0088089B" w:rsidRDefault="0088089B" w:rsidP="0088089B">
      <w:pPr>
        <w:rPr>
          <w:lang w:val="es-ES"/>
        </w:rPr>
      </w:pPr>
    </w:p>
    <w:p w14:paraId="7ECB7C37" w14:textId="77777777" w:rsidR="0088089B" w:rsidRPr="0088089B" w:rsidRDefault="0088089B" w:rsidP="0088089B">
      <w:pPr>
        <w:pStyle w:val="Heading1"/>
        <w:rPr>
          <w:lang w:val="es-ES"/>
        </w:rPr>
      </w:pPr>
      <w:r w:rsidRPr="0088089B">
        <w:rPr>
          <w:lang w:val="es-ES"/>
        </w:rPr>
        <w:t>En nombre del Gobierno de Viet Nam, el Banco Mundial, en su calidad de organismo de ejecución principal, ha presentado una solicitud para la financiación del tercer tramo de la etapa II del plan de gestión de la eliminación de los HCFC (PGEH), por un costo total de 4 075 777 $EUA, que comprenden 3 781 257 $EUA, más gastos de apoyo del organismo de 264 688 $EUA para el Banco Mundial, y 26 400 $EUA, más gastos de apoyo del organismo de 3 432 $EUA para el Gobierno del Japón</w:t>
      </w:r>
      <w:r w:rsidRPr="0088089B">
        <w:rPr>
          <w:rStyle w:val="FootnoteTextChar"/>
          <w:vertAlign w:val="superscript"/>
          <w:lang w:val="es-ES"/>
        </w:rPr>
        <w:footnoteReference w:id="2"/>
      </w:r>
      <w:r w:rsidRPr="0088089B">
        <w:rPr>
          <w:lang w:val="es-ES"/>
        </w:rPr>
        <w:t>. La comunicación incluye un informe sobre la marcha de las actividades relativo a la ejecución del segundo tramo, el informe de verificación del consumo de HCFC para 2019 y 2020 y el plan de ejecución del tramo para el período de 2021 a 2022.</w:t>
      </w:r>
    </w:p>
    <w:p w14:paraId="5F69592B" w14:textId="77777777" w:rsidR="0088089B" w:rsidRPr="0088089B" w:rsidRDefault="0088089B" w:rsidP="0088089B">
      <w:pPr>
        <w:rPr>
          <w:u w:val="single"/>
          <w:lang w:val="es-ES"/>
        </w:rPr>
      </w:pPr>
      <w:r w:rsidRPr="0088089B">
        <w:rPr>
          <w:u w:val="single"/>
          <w:lang w:val="es-ES"/>
        </w:rPr>
        <w:t>Informe sobre el consumo de HCFC</w:t>
      </w:r>
    </w:p>
    <w:p w14:paraId="678EA4F4" w14:textId="77777777" w:rsidR="0088089B" w:rsidRPr="0088089B" w:rsidRDefault="0088089B" w:rsidP="0088089B">
      <w:pPr>
        <w:rPr>
          <w:lang w:val="es-ES"/>
        </w:rPr>
      </w:pPr>
    </w:p>
    <w:p w14:paraId="665B18C7" w14:textId="77777777" w:rsidR="0088089B" w:rsidRPr="0088089B" w:rsidRDefault="0088089B" w:rsidP="0088089B">
      <w:pPr>
        <w:pStyle w:val="Heading1"/>
        <w:rPr>
          <w:lang w:val="es-ES"/>
        </w:rPr>
      </w:pPr>
      <w:r w:rsidRPr="0088089B">
        <w:rPr>
          <w:lang w:val="es-ES"/>
        </w:rPr>
        <w:t xml:space="preserve">El Gobierno de Viet Nam, en el informe de ejecución del programa de país (PP) informó un consumo de 142,18 toneladas PAO de HCFC en 2020, que es 36% inferior al nivel básico de HCFC para el cumplimiento. En el Cuadro 1 se muestra el consumo de HCFC para el período 2016-2020. </w:t>
      </w:r>
    </w:p>
    <w:p w14:paraId="4FD278F6" w14:textId="77777777" w:rsidR="0088089B" w:rsidRPr="0088089B" w:rsidRDefault="0088089B" w:rsidP="0088089B">
      <w:pPr>
        <w:rPr>
          <w:b/>
          <w:sz w:val="21"/>
          <w:szCs w:val="21"/>
          <w:lang w:val="es-ES"/>
        </w:rPr>
      </w:pPr>
      <w:r w:rsidRPr="0088089B">
        <w:rPr>
          <w:b/>
          <w:sz w:val="21"/>
          <w:lang w:val="es-ES"/>
        </w:rPr>
        <w:t>Cuadro 1. Consumo de HCFC en Viet Nam (datos de 2016-2020 con arreglo al artículo 7)</w:t>
      </w:r>
    </w:p>
    <w:tbl>
      <w:tblPr>
        <w:tblW w:w="5000" w:type="pct"/>
        <w:tblLayout w:type="fixed"/>
        <w:tblLook w:val="04A0" w:firstRow="1" w:lastRow="0" w:firstColumn="1" w:lastColumn="0" w:noHBand="0" w:noVBand="1"/>
      </w:tblPr>
      <w:tblGrid>
        <w:gridCol w:w="2156"/>
        <w:gridCol w:w="1199"/>
        <w:gridCol w:w="1199"/>
        <w:gridCol w:w="1199"/>
        <w:gridCol w:w="1199"/>
        <w:gridCol w:w="1199"/>
        <w:gridCol w:w="1199"/>
      </w:tblGrid>
      <w:tr w:rsidR="0088089B" w:rsidRPr="0088089B" w14:paraId="1919F88C" w14:textId="77777777" w:rsidTr="001E2274">
        <w:trPr>
          <w:tblHeader/>
        </w:trPr>
        <w:tc>
          <w:tcPr>
            <w:tcW w:w="115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8775A12" w14:textId="77777777" w:rsidR="0088089B" w:rsidRPr="0088089B" w:rsidRDefault="0088089B" w:rsidP="0088089B">
            <w:pPr>
              <w:jc w:val="left"/>
              <w:rPr>
                <w:b/>
                <w:bCs/>
                <w:color w:val="000000"/>
                <w:sz w:val="20"/>
                <w:szCs w:val="20"/>
                <w:lang w:val="es-ES"/>
              </w:rPr>
            </w:pPr>
            <w:r w:rsidRPr="0088089B">
              <w:rPr>
                <w:b/>
                <w:color w:val="000000"/>
                <w:sz w:val="20"/>
                <w:lang w:val="es-ES"/>
              </w:rPr>
              <w:t>HCFC</w:t>
            </w:r>
          </w:p>
        </w:tc>
        <w:tc>
          <w:tcPr>
            <w:tcW w:w="641" w:type="pct"/>
            <w:tcBorders>
              <w:top w:val="single" w:sz="4" w:space="0" w:color="auto"/>
              <w:left w:val="single" w:sz="4" w:space="0" w:color="auto"/>
              <w:bottom w:val="single" w:sz="4" w:space="0" w:color="auto"/>
              <w:right w:val="single" w:sz="4" w:space="0" w:color="auto"/>
            </w:tcBorders>
          </w:tcPr>
          <w:p w14:paraId="75C7432C" w14:textId="77777777" w:rsidR="0088089B" w:rsidRPr="0088089B" w:rsidRDefault="0088089B" w:rsidP="0088089B">
            <w:pPr>
              <w:jc w:val="center"/>
              <w:rPr>
                <w:b/>
                <w:bCs/>
                <w:color w:val="000000"/>
                <w:sz w:val="20"/>
                <w:szCs w:val="20"/>
                <w:lang w:val="es-ES"/>
              </w:rPr>
            </w:pPr>
            <w:r w:rsidRPr="0088089B">
              <w:rPr>
                <w:b/>
                <w:color w:val="000000"/>
                <w:sz w:val="20"/>
                <w:lang w:val="es-ES"/>
              </w:rPr>
              <w:t>2016</w:t>
            </w:r>
          </w:p>
        </w:tc>
        <w:tc>
          <w:tcPr>
            <w:tcW w:w="641" w:type="pct"/>
            <w:tcBorders>
              <w:top w:val="single" w:sz="4" w:space="0" w:color="auto"/>
              <w:left w:val="single" w:sz="4" w:space="0" w:color="auto"/>
              <w:bottom w:val="single" w:sz="4" w:space="0" w:color="auto"/>
              <w:right w:val="single" w:sz="4" w:space="0" w:color="auto"/>
            </w:tcBorders>
          </w:tcPr>
          <w:p w14:paraId="7868D8A1" w14:textId="77777777" w:rsidR="0088089B" w:rsidRPr="0088089B" w:rsidRDefault="0088089B" w:rsidP="0088089B">
            <w:pPr>
              <w:jc w:val="center"/>
              <w:rPr>
                <w:b/>
                <w:bCs/>
                <w:color w:val="000000"/>
                <w:sz w:val="20"/>
                <w:szCs w:val="20"/>
                <w:lang w:val="es-ES"/>
              </w:rPr>
            </w:pPr>
            <w:r w:rsidRPr="0088089B">
              <w:rPr>
                <w:b/>
                <w:color w:val="000000"/>
                <w:sz w:val="20"/>
                <w:lang w:val="es-ES"/>
              </w:rPr>
              <w:t>2017</w:t>
            </w:r>
          </w:p>
        </w:tc>
        <w:tc>
          <w:tcPr>
            <w:tcW w:w="641" w:type="pct"/>
            <w:tcBorders>
              <w:top w:val="single" w:sz="4" w:space="0" w:color="auto"/>
              <w:left w:val="single" w:sz="4" w:space="0" w:color="auto"/>
              <w:bottom w:val="single" w:sz="4" w:space="0" w:color="auto"/>
              <w:right w:val="single" w:sz="4" w:space="0" w:color="auto"/>
            </w:tcBorders>
          </w:tcPr>
          <w:p w14:paraId="694B9D2F" w14:textId="77777777" w:rsidR="0088089B" w:rsidRPr="0088089B" w:rsidRDefault="0088089B" w:rsidP="0088089B">
            <w:pPr>
              <w:jc w:val="center"/>
              <w:rPr>
                <w:b/>
                <w:bCs/>
                <w:color w:val="000000"/>
                <w:sz w:val="20"/>
                <w:szCs w:val="20"/>
                <w:lang w:val="es-ES"/>
              </w:rPr>
            </w:pPr>
            <w:r w:rsidRPr="0088089B">
              <w:rPr>
                <w:b/>
                <w:color w:val="000000"/>
                <w:sz w:val="20"/>
                <w:lang w:val="es-ES"/>
              </w:rPr>
              <w:t>2018</w:t>
            </w:r>
          </w:p>
        </w:tc>
        <w:tc>
          <w:tcPr>
            <w:tcW w:w="641" w:type="pct"/>
            <w:tcBorders>
              <w:top w:val="single" w:sz="4" w:space="0" w:color="auto"/>
              <w:left w:val="single" w:sz="4" w:space="0" w:color="auto"/>
              <w:bottom w:val="single" w:sz="4" w:space="0" w:color="auto"/>
              <w:right w:val="single" w:sz="4" w:space="0" w:color="auto"/>
            </w:tcBorders>
          </w:tcPr>
          <w:p w14:paraId="14DA084A" w14:textId="77777777" w:rsidR="0088089B" w:rsidRPr="0088089B" w:rsidRDefault="0088089B" w:rsidP="0088089B">
            <w:pPr>
              <w:jc w:val="center"/>
              <w:rPr>
                <w:b/>
                <w:bCs/>
                <w:color w:val="000000"/>
                <w:sz w:val="20"/>
                <w:szCs w:val="20"/>
                <w:lang w:val="es-ES"/>
              </w:rPr>
            </w:pPr>
            <w:r w:rsidRPr="0088089B">
              <w:rPr>
                <w:b/>
                <w:color w:val="000000"/>
                <w:sz w:val="20"/>
                <w:lang w:val="es-ES"/>
              </w:rPr>
              <w:t>2019</w:t>
            </w:r>
          </w:p>
        </w:tc>
        <w:tc>
          <w:tcPr>
            <w:tcW w:w="641" w:type="pct"/>
            <w:tcBorders>
              <w:top w:val="single" w:sz="4" w:space="0" w:color="auto"/>
              <w:left w:val="single" w:sz="4" w:space="0" w:color="auto"/>
              <w:bottom w:val="single" w:sz="4" w:space="0" w:color="auto"/>
              <w:right w:val="single" w:sz="4" w:space="0" w:color="auto"/>
            </w:tcBorders>
          </w:tcPr>
          <w:p w14:paraId="0B7CCE29" w14:textId="77777777" w:rsidR="0088089B" w:rsidRPr="0088089B" w:rsidRDefault="0088089B" w:rsidP="0088089B">
            <w:pPr>
              <w:jc w:val="center"/>
              <w:rPr>
                <w:b/>
                <w:bCs/>
                <w:color w:val="000000"/>
                <w:sz w:val="20"/>
                <w:szCs w:val="20"/>
                <w:lang w:val="es-ES"/>
              </w:rPr>
            </w:pPr>
            <w:r w:rsidRPr="0088089B">
              <w:rPr>
                <w:b/>
                <w:color w:val="000000"/>
                <w:sz w:val="20"/>
                <w:lang w:val="es-ES"/>
              </w:rPr>
              <w:t>2020*</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DB51D" w14:textId="77777777" w:rsidR="0088089B" w:rsidRPr="0088089B" w:rsidRDefault="0088089B" w:rsidP="0088089B">
            <w:pPr>
              <w:jc w:val="center"/>
              <w:rPr>
                <w:b/>
                <w:bCs/>
                <w:color w:val="000000"/>
                <w:sz w:val="20"/>
                <w:szCs w:val="20"/>
                <w:lang w:val="es-ES"/>
              </w:rPr>
            </w:pPr>
            <w:r w:rsidRPr="0088089B">
              <w:rPr>
                <w:b/>
                <w:color w:val="000000"/>
                <w:sz w:val="20"/>
                <w:lang w:val="es-ES"/>
              </w:rPr>
              <w:t>Nivel básico</w:t>
            </w:r>
          </w:p>
        </w:tc>
      </w:tr>
      <w:tr w:rsidR="0088089B" w:rsidRPr="0088089B" w14:paraId="58690D9C" w14:textId="77777777" w:rsidTr="001E2274">
        <w:trPr>
          <w:tblHeader/>
        </w:trPr>
        <w:tc>
          <w:tcPr>
            <w:tcW w:w="115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1460D2A0" w14:textId="77777777" w:rsidR="0088089B" w:rsidRPr="0088089B" w:rsidRDefault="0088089B" w:rsidP="0088089B">
            <w:pPr>
              <w:jc w:val="left"/>
              <w:rPr>
                <w:b/>
                <w:bCs/>
                <w:color w:val="000000"/>
                <w:sz w:val="20"/>
                <w:szCs w:val="20"/>
                <w:lang w:val="es-ES"/>
              </w:rPr>
            </w:pPr>
            <w:r w:rsidRPr="0088089B">
              <w:rPr>
                <w:b/>
                <w:color w:val="000000"/>
                <w:sz w:val="20"/>
                <w:lang w:val="es-ES"/>
              </w:rPr>
              <w:t>Toneladas métricas</w:t>
            </w:r>
          </w:p>
        </w:tc>
        <w:tc>
          <w:tcPr>
            <w:tcW w:w="641" w:type="pct"/>
            <w:tcBorders>
              <w:top w:val="single" w:sz="4" w:space="0" w:color="auto"/>
              <w:left w:val="single" w:sz="4" w:space="0" w:color="auto"/>
              <w:bottom w:val="single" w:sz="4" w:space="0" w:color="auto"/>
              <w:right w:val="single" w:sz="4" w:space="0" w:color="auto"/>
            </w:tcBorders>
          </w:tcPr>
          <w:p w14:paraId="617D0DB4" w14:textId="77777777" w:rsidR="0088089B" w:rsidRPr="0088089B" w:rsidRDefault="0088089B" w:rsidP="0088089B">
            <w:pPr>
              <w:jc w:val="center"/>
              <w:rPr>
                <w:b/>
                <w:bCs/>
                <w:color w:val="000000"/>
                <w:sz w:val="20"/>
                <w:szCs w:val="20"/>
                <w:lang w:val="es-ES"/>
              </w:rPr>
            </w:pPr>
          </w:p>
        </w:tc>
        <w:tc>
          <w:tcPr>
            <w:tcW w:w="641" w:type="pct"/>
            <w:tcBorders>
              <w:top w:val="single" w:sz="4" w:space="0" w:color="auto"/>
              <w:left w:val="single" w:sz="4" w:space="0" w:color="auto"/>
              <w:bottom w:val="single" w:sz="4" w:space="0" w:color="auto"/>
              <w:right w:val="single" w:sz="4" w:space="0" w:color="auto"/>
            </w:tcBorders>
          </w:tcPr>
          <w:p w14:paraId="15839A78" w14:textId="77777777" w:rsidR="0088089B" w:rsidRPr="0088089B" w:rsidRDefault="0088089B" w:rsidP="0088089B">
            <w:pPr>
              <w:jc w:val="center"/>
              <w:rPr>
                <w:b/>
                <w:bCs/>
                <w:color w:val="000000"/>
                <w:sz w:val="20"/>
                <w:szCs w:val="20"/>
                <w:lang w:val="es-ES"/>
              </w:rPr>
            </w:pPr>
          </w:p>
        </w:tc>
        <w:tc>
          <w:tcPr>
            <w:tcW w:w="641" w:type="pct"/>
            <w:tcBorders>
              <w:top w:val="single" w:sz="4" w:space="0" w:color="auto"/>
              <w:left w:val="single" w:sz="4" w:space="0" w:color="auto"/>
              <w:bottom w:val="single" w:sz="4" w:space="0" w:color="auto"/>
              <w:right w:val="single" w:sz="4" w:space="0" w:color="auto"/>
            </w:tcBorders>
          </w:tcPr>
          <w:p w14:paraId="74C9AC88" w14:textId="77777777" w:rsidR="0088089B" w:rsidRPr="0088089B" w:rsidRDefault="0088089B" w:rsidP="0088089B">
            <w:pPr>
              <w:jc w:val="center"/>
              <w:rPr>
                <w:b/>
                <w:bCs/>
                <w:color w:val="000000"/>
                <w:sz w:val="20"/>
                <w:szCs w:val="20"/>
                <w:lang w:val="es-ES"/>
              </w:rPr>
            </w:pPr>
          </w:p>
        </w:tc>
        <w:tc>
          <w:tcPr>
            <w:tcW w:w="641" w:type="pct"/>
            <w:tcBorders>
              <w:top w:val="single" w:sz="4" w:space="0" w:color="auto"/>
              <w:left w:val="single" w:sz="4" w:space="0" w:color="auto"/>
              <w:bottom w:val="single" w:sz="4" w:space="0" w:color="auto"/>
              <w:right w:val="single" w:sz="4" w:space="0" w:color="auto"/>
            </w:tcBorders>
          </w:tcPr>
          <w:p w14:paraId="77ECCD6C" w14:textId="77777777" w:rsidR="0088089B" w:rsidRPr="0088089B" w:rsidRDefault="0088089B" w:rsidP="0088089B">
            <w:pPr>
              <w:jc w:val="center"/>
              <w:rPr>
                <w:b/>
                <w:bCs/>
                <w:color w:val="000000"/>
                <w:sz w:val="20"/>
                <w:szCs w:val="20"/>
                <w:lang w:val="es-ES"/>
              </w:rPr>
            </w:pPr>
          </w:p>
        </w:tc>
        <w:tc>
          <w:tcPr>
            <w:tcW w:w="641" w:type="pct"/>
            <w:tcBorders>
              <w:top w:val="single" w:sz="4" w:space="0" w:color="auto"/>
              <w:left w:val="single" w:sz="4" w:space="0" w:color="auto"/>
              <w:bottom w:val="single" w:sz="4" w:space="0" w:color="auto"/>
              <w:right w:val="single" w:sz="4" w:space="0" w:color="auto"/>
            </w:tcBorders>
          </w:tcPr>
          <w:p w14:paraId="5291975A" w14:textId="77777777" w:rsidR="0088089B" w:rsidRPr="0088089B" w:rsidRDefault="0088089B" w:rsidP="0088089B">
            <w:pPr>
              <w:jc w:val="center"/>
              <w:rPr>
                <w:b/>
                <w:bCs/>
                <w:color w:val="000000"/>
                <w:sz w:val="20"/>
                <w:szCs w:val="20"/>
                <w:lang w:val="es-ES"/>
              </w:rPr>
            </w:pP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683FEC" w14:textId="77777777" w:rsidR="0088089B" w:rsidRPr="0088089B" w:rsidRDefault="0088089B" w:rsidP="0088089B">
            <w:pPr>
              <w:jc w:val="center"/>
              <w:rPr>
                <w:b/>
                <w:bCs/>
                <w:color w:val="000000"/>
                <w:sz w:val="20"/>
                <w:szCs w:val="20"/>
                <w:lang w:val="es-ES"/>
              </w:rPr>
            </w:pPr>
          </w:p>
        </w:tc>
      </w:tr>
      <w:tr w:rsidR="0088089B" w:rsidRPr="0088089B" w14:paraId="4B9C0410" w14:textId="77777777" w:rsidTr="001E2274">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13C0172" w14:textId="51DCB5D8" w:rsidR="0088089B" w:rsidRPr="0088089B" w:rsidRDefault="0088089B" w:rsidP="0088089B">
            <w:pPr>
              <w:jc w:val="left"/>
              <w:rPr>
                <w:color w:val="000000"/>
                <w:sz w:val="20"/>
                <w:szCs w:val="20"/>
                <w:lang w:val="es-ES"/>
              </w:rPr>
            </w:pPr>
            <w:r w:rsidRPr="0088089B">
              <w:rPr>
                <w:color w:val="000000"/>
                <w:sz w:val="20"/>
                <w:lang w:val="es-ES"/>
              </w:rPr>
              <w:t>HC</w:t>
            </w:r>
            <w:r>
              <w:rPr>
                <w:color w:val="000000"/>
                <w:sz w:val="20"/>
                <w:lang w:val="es-ES"/>
              </w:rPr>
              <w:t>FC</w:t>
            </w:r>
            <w:r>
              <w:rPr>
                <w:color w:val="000000"/>
                <w:sz w:val="20"/>
                <w:lang w:val="es-ES"/>
              </w:rPr>
              <w:noBreakHyphen/>
            </w:r>
            <w:r w:rsidRPr="0088089B">
              <w:rPr>
                <w:color w:val="000000"/>
                <w:sz w:val="20"/>
                <w:lang w:val="es-ES"/>
              </w:rPr>
              <w:t>22</w:t>
            </w:r>
          </w:p>
        </w:tc>
        <w:tc>
          <w:tcPr>
            <w:tcW w:w="641" w:type="pct"/>
            <w:tcBorders>
              <w:top w:val="nil"/>
              <w:left w:val="single" w:sz="4" w:space="0" w:color="auto"/>
              <w:bottom w:val="single" w:sz="4" w:space="0" w:color="auto"/>
              <w:right w:val="single" w:sz="4" w:space="0" w:color="auto"/>
            </w:tcBorders>
            <w:tcMar>
              <w:right w:w="144" w:type="dxa"/>
            </w:tcMar>
            <w:vAlign w:val="bottom"/>
          </w:tcPr>
          <w:p w14:paraId="06106236" w14:textId="420351F4" w:rsidR="0088089B" w:rsidRPr="0088089B" w:rsidRDefault="0088089B" w:rsidP="0088089B">
            <w:pPr>
              <w:jc w:val="right"/>
              <w:rPr>
                <w:color w:val="000000"/>
                <w:sz w:val="20"/>
                <w:szCs w:val="20"/>
                <w:lang w:val="es-ES"/>
              </w:rPr>
            </w:pPr>
            <w:r w:rsidRPr="0088089B">
              <w:rPr>
                <w:color w:val="000000"/>
                <w:sz w:val="20"/>
                <w:lang w:val="es-ES"/>
              </w:rPr>
              <w:t>3 522,49</w:t>
            </w:r>
          </w:p>
        </w:tc>
        <w:tc>
          <w:tcPr>
            <w:tcW w:w="641" w:type="pct"/>
            <w:tcBorders>
              <w:top w:val="nil"/>
              <w:left w:val="single" w:sz="4" w:space="0" w:color="auto"/>
              <w:bottom w:val="single" w:sz="4" w:space="0" w:color="auto"/>
              <w:right w:val="single" w:sz="4" w:space="0" w:color="auto"/>
            </w:tcBorders>
            <w:tcMar>
              <w:right w:w="144" w:type="dxa"/>
            </w:tcMar>
            <w:vAlign w:val="bottom"/>
          </w:tcPr>
          <w:p w14:paraId="3D946565" w14:textId="0A1945A2" w:rsidR="0088089B" w:rsidRPr="0088089B" w:rsidRDefault="0088089B" w:rsidP="0088089B">
            <w:pPr>
              <w:jc w:val="right"/>
              <w:rPr>
                <w:color w:val="000000"/>
                <w:sz w:val="20"/>
                <w:szCs w:val="20"/>
                <w:lang w:val="es-ES"/>
              </w:rPr>
            </w:pPr>
            <w:r w:rsidRPr="0088089B">
              <w:rPr>
                <w:color w:val="000000"/>
                <w:sz w:val="20"/>
                <w:lang w:val="es-ES"/>
              </w:rPr>
              <w:t>3 568,52</w:t>
            </w:r>
          </w:p>
        </w:tc>
        <w:tc>
          <w:tcPr>
            <w:tcW w:w="641" w:type="pct"/>
            <w:tcBorders>
              <w:top w:val="nil"/>
              <w:left w:val="single" w:sz="4" w:space="0" w:color="auto"/>
              <w:bottom w:val="single" w:sz="4" w:space="0" w:color="auto"/>
              <w:right w:val="single" w:sz="4" w:space="0" w:color="auto"/>
            </w:tcBorders>
            <w:tcMar>
              <w:right w:w="144" w:type="dxa"/>
            </w:tcMar>
            <w:vAlign w:val="bottom"/>
          </w:tcPr>
          <w:p w14:paraId="01029AE1" w14:textId="05162B12" w:rsidR="0088089B" w:rsidRPr="0088089B" w:rsidRDefault="0088089B" w:rsidP="0088089B">
            <w:pPr>
              <w:jc w:val="right"/>
              <w:rPr>
                <w:color w:val="000000"/>
                <w:sz w:val="20"/>
                <w:szCs w:val="20"/>
                <w:lang w:val="es-ES"/>
              </w:rPr>
            </w:pPr>
            <w:r w:rsidRPr="0088089B">
              <w:rPr>
                <w:color w:val="000000"/>
                <w:sz w:val="20"/>
                <w:lang w:val="es-ES"/>
              </w:rPr>
              <w:t>3 516,23</w:t>
            </w:r>
          </w:p>
        </w:tc>
        <w:tc>
          <w:tcPr>
            <w:tcW w:w="641" w:type="pct"/>
            <w:tcBorders>
              <w:top w:val="nil"/>
              <w:left w:val="single" w:sz="4" w:space="0" w:color="auto"/>
              <w:bottom w:val="single" w:sz="4" w:space="0" w:color="auto"/>
              <w:right w:val="single" w:sz="4" w:space="0" w:color="auto"/>
            </w:tcBorders>
            <w:vAlign w:val="bottom"/>
          </w:tcPr>
          <w:p w14:paraId="5BFC4C47" w14:textId="2B26AE29" w:rsidR="0088089B" w:rsidRPr="0088089B" w:rsidRDefault="0088089B" w:rsidP="0088089B">
            <w:pPr>
              <w:jc w:val="right"/>
              <w:rPr>
                <w:color w:val="000000"/>
                <w:sz w:val="20"/>
                <w:szCs w:val="20"/>
                <w:lang w:val="es-ES"/>
              </w:rPr>
            </w:pPr>
            <w:r w:rsidRPr="0088089B">
              <w:rPr>
                <w:color w:val="000000"/>
                <w:sz w:val="20"/>
                <w:lang w:val="es-ES"/>
              </w:rPr>
              <w:t>3 558,55</w:t>
            </w:r>
          </w:p>
        </w:tc>
        <w:tc>
          <w:tcPr>
            <w:tcW w:w="641" w:type="pct"/>
            <w:tcBorders>
              <w:top w:val="nil"/>
              <w:left w:val="single" w:sz="4" w:space="0" w:color="auto"/>
              <w:bottom w:val="single" w:sz="4" w:space="0" w:color="auto"/>
              <w:right w:val="single" w:sz="4" w:space="0" w:color="auto"/>
            </w:tcBorders>
          </w:tcPr>
          <w:p w14:paraId="790735E1" w14:textId="01114A95" w:rsidR="0088089B" w:rsidRPr="0088089B" w:rsidRDefault="0088089B" w:rsidP="0088089B">
            <w:pPr>
              <w:jc w:val="right"/>
              <w:rPr>
                <w:sz w:val="20"/>
                <w:szCs w:val="20"/>
                <w:lang w:val="es-ES"/>
              </w:rPr>
            </w:pPr>
            <w:r w:rsidRPr="0088089B">
              <w:rPr>
                <w:sz w:val="20"/>
                <w:lang w:val="es-ES"/>
              </w:rPr>
              <w:t>2 585,02</w:t>
            </w:r>
          </w:p>
        </w:tc>
        <w:tc>
          <w:tcPr>
            <w:tcW w:w="641" w:type="pct"/>
            <w:tcBorders>
              <w:top w:val="nil"/>
              <w:left w:val="single" w:sz="4" w:space="0" w:color="auto"/>
              <w:bottom w:val="single" w:sz="4" w:space="0" w:color="auto"/>
              <w:right w:val="single" w:sz="4" w:space="0" w:color="auto"/>
            </w:tcBorders>
            <w:shd w:val="clear" w:color="auto" w:fill="auto"/>
            <w:noWrap/>
            <w:tcMar>
              <w:left w:w="0" w:type="dxa"/>
              <w:right w:w="144" w:type="dxa"/>
            </w:tcMar>
          </w:tcPr>
          <w:p w14:paraId="24AAE83C" w14:textId="787EC39A" w:rsidR="0088089B" w:rsidRPr="0088089B" w:rsidRDefault="0088089B" w:rsidP="0088089B">
            <w:pPr>
              <w:jc w:val="right"/>
              <w:rPr>
                <w:sz w:val="20"/>
                <w:szCs w:val="20"/>
                <w:lang w:val="es-ES"/>
              </w:rPr>
            </w:pPr>
            <w:r w:rsidRPr="0088089B">
              <w:rPr>
                <w:sz w:val="20"/>
                <w:lang w:val="es-ES"/>
              </w:rPr>
              <w:t>3 039,00</w:t>
            </w:r>
          </w:p>
        </w:tc>
      </w:tr>
      <w:tr w:rsidR="0088089B" w:rsidRPr="0088089B" w14:paraId="6D0CDC55" w14:textId="77777777" w:rsidTr="001E2274">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B54B17B" w14:textId="74D510F4" w:rsidR="0088089B" w:rsidRPr="0088089B" w:rsidRDefault="0088089B" w:rsidP="0088089B">
            <w:pPr>
              <w:jc w:val="left"/>
              <w:rPr>
                <w:color w:val="000000"/>
                <w:sz w:val="20"/>
                <w:szCs w:val="20"/>
                <w:lang w:val="es-ES"/>
              </w:rPr>
            </w:pPr>
            <w:r w:rsidRPr="0088089B">
              <w:rPr>
                <w:color w:val="000000"/>
                <w:sz w:val="20"/>
                <w:lang w:val="es-ES"/>
              </w:rPr>
              <w:t>HC</w:t>
            </w:r>
            <w:r>
              <w:rPr>
                <w:color w:val="000000"/>
                <w:sz w:val="20"/>
                <w:lang w:val="es-ES"/>
              </w:rPr>
              <w:t>FC</w:t>
            </w:r>
            <w:r>
              <w:rPr>
                <w:color w:val="000000"/>
                <w:sz w:val="20"/>
                <w:lang w:val="es-ES"/>
              </w:rPr>
              <w:noBreakHyphen/>
            </w:r>
            <w:r w:rsidRPr="0088089B">
              <w:rPr>
                <w:color w:val="000000"/>
                <w:sz w:val="20"/>
                <w:lang w:val="es-ES"/>
              </w:rPr>
              <w:t>123</w:t>
            </w:r>
          </w:p>
        </w:tc>
        <w:tc>
          <w:tcPr>
            <w:tcW w:w="641" w:type="pct"/>
            <w:tcBorders>
              <w:top w:val="nil"/>
              <w:left w:val="single" w:sz="4" w:space="0" w:color="auto"/>
              <w:bottom w:val="single" w:sz="4" w:space="0" w:color="auto"/>
              <w:right w:val="single" w:sz="4" w:space="0" w:color="auto"/>
            </w:tcBorders>
            <w:tcMar>
              <w:right w:w="144" w:type="dxa"/>
            </w:tcMar>
            <w:vAlign w:val="bottom"/>
          </w:tcPr>
          <w:p w14:paraId="3B298317" w14:textId="77777777" w:rsidR="0088089B" w:rsidRPr="0088089B" w:rsidRDefault="0088089B" w:rsidP="0088089B">
            <w:pPr>
              <w:jc w:val="right"/>
              <w:rPr>
                <w:color w:val="000000"/>
                <w:sz w:val="20"/>
                <w:szCs w:val="20"/>
                <w:lang w:val="es-ES"/>
              </w:rPr>
            </w:pPr>
            <w:r w:rsidRPr="0088089B">
              <w:rPr>
                <w:color w:val="000000"/>
                <w:sz w:val="20"/>
                <w:lang w:val="es-ES"/>
              </w:rPr>
              <w:t>44,62</w:t>
            </w:r>
          </w:p>
        </w:tc>
        <w:tc>
          <w:tcPr>
            <w:tcW w:w="641" w:type="pct"/>
            <w:tcBorders>
              <w:top w:val="nil"/>
              <w:left w:val="single" w:sz="4" w:space="0" w:color="auto"/>
              <w:bottom w:val="single" w:sz="4" w:space="0" w:color="auto"/>
              <w:right w:val="single" w:sz="4" w:space="0" w:color="auto"/>
            </w:tcBorders>
            <w:tcMar>
              <w:right w:w="144" w:type="dxa"/>
            </w:tcMar>
            <w:vAlign w:val="bottom"/>
          </w:tcPr>
          <w:p w14:paraId="4296E72A" w14:textId="77777777" w:rsidR="0088089B" w:rsidRPr="0088089B" w:rsidRDefault="0088089B" w:rsidP="0088089B">
            <w:pPr>
              <w:jc w:val="right"/>
              <w:rPr>
                <w:color w:val="000000"/>
                <w:sz w:val="20"/>
                <w:szCs w:val="20"/>
                <w:lang w:val="es-ES"/>
              </w:rPr>
            </w:pPr>
            <w:r w:rsidRPr="0088089B">
              <w:rPr>
                <w:color w:val="000000"/>
                <w:sz w:val="20"/>
                <w:lang w:val="es-ES"/>
              </w:rPr>
              <w:t>17,17</w:t>
            </w:r>
          </w:p>
        </w:tc>
        <w:tc>
          <w:tcPr>
            <w:tcW w:w="641" w:type="pct"/>
            <w:tcBorders>
              <w:top w:val="nil"/>
              <w:left w:val="single" w:sz="4" w:space="0" w:color="auto"/>
              <w:bottom w:val="single" w:sz="4" w:space="0" w:color="auto"/>
              <w:right w:val="single" w:sz="4" w:space="0" w:color="auto"/>
            </w:tcBorders>
            <w:tcMar>
              <w:right w:w="144" w:type="dxa"/>
            </w:tcMar>
            <w:vAlign w:val="bottom"/>
          </w:tcPr>
          <w:p w14:paraId="322F1FFC" w14:textId="77777777" w:rsidR="0088089B" w:rsidRPr="0088089B" w:rsidRDefault="0088089B" w:rsidP="0088089B">
            <w:pPr>
              <w:jc w:val="right"/>
              <w:rPr>
                <w:color w:val="000000"/>
                <w:sz w:val="20"/>
                <w:szCs w:val="20"/>
                <w:lang w:val="es-ES"/>
              </w:rPr>
            </w:pPr>
            <w:r w:rsidRPr="0088089B">
              <w:rPr>
                <w:color w:val="000000"/>
                <w:sz w:val="20"/>
                <w:lang w:val="es-ES"/>
              </w:rPr>
              <w:t>16,34</w:t>
            </w:r>
          </w:p>
        </w:tc>
        <w:tc>
          <w:tcPr>
            <w:tcW w:w="641" w:type="pct"/>
            <w:tcBorders>
              <w:top w:val="nil"/>
              <w:left w:val="single" w:sz="4" w:space="0" w:color="auto"/>
              <w:bottom w:val="single" w:sz="4" w:space="0" w:color="auto"/>
              <w:right w:val="single" w:sz="4" w:space="0" w:color="auto"/>
            </w:tcBorders>
            <w:vAlign w:val="bottom"/>
          </w:tcPr>
          <w:p w14:paraId="54EAC556" w14:textId="77777777" w:rsidR="0088089B" w:rsidRPr="0088089B" w:rsidRDefault="0088089B" w:rsidP="0088089B">
            <w:pPr>
              <w:jc w:val="right"/>
              <w:rPr>
                <w:color w:val="000000"/>
                <w:sz w:val="20"/>
                <w:szCs w:val="20"/>
                <w:lang w:val="es-ES"/>
              </w:rPr>
            </w:pPr>
            <w:r w:rsidRPr="0088089B">
              <w:rPr>
                <w:color w:val="000000"/>
                <w:sz w:val="20"/>
                <w:lang w:val="es-ES"/>
              </w:rPr>
              <w:t>16,34</w:t>
            </w:r>
          </w:p>
        </w:tc>
        <w:tc>
          <w:tcPr>
            <w:tcW w:w="641" w:type="pct"/>
            <w:tcBorders>
              <w:top w:val="nil"/>
              <w:left w:val="single" w:sz="4" w:space="0" w:color="auto"/>
              <w:bottom w:val="single" w:sz="4" w:space="0" w:color="auto"/>
              <w:right w:val="single" w:sz="4" w:space="0" w:color="auto"/>
            </w:tcBorders>
          </w:tcPr>
          <w:p w14:paraId="4DA15653" w14:textId="77777777" w:rsidR="0088089B" w:rsidRPr="0088089B" w:rsidRDefault="0088089B" w:rsidP="0088089B">
            <w:pPr>
              <w:jc w:val="right"/>
              <w:rPr>
                <w:sz w:val="20"/>
                <w:szCs w:val="20"/>
                <w:lang w:val="es-ES"/>
              </w:rPr>
            </w:pPr>
            <w:r w:rsidRPr="0088089B">
              <w:rPr>
                <w:sz w:val="20"/>
                <w:lang w:val="es-ES"/>
              </w:rPr>
              <w:t>0,00</w:t>
            </w:r>
          </w:p>
        </w:tc>
        <w:tc>
          <w:tcPr>
            <w:tcW w:w="641" w:type="pct"/>
            <w:tcBorders>
              <w:top w:val="nil"/>
              <w:left w:val="single" w:sz="4" w:space="0" w:color="auto"/>
              <w:bottom w:val="single" w:sz="4" w:space="0" w:color="auto"/>
              <w:right w:val="single" w:sz="4" w:space="0" w:color="auto"/>
            </w:tcBorders>
            <w:shd w:val="clear" w:color="auto" w:fill="auto"/>
            <w:noWrap/>
            <w:tcMar>
              <w:left w:w="0" w:type="dxa"/>
              <w:right w:w="144" w:type="dxa"/>
            </w:tcMar>
          </w:tcPr>
          <w:p w14:paraId="41797F13" w14:textId="77777777" w:rsidR="0088089B" w:rsidRPr="0088089B" w:rsidRDefault="0088089B" w:rsidP="0088089B">
            <w:pPr>
              <w:jc w:val="right"/>
              <w:rPr>
                <w:sz w:val="20"/>
                <w:szCs w:val="20"/>
                <w:lang w:val="es-ES"/>
              </w:rPr>
            </w:pPr>
            <w:r w:rsidRPr="0088089B">
              <w:rPr>
                <w:sz w:val="20"/>
                <w:lang w:val="es-ES"/>
              </w:rPr>
              <w:t>8,00</w:t>
            </w:r>
          </w:p>
        </w:tc>
      </w:tr>
      <w:tr w:rsidR="0088089B" w:rsidRPr="0088089B" w14:paraId="7E9BFF6E" w14:textId="77777777" w:rsidTr="001E2274">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16DA051" w14:textId="4DCAE5AF" w:rsidR="0088089B" w:rsidRPr="0088089B" w:rsidRDefault="0088089B" w:rsidP="0088089B">
            <w:pPr>
              <w:jc w:val="left"/>
              <w:rPr>
                <w:color w:val="000000"/>
                <w:sz w:val="20"/>
                <w:szCs w:val="20"/>
                <w:lang w:val="es-ES"/>
              </w:rPr>
            </w:pPr>
            <w:r w:rsidRPr="0088089B">
              <w:rPr>
                <w:color w:val="000000"/>
                <w:sz w:val="20"/>
                <w:lang w:val="es-ES"/>
              </w:rPr>
              <w:t>HC</w:t>
            </w:r>
            <w:r>
              <w:rPr>
                <w:color w:val="000000"/>
                <w:sz w:val="20"/>
                <w:lang w:val="es-ES"/>
              </w:rPr>
              <w:t>FC</w:t>
            </w:r>
            <w:r>
              <w:rPr>
                <w:color w:val="000000"/>
                <w:sz w:val="20"/>
                <w:lang w:val="es-ES"/>
              </w:rPr>
              <w:noBreakHyphen/>
            </w:r>
            <w:r w:rsidRPr="0088089B">
              <w:rPr>
                <w:color w:val="000000"/>
                <w:sz w:val="20"/>
                <w:lang w:val="es-ES"/>
              </w:rPr>
              <w:t>141b</w:t>
            </w:r>
          </w:p>
        </w:tc>
        <w:tc>
          <w:tcPr>
            <w:tcW w:w="641" w:type="pct"/>
            <w:tcBorders>
              <w:top w:val="nil"/>
              <w:left w:val="single" w:sz="4" w:space="0" w:color="auto"/>
              <w:bottom w:val="single" w:sz="4" w:space="0" w:color="auto"/>
              <w:right w:val="single" w:sz="4" w:space="0" w:color="auto"/>
            </w:tcBorders>
            <w:tcMar>
              <w:right w:w="144" w:type="dxa"/>
            </w:tcMar>
            <w:vAlign w:val="center"/>
          </w:tcPr>
          <w:p w14:paraId="05AC0B96" w14:textId="77777777" w:rsidR="0088089B" w:rsidRPr="0088089B" w:rsidRDefault="0088089B" w:rsidP="0088089B">
            <w:pPr>
              <w:jc w:val="right"/>
              <w:rPr>
                <w:lang w:val="es-ES"/>
              </w:rPr>
            </w:pPr>
            <w:r w:rsidRPr="0088089B">
              <w:rPr>
                <w:sz w:val="20"/>
                <w:lang w:val="es-ES"/>
              </w:rPr>
              <w:t>0,00</w:t>
            </w:r>
          </w:p>
        </w:tc>
        <w:tc>
          <w:tcPr>
            <w:tcW w:w="641" w:type="pct"/>
            <w:tcBorders>
              <w:top w:val="nil"/>
              <w:left w:val="single" w:sz="4" w:space="0" w:color="auto"/>
              <w:bottom w:val="single" w:sz="4" w:space="0" w:color="auto"/>
              <w:right w:val="single" w:sz="4" w:space="0" w:color="auto"/>
            </w:tcBorders>
            <w:tcMar>
              <w:right w:w="144" w:type="dxa"/>
            </w:tcMar>
            <w:vAlign w:val="center"/>
          </w:tcPr>
          <w:p w14:paraId="344529E6" w14:textId="77777777" w:rsidR="0088089B" w:rsidRPr="0088089B" w:rsidRDefault="0088089B" w:rsidP="0088089B">
            <w:pPr>
              <w:jc w:val="right"/>
              <w:rPr>
                <w:lang w:val="es-ES"/>
              </w:rPr>
            </w:pPr>
            <w:r w:rsidRPr="0088089B">
              <w:rPr>
                <w:sz w:val="20"/>
                <w:lang w:val="es-ES"/>
              </w:rPr>
              <w:t>0,00</w:t>
            </w:r>
          </w:p>
        </w:tc>
        <w:tc>
          <w:tcPr>
            <w:tcW w:w="641" w:type="pct"/>
            <w:tcBorders>
              <w:top w:val="nil"/>
              <w:left w:val="single" w:sz="4" w:space="0" w:color="auto"/>
              <w:bottom w:val="single" w:sz="4" w:space="0" w:color="auto"/>
              <w:right w:val="single" w:sz="4" w:space="0" w:color="auto"/>
            </w:tcBorders>
            <w:tcMar>
              <w:right w:w="144" w:type="dxa"/>
            </w:tcMar>
            <w:vAlign w:val="center"/>
          </w:tcPr>
          <w:p w14:paraId="5C651D11" w14:textId="77777777" w:rsidR="0088089B" w:rsidRPr="0088089B" w:rsidRDefault="0088089B" w:rsidP="0088089B">
            <w:pPr>
              <w:jc w:val="right"/>
              <w:rPr>
                <w:lang w:val="es-ES"/>
              </w:rPr>
            </w:pPr>
            <w:r w:rsidRPr="0088089B">
              <w:rPr>
                <w:sz w:val="20"/>
                <w:lang w:val="es-ES"/>
              </w:rPr>
              <w:t>0,00</w:t>
            </w:r>
          </w:p>
        </w:tc>
        <w:tc>
          <w:tcPr>
            <w:tcW w:w="641" w:type="pct"/>
            <w:tcBorders>
              <w:top w:val="nil"/>
              <w:left w:val="single" w:sz="4" w:space="0" w:color="auto"/>
              <w:bottom w:val="single" w:sz="4" w:space="0" w:color="auto"/>
              <w:right w:val="single" w:sz="4" w:space="0" w:color="auto"/>
            </w:tcBorders>
            <w:vAlign w:val="bottom"/>
          </w:tcPr>
          <w:p w14:paraId="2E18FE14" w14:textId="77777777" w:rsidR="0088089B" w:rsidRPr="0088089B" w:rsidRDefault="0088089B" w:rsidP="0088089B">
            <w:pPr>
              <w:jc w:val="right"/>
              <w:rPr>
                <w:color w:val="000000"/>
                <w:sz w:val="20"/>
                <w:szCs w:val="20"/>
                <w:lang w:val="es-ES"/>
              </w:rPr>
            </w:pPr>
            <w:r w:rsidRPr="0088089B">
              <w:rPr>
                <w:color w:val="000000"/>
                <w:sz w:val="20"/>
                <w:lang w:val="es-ES"/>
              </w:rPr>
              <w:t>0,00</w:t>
            </w:r>
          </w:p>
        </w:tc>
        <w:tc>
          <w:tcPr>
            <w:tcW w:w="641" w:type="pct"/>
            <w:tcBorders>
              <w:top w:val="nil"/>
              <w:left w:val="single" w:sz="4" w:space="0" w:color="auto"/>
              <w:bottom w:val="single" w:sz="4" w:space="0" w:color="auto"/>
              <w:right w:val="single" w:sz="4" w:space="0" w:color="auto"/>
            </w:tcBorders>
          </w:tcPr>
          <w:p w14:paraId="0FD80422" w14:textId="77777777" w:rsidR="0088089B" w:rsidRPr="0088089B" w:rsidRDefault="0088089B" w:rsidP="0088089B">
            <w:pPr>
              <w:jc w:val="right"/>
              <w:rPr>
                <w:sz w:val="20"/>
                <w:szCs w:val="20"/>
                <w:lang w:val="es-ES"/>
              </w:rPr>
            </w:pPr>
            <w:r w:rsidRPr="0088089B">
              <w:rPr>
                <w:sz w:val="20"/>
                <w:lang w:val="es-ES"/>
              </w:rPr>
              <w:t>0,00</w:t>
            </w:r>
          </w:p>
        </w:tc>
        <w:tc>
          <w:tcPr>
            <w:tcW w:w="641" w:type="pct"/>
            <w:tcBorders>
              <w:top w:val="nil"/>
              <w:left w:val="single" w:sz="4" w:space="0" w:color="auto"/>
              <w:bottom w:val="single" w:sz="4" w:space="0" w:color="auto"/>
              <w:right w:val="single" w:sz="4" w:space="0" w:color="auto"/>
            </w:tcBorders>
            <w:shd w:val="clear" w:color="auto" w:fill="auto"/>
            <w:noWrap/>
            <w:tcMar>
              <w:left w:w="0" w:type="dxa"/>
              <w:right w:w="144" w:type="dxa"/>
            </w:tcMar>
          </w:tcPr>
          <w:p w14:paraId="6D234F09" w14:textId="77777777" w:rsidR="0088089B" w:rsidRPr="0088089B" w:rsidRDefault="0088089B" w:rsidP="0088089B">
            <w:pPr>
              <w:jc w:val="right"/>
              <w:rPr>
                <w:sz w:val="20"/>
                <w:szCs w:val="20"/>
                <w:lang w:val="es-ES"/>
              </w:rPr>
            </w:pPr>
            <w:r w:rsidRPr="0088089B">
              <w:rPr>
                <w:sz w:val="20"/>
                <w:lang w:val="es-ES"/>
              </w:rPr>
              <w:t>490,00</w:t>
            </w:r>
          </w:p>
        </w:tc>
      </w:tr>
      <w:tr w:rsidR="0088089B" w:rsidRPr="0088089B" w14:paraId="6CC5F0C6" w14:textId="77777777" w:rsidTr="001E2274">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1A32635" w14:textId="7F82480C" w:rsidR="0088089B" w:rsidRPr="0088089B" w:rsidRDefault="0088089B" w:rsidP="0088089B">
            <w:pPr>
              <w:jc w:val="left"/>
              <w:rPr>
                <w:color w:val="000000"/>
                <w:sz w:val="20"/>
                <w:szCs w:val="20"/>
                <w:lang w:val="es-ES"/>
              </w:rPr>
            </w:pPr>
            <w:r w:rsidRPr="0088089B">
              <w:rPr>
                <w:color w:val="000000"/>
                <w:sz w:val="20"/>
                <w:lang w:val="es-ES"/>
              </w:rPr>
              <w:t>HC</w:t>
            </w:r>
            <w:r>
              <w:rPr>
                <w:color w:val="000000"/>
                <w:sz w:val="20"/>
                <w:lang w:val="es-ES"/>
              </w:rPr>
              <w:t>FC</w:t>
            </w:r>
            <w:r>
              <w:rPr>
                <w:color w:val="000000"/>
                <w:sz w:val="20"/>
                <w:lang w:val="es-ES"/>
              </w:rPr>
              <w:noBreakHyphen/>
            </w:r>
            <w:r w:rsidRPr="0088089B">
              <w:rPr>
                <w:color w:val="000000"/>
                <w:sz w:val="20"/>
                <w:lang w:val="es-ES"/>
              </w:rPr>
              <w:t>225</w:t>
            </w:r>
          </w:p>
        </w:tc>
        <w:tc>
          <w:tcPr>
            <w:tcW w:w="641" w:type="pct"/>
            <w:tcBorders>
              <w:top w:val="nil"/>
              <w:left w:val="single" w:sz="4" w:space="0" w:color="auto"/>
              <w:bottom w:val="single" w:sz="4" w:space="0" w:color="auto"/>
              <w:right w:val="single" w:sz="4" w:space="0" w:color="auto"/>
            </w:tcBorders>
            <w:tcMar>
              <w:right w:w="144" w:type="dxa"/>
            </w:tcMar>
            <w:vAlign w:val="bottom"/>
          </w:tcPr>
          <w:p w14:paraId="2AFD93D9" w14:textId="77777777" w:rsidR="0088089B" w:rsidRPr="0088089B" w:rsidRDefault="0088089B" w:rsidP="0088089B">
            <w:pPr>
              <w:jc w:val="right"/>
              <w:rPr>
                <w:color w:val="000000"/>
                <w:sz w:val="20"/>
                <w:szCs w:val="20"/>
                <w:lang w:val="es-ES"/>
              </w:rPr>
            </w:pPr>
            <w:r w:rsidRPr="0088089B">
              <w:rPr>
                <w:color w:val="000000"/>
                <w:sz w:val="20"/>
                <w:lang w:val="es-ES"/>
              </w:rPr>
              <w:t>16,00</w:t>
            </w:r>
          </w:p>
        </w:tc>
        <w:tc>
          <w:tcPr>
            <w:tcW w:w="641" w:type="pct"/>
            <w:tcBorders>
              <w:top w:val="nil"/>
              <w:left w:val="single" w:sz="4" w:space="0" w:color="auto"/>
              <w:bottom w:val="single" w:sz="4" w:space="0" w:color="auto"/>
              <w:right w:val="single" w:sz="4" w:space="0" w:color="auto"/>
            </w:tcBorders>
            <w:tcMar>
              <w:right w:w="144" w:type="dxa"/>
            </w:tcMar>
            <w:vAlign w:val="bottom"/>
          </w:tcPr>
          <w:p w14:paraId="5D1DC871" w14:textId="77777777" w:rsidR="0088089B" w:rsidRPr="0088089B" w:rsidRDefault="0088089B" w:rsidP="0088089B">
            <w:pPr>
              <w:jc w:val="right"/>
              <w:rPr>
                <w:color w:val="000000"/>
                <w:sz w:val="20"/>
                <w:szCs w:val="20"/>
                <w:lang w:val="es-ES"/>
              </w:rPr>
            </w:pPr>
            <w:r w:rsidRPr="0088089B">
              <w:rPr>
                <w:color w:val="000000"/>
                <w:sz w:val="20"/>
                <w:lang w:val="es-ES"/>
              </w:rPr>
              <w:t>13,90</w:t>
            </w:r>
          </w:p>
        </w:tc>
        <w:tc>
          <w:tcPr>
            <w:tcW w:w="641" w:type="pct"/>
            <w:tcBorders>
              <w:top w:val="nil"/>
              <w:left w:val="single" w:sz="4" w:space="0" w:color="auto"/>
              <w:bottom w:val="single" w:sz="4" w:space="0" w:color="auto"/>
              <w:right w:val="single" w:sz="4" w:space="0" w:color="auto"/>
            </w:tcBorders>
            <w:tcMar>
              <w:right w:w="144" w:type="dxa"/>
            </w:tcMar>
            <w:vAlign w:val="bottom"/>
          </w:tcPr>
          <w:p w14:paraId="5A9F845F" w14:textId="77777777" w:rsidR="0088089B" w:rsidRPr="0088089B" w:rsidRDefault="0088089B" w:rsidP="0088089B">
            <w:pPr>
              <w:jc w:val="right"/>
              <w:rPr>
                <w:color w:val="000000"/>
                <w:sz w:val="20"/>
                <w:szCs w:val="20"/>
                <w:lang w:val="es-ES"/>
              </w:rPr>
            </w:pPr>
            <w:r w:rsidRPr="0088089B">
              <w:rPr>
                <w:color w:val="000000"/>
                <w:sz w:val="20"/>
                <w:lang w:val="es-ES"/>
              </w:rPr>
              <w:t>26,87</w:t>
            </w:r>
          </w:p>
        </w:tc>
        <w:tc>
          <w:tcPr>
            <w:tcW w:w="641" w:type="pct"/>
            <w:tcBorders>
              <w:top w:val="nil"/>
              <w:left w:val="single" w:sz="4" w:space="0" w:color="auto"/>
              <w:bottom w:val="single" w:sz="4" w:space="0" w:color="auto"/>
              <w:right w:val="single" w:sz="4" w:space="0" w:color="auto"/>
            </w:tcBorders>
            <w:vAlign w:val="bottom"/>
          </w:tcPr>
          <w:p w14:paraId="34A60AE0" w14:textId="77777777" w:rsidR="0088089B" w:rsidRPr="0088089B" w:rsidRDefault="0088089B" w:rsidP="0088089B">
            <w:pPr>
              <w:jc w:val="right"/>
              <w:rPr>
                <w:color w:val="000000"/>
                <w:sz w:val="20"/>
                <w:szCs w:val="20"/>
                <w:lang w:val="es-ES"/>
              </w:rPr>
            </w:pPr>
            <w:r w:rsidRPr="0088089B">
              <w:rPr>
                <w:color w:val="000000"/>
                <w:sz w:val="20"/>
                <w:lang w:val="es-ES"/>
              </w:rPr>
              <w:t>21,46</w:t>
            </w:r>
          </w:p>
        </w:tc>
        <w:tc>
          <w:tcPr>
            <w:tcW w:w="641" w:type="pct"/>
            <w:tcBorders>
              <w:top w:val="nil"/>
              <w:left w:val="single" w:sz="4" w:space="0" w:color="auto"/>
              <w:bottom w:val="single" w:sz="4" w:space="0" w:color="auto"/>
              <w:right w:val="single" w:sz="4" w:space="0" w:color="auto"/>
            </w:tcBorders>
          </w:tcPr>
          <w:p w14:paraId="60FC0F76" w14:textId="77777777" w:rsidR="0088089B" w:rsidRPr="0088089B" w:rsidRDefault="0088089B" w:rsidP="0088089B">
            <w:pPr>
              <w:jc w:val="right"/>
              <w:rPr>
                <w:sz w:val="20"/>
                <w:szCs w:val="20"/>
                <w:lang w:val="es-ES"/>
              </w:rPr>
            </w:pPr>
            <w:r w:rsidRPr="0088089B">
              <w:rPr>
                <w:sz w:val="20"/>
                <w:lang w:val="es-ES"/>
              </w:rPr>
              <w:t>0,00</w:t>
            </w:r>
          </w:p>
        </w:tc>
        <w:tc>
          <w:tcPr>
            <w:tcW w:w="641" w:type="pct"/>
            <w:tcBorders>
              <w:top w:val="nil"/>
              <w:left w:val="single" w:sz="4" w:space="0" w:color="auto"/>
              <w:bottom w:val="single" w:sz="4" w:space="0" w:color="auto"/>
              <w:right w:val="single" w:sz="4" w:space="0" w:color="auto"/>
            </w:tcBorders>
            <w:shd w:val="clear" w:color="auto" w:fill="auto"/>
            <w:noWrap/>
            <w:tcMar>
              <w:left w:w="0" w:type="dxa"/>
              <w:right w:w="144" w:type="dxa"/>
            </w:tcMar>
          </w:tcPr>
          <w:p w14:paraId="40EA04C6" w14:textId="77777777" w:rsidR="0088089B" w:rsidRPr="0088089B" w:rsidRDefault="0088089B" w:rsidP="0088089B">
            <w:pPr>
              <w:jc w:val="right"/>
              <w:rPr>
                <w:sz w:val="20"/>
                <w:szCs w:val="20"/>
                <w:lang w:val="es-ES"/>
              </w:rPr>
            </w:pPr>
            <w:r w:rsidRPr="0088089B">
              <w:rPr>
                <w:sz w:val="20"/>
                <w:lang w:val="es-ES"/>
              </w:rPr>
              <w:t>0,00</w:t>
            </w:r>
          </w:p>
        </w:tc>
      </w:tr>
      <w:tr w:rsidR="0088089B" w:rsidRPr="0088089B" w14:paraId="12869159" w14:textId="77777777" w:rsidTr="001E2274">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00B2DBC3" w14:textId="77777777" w:rsidR="0088089B" w:rsidRPr="0088089B" w:rsidRDefault="0088089B" w:rsidP="0088089B">
            <w:pPr>
              <w:jc w:val="left"/>
              <w:rPr>
                <w:rFonts w:eastAsiaTheme="minorHAnsi"/>
                <w:b/>
                <w:color w:val="000000"/>
                <w:sz w:val="20"/>
                <w:szCs w:val="20"/>
                <w:lang w:val="es-ES"/>
              </w:rPr>
            </w:pPr>
            <w:r w:rsidRPr="0088089B">
              <w:rPr>
                <w:b/>
                <w:color w:val="000000"/>
                <w:sz w:val="20"/>
                <w:lang w:val="es-ES"/>
              </w:rPr>
              <w:t>Total (tm)</w:t>
            </w:r>
          </w:p>
        </w:tc>
        <w:tc>
          <w:tcPr>
            <w:tcW w:w="641" w:type="pct"/>
            <w:tcBorders>
              <w:top w:val="nil"/>
              <w:left w:val="single" w:sz="4" w:space="0" w:color="auto"/>
              <w:bottom w:val="single" w:sz="4" w:space="0" w:color="auto"/>
              <w:right w:val="single" w:sz="4" w:space="0" w:color="auto"/>
            </w:tcBorders>
            <w:tcMar>
              <w:right w:w="144" w:type="dxa"/>
            </w:tcMar>
            <w:vAlign w:val="bottom"/>
          </w:tcPr>
          <w:p w14:paraId="68A576D1" w14:textId="7F3E02B0" w:rsidR="0088089B" w:rsidRPr="0088089B" w:rsidRDefault="0088089B" w:rsidP="0088089B">
            <w:pPr>
              <w:jc w:val="right"/>
              <w:rPr>
                <w:b/>
                <w:bCs/>
                <w:color w:val="000000"/>
                <w:sz w:val="20"/>
                <w:szCs w:val="20"/>
                <w:lang w:val="es-ES"/>
              </w:rPr>
            </w:pPr>
            <w:r w:rsidRPr="0088089B">
              <w:rPr>
                <w:b/>
                <w:color w:val="000000"/>
                <w:sz w:val="20"/>
                <w:lang w:val="es-ES"/>
              </w:rPr>
              <w:t>3 582,84</w:t>
            </w:r>
          </w:p>
        </w:tc>
        <w:tc>
          <w:tcPr>
            <w:tcW w:w="641" w:type="pct"/>
            <w:tcBorders>
              <w:top w:val="nil"/>
              <w:left w:val="single" w:sz="4" w:space="0" w:color="auto"/>
              <w:bottom w:val="single" w:sz="4" w:space="0" w:color="auto"/>
              <w:right w:val="single" w:sz="4" w:space="0" w:color="auto"/>
            </w:tcBorders>
            <w:tcMar>
              <w:right w:w="144" w:type="dxa"/>
            </w:tcMar>
            <w:vAlign w:val="bottom"/>
          </w:tcPr>
          <w:p w14:paraId="2ECC2BDC" w14:textId="7BB020EE" w:rsidR="0088089B" w:rsidRPr="0088089B" w:rsidRDefault="0088089B" w:rsidP="0088089B">
            <w:pPr>
              <w:jc w:val="right"/>
              <w:rPr>
                <w:b/>
                <w:bCs/>
                <w:color w:val="000000"/>
                <w:sz w:val="20"/>
                <w:szCs w:val="20"/>
                <w:lang w:val="es-ES"/>
              </w:rPr>
            </w:pPr>
            <w:r w:rsidRPr="0088089B">
              <w:rPr>
                <w:b/>
                <w:color w:val="000000"/>
                <w:sz w:val="20"/>
                <w:lang w:val="es-ES"/>
              </w:rPr>
              <w:t>3 599,59</w:t>
            </w:r>
          </w:p>
        </w:tc>
        <w:tc>
          <w:tcPr>
            <w:tcW w:w="641" w:type="pct"/>
            <w:tcBorders>
              <w:top w:val="nil"/>
              <w:left w:val="single" w:sz="4" w:space="0" w:color="auto"/>
              <w:bottom w:val="single" w:sz="4" w:space="0" w:color="auto"/>
              <w:right w:val="single" w:sz="4" w:space="0" w:color="auto"/>
            </w:tcBorders>
            <w:tcMar>
              <w:right w:w="144" w:type="dxa"/>
            </w:tcMar>
            <w:vAlign w:val="bottom"/>
          </w:tcPr>
          <w:p w14:paraId="69BB667E" w14:textId="3A694889" w:rsidR="0088089B" w:rsidRPr="0088089B" w:rsidRDefault="0088089B" w:rsidP="0088089B">
            <w:pPr>
              <w:jc w:val="right"/>
              <w:rPr>
                <w:b/>
                <w:bCs/>
                <w:color w:val="000000"/>
                <w:sz w:val="20"/>
                <w:szCs w:val="20"/>
                <w:lang w:val="es-ES"/>
              </w:rPr>
            </w:pPr>
            <w:r w:rsidRPr="0088089B">
              <w:rPr>
                <w:b/>
                <w:color w:val="000000"/>
                <w:sz w:val="20"/>
                <w:lang w:val="es-ES"/>
              </w:rPr>
              <w:t>3 599,44</w:t>
            </w:r>
          </w:p>
        </w:tc>
        <w:tc>
          <w:tcPr>
            <w:tcW w:w="641" w:type="pct"/>
            <w:tcBorders>
              <w:top w:val="nil"/>
              <w:left w:val="single" w:sz="4" w:space="0" w:color="auto"/>
              <w:bottom w:val="single" w:sz="4" w:space="0" w:color="auto"/>
              <w:right w:val="single" w:sz="4" w:space="0" w:color="auto"/>
            </w:tcBorders>
            <w:vAlign w:val="bottom"/>
          </w:tcPr>
          <w:p w14:paraId="5557EC3A" w14:textId="3A6A8C9C" w:rsidR="0088089B" w:rsidRPr="0088089B" w:rsidRDefault="0088089B" w:rsidP="0088089B">
            <w:pPr>
              <w:jc w:val="right"/>
              <w:rPr>
                <w:b/>
                <w:color w:val="000000"/>
                <w:sz w:val="20"/>
                <w:szCs w:val="20"/>
                <w:lang w:val="es-ES"/>
              </w:rPr>
            </w:pPr>
            <w:r w:rsidRPr="0088089B">
              <w:rPr>
                <w:b/>
                <w:color w:val="000000"/>
                <w:sz w:val="20"/>
                <w:lang w:val="es-ES"/>
              </w:rPr>
              <w:t>3 596,36</w:t>
            </w:r>
          </w:p>
        </w:tc>
        <w:tc>
          <w:tcPr>
            <w:tcW w:w="641" w:type="pct"/>
            <w:tcBorders>
              <w:top w:val="nil"/>
              <w:left w:val="single" w:sz="4" w:space="0" w:color="auto"/>
              <w:bottom w:val="single" w:sz="4" w:space="0" w:color="auto"/>
              <w:right w:val="single" w:sz="4" w:space="0" w:color="auto"/>
            </w:tcBorders>
          </w:tcPr>
          <w:p w14:paraId="290E61F6" w14:textId="5356AC59" w:rsidR="0088089B" w:rsidRPr="0088089B" w:rsidRDefault="0088089B" w:rsidP="0088089B">
            <w:pPr>
              <w:jc w:val="right"/>
              <w:rPr>
                <w:b/>
                <w:color w:val="000000"/>
                <w:sz w:val="20"/>
                <w:szCs w:val="20"/>
                <w:lang w:val="es-ES"/>
              </w:rPr>
            </w:pPr>
            <w:r w:rsidRPr="0088089B">
              <w:rPr>
                <w:b/>
                <w:color w:val="000000"/>
                <w:sz w:val="20"/>
                <w:lang w:val="es-ES"/>
              </w:rPr>
              <w:t>2 585,02</w:t>
            </w:r>
          </w:p>
        </w:tc>
        <w:tc>
          <w:tcPr>
            <w:tcW w:w="641" w:type="pct"/>
            <w:tcBorders>
              <w:top w:val="nil"/>
              <w:left w:val="single" w:sz="4" w:space="0" w:color="auto"/>
              <w:bottom w:val="single" w:sz="4" w:space="0" w:color="auto"/>
              <w:right w:val="single" w:sz="4" w:space="0" w:color="auto"/>
            </w:tcBorders>
            <w:shd w:val="clear" w:color="auto" w:fill="auto"/>
            <w:noWrap/>
            <w:tcMar>
              <w:left w:w="0" w:type="dxa"/>
              <w:right w:w="144" w:type="dxa"/>
            </w:tcMar>
            <w:vAlign w:val="center"/>
          </w:tcPr>
          <w:p w14:paraId="27D0DBA2" w14:textId="1635EBDE" w:rsidR="0088089B" w:rsidRPr="0088089B" w:rsidRDefault="0088089B" w:rsidP="0088089B">
            <w:pPr>
              <w:jc w:val="right"/>
              <w:rPr>
                <w:b/>
                <w:color w:val="000000"/>
                <w:sz w:val="20"/>
                <w:szCs w:val="20"/>
                <w:lang w:val="es-ES"/>
              </w:rPr>
            </w:pPr>
            <w:r w:rsidRPr="0088089B">
              <w:rPr>
                <w:b/>
                <w:color w:val="000000"/>
                <w:sz w:val="20"/>
                <w:lang w:val="es-ES"/>
              </w:rPr>
              <w:fldChar w:fldCharType="begin"/>
            </w:r>
            <w:r w:rsidRPr="0088089B">
              <w:rPr>
                <w:b/>
                <w:color w:val="000000"/>
                <w:sz w:val="20"/>
                <w:lang w:val="es-ES"/>
              </w:rPr>
              <w:instrText xml:space="preserve"> =SUM(ABOVE) </w:instrText>
            </w:r>
            <w:r w:rsidRPr="0088089B">
              <w:rPr>
                <w:b/>
                <w:color w:val="000000"/>
                <w:sz w:val="20"/>
                <w:lang w:val="es-ES"/>
              </w:rPr>
              <w:fldChar w:fldCharType="separate"/>
            </w:r>
            <w:r w:rsidRPr="0088089B">
              <w:rPr>
                <w:b/>
                <w:color w:val="000000"/>
                <w:sz w:val="20"/>
                <w:lang w:val="es-ES"/>
              </w:rPr>
              <w:t>3 537</w:t>
            </w:r>
            <w:r w:rsidRPr="0088089B">
              <w:rPr>
                <w:b/>
                <w:color w:val="000000"/>
                <w:sz w:val="20"/>
                <w:lang w:val="es-ES"/>
              </w:rPr>
              <w:fldChar w:fldCharType="end"/>
            </w:r>
            <w:r w:rsidRPr="0088089B">
              <w:rPr>
                <w:b/>
                <w:color w:val="000000"/>
                <w:sz w:val="20"/>
                <w:lang w:val="es-ES"/>
              </w:rPr>
              <w:t>,00</w:t>
            </w:r>
          </w:p>
        </w:tc>
      </w:tr>
      <w:tr w:rsidR="0088089B" w:rsidRPr="0088089B" w14:paraId="318E0E9F" w14:textId="77777777" w:rsidTr="001E2274">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4F82BF59" w14:textId="259091D2" w:rsidR="0088089B" w:rsidRPr="0088089B" w:rsidRDefault="0088089B" w:rsidP="0088089B">
            <w:pPr>
              <w:jc w:val="left"/>
              <w:rPr>
                <w:b/>
                <w:bCs/>
                <w:color w:val="000000"/>
                <w:sz w:val="20"/>
                <w:szCs w:val="20"/>
                <w:lang w:val="es-ES"/>
              </w:rPr>
            </w:pPr>
            <w:r w:rsidRPr="0088089B">
              <w:rPr>
                <w:color w:val="000000"/>
                <w:sz w:val="20"/>
                <w:lang w:val="es-ES"/>
              </w:rPr>
              <w:t>HC</w:t>
            </w:r>
            <w:r>
              <w:rPr>
                <w:color w:val="000000"/>
                <w:sz w:val="20"/>
                <w:lang w:val="es-ES"/>
              </w:rPr>
              <w:t>FC</w:t>
            </w:r>
            <w:r>
              <w:rPr>
                <w:color w:val="000000"/>
                <w:sz w:val="20"/>
                <w:lang w:val="es-ES"/>
              </w:rPr>
              <w:noBreakHyphen/>
            </w:r>
            <w:r w:rsidRPr="0088089B">
              <w:rPr>
                <w:color w:val="000000"/>
                <w:sz w:val="20"/>
                <w:lang w:val="es-ES"/>
              </w:rPr>
              <w:t>141b contenido en polioles premezclados importados**</w:t>
            </w:r>
          </w:p>
        </w:tc>
        <w:tc>
          <w:tcPr>
            <w:tcW w:w="641" w:type="pct"/>
            <w:tcBorders>
              <w:top w:val="nil"/>
              <w:left w:val="single" w:sz="4" w:space="0" w:color="auto"/>
              <w:bottom w:val="single" w:sz="4" w:space="0" w:color="auto"/>
              <w:right w:val="single" w:sz="4" w:space="0" w:color="auto"/>
            </w:tcBorders>
            <w:tcMar>
              <w:right w:w="144" w:type="dxa"/>
            </w:tcMar>
          </w:tcPr>
          <w:p w14:paraId="65F3A620" w14:textId="623DEEBA" w:rsidR="0088089B" w:rsidRPr="0088089B" w:rsidRDefault="0088089B" w:rsidP="0088089B">
            <w:pPr>
              <w:jc w:val="right"/>
              <w:rPr>
                <w:sz w:val="20"/>
                <w:szCs w:val="20"/>
                <w:lang w:val="es-ES"/>
              </w:rPr>
            </w:pPr>
            <w:r w:rsidRPr="0088089B">
              <w:rPr>
                <w:sz w:val="20"/>
                <w:lang w:val="es-ES"/>
              </w:rPr>
              <w:t>3 237,55</w:t>
            </w:r>
          </w:p>
        </w:tc>
        <w:tc>
          <w:tcPr>
            <w:tcW w:w="641" w:type="pct"/>
            <w:tcBorders>
              <w:top w:val="nil"/>
              <w:left w:val="single" w:sz="4" w:space="0" w:color="auto"/>
              <w:bottom w:val="single" w:sz="4" w:space="0" w:color="auto"/>
              <w:right w:val="single" w:sz="4" w:space="0" w:color="auto"/>
            </w:tcBorders>
            <w:tcMar>
              <w:right w:w="144" w:type="dxa"/>
            </w:tcMar>
          </w:tcPr>
          <w:p w14:paraId="4F390FF0" w14:textId="71ED1E3A" w:rsidR="0088089B" w:rsidRPr="0088089B" w:rsidRDefault="0088089B" w:rsidP="0088089B">
            <w:pPr>
              <w:jc w:val="right"/>
              <w:rPr>
                <w:rFonts w:eastAsiaTheme="minorHAnsi"/>
                <w:color w:val="000000"/>
                <w:sz w:val="20"/>
                <w:szCs w:val="20"/>
                <w:lang w:val="es-ES"/>
              </w:rPr>
            </w:pPr>
            <w:r w:rsidRPr="0088089B">
              <w:rPr>
                <w:color w:val="000000"/>
                <w:sz w:val="20"/>
                <w:lang w:val="es-ES"/>
              </w:rPr>
              <w:t>1 879,00</w:t>
            </w:r>
          </w:p>
        </w:tc>
        <w:tc>
          <w:tcPr>
            <w:tcW w:w="641" w:type="pct"/>
            <w:tcBorders>
              <w:top w:val="nil"/>
              <w:left w:val="single" w:sz="4" w:space="0" w:color="auto"/>
              <w:bottom w:val="single" w:sz="4" w:space="0" w:color="auto"/>
              <w:right w:val="single" w:sz="4" w:space="0" w:color="auto"/>
            </w:tcBorders>
            <w:tcMar>
              <w:right w:w="144" w:type="dxa"/>
            </w:tcMar>
          </w:tcPr>
          <w:p w14:paraId="5B253CC2" w14:textId="0DAB3487" w:rsidR="0088089B" w:rsidRPr="0088089B" w:rsidRDefault="0088089B" w:rsidP="0088089B">
            <w:pPr>
              <w:jc w:val="right"/>
              <w:rPr>
                <w:rFonts w:eastAsiaTheme="minorHAnsi"/>
                <w:color w:val="000000"/>
                <w:sz w:val="20"/>
                <w:szCs w:val="20"/>
                <w:lang w:val="es-ES"/>
              </w:rPr>
            </w:pPr>
            <w:r w:rsidRPr="0088089B">
              <w:rPr>
                <w:sz w:val="20"/>
                <w:lang w:val="es-ES"/>
              </w:rPr>
              <w:t>1 145,50</w:t>
            </w:r>
          </w:p>
        </w:tc>
        <w:tc>
          <w:tcPr>
            <w:tcW w:w="641" w:type="pct"/>
            <w:tcBorders>
              <w:top w:val="nil"/>
              <w:left w:val="single" w:sz="4" w:space="0" w:color="auto"/>
              <w:bottom w:val="single" w:sz="4" w:space="0" w:color="auto"/>
              <w:right w:val="single" w:sz="4" w:space="0" w:color="auto"/>
            </w:tcBorders>
          </w:tcPr>
          <w:p w14:paraId="3E98BEC3" w14:textId="77777777" w:rsidR="0088089B" w:rsidRPr="0088089B" w:rsidRDefault="0088089B" w:rsidP="0088089B">
            <w:pPr>
              <w:jc w:val="right"/>
              <w:rPr>
                <w:rFonts w:eastAsiaTheme="minorHAnsi"/>
                <w:color w:val="000000"/>
                <w:sz w:val="20"/>
                <w:szCs w:val="20"/>
                <w:lang w:val="es-ES"/>
              </w:rPr>
            </w:pPr>
            <w:r w:rsidRPr="0088089B">
              <w:rPr>
                <w:color w:val="000000"/>
                <w:sz w:val="20"/>
                <w:lang w:val="es-ES"/>
              </w:rPr>
              <w:t>687,29</w:t>
            </w:r>
          </w:p>
        </w:tc>
        <w:tc>
          <w:tcPr>
            <w:tcW w:w="641" w:type="pct"/>
            <w:tcBorders>
              <w:top w:val="nil"/>
              <w:left w:val="single" w:sz="4" w:space="0" w:color="auto"/>
              <w:bottom w:val="single" w:sz="4" w:space="0" w:color="auto"/>
              <w:right w:val="single" w:sz="4" w:space="0" w:color="auto"/>
            </w:tcBorders>
          </w:tcPr>
          <w:p w14:paraId="04DB01FB" w14:textId="77777777" w:rsidR="0088089B" w:rsidRPr="0088089B" w:rsidRDefault="0088089B" w:rsidP="0088089B">
            <w:pPr>
              <w:jc w:val="right"/>
              <w:rPr>
                <w:rFonts w:eastAsiaTheme="minorHAnsi"/>
                <w:color w:val="000000"/>
                <w:sz w:val="20"/>
                <w:szCs w:val="20"/>
                <w:lang w:val="es-ES"/>
              </w:rPr>
            </w:pPr>
            <w:r w:rsidRPr="0088089B">
              <w:rPr>
                <w:color w:val="000000"/>
                <w:sz w:val="20"/>
                <w:lang w:val="es-ES"/>
              </w:rPr>
              <w:t>147,66</w:t>
            </w:r>
          </w:p>
        </w:tc>
        <w:tc>
          <w:tcPr>
            <w:tcW w:w="641" w:type="pct"/>
            <w:tcBorders>
              <w:top w:val="nil"/>
              <w:left w:val="single" w:sz="4" w:space="0" w:color="auto"/>
              <w:bottom w:val="single" w:sz="4" w:space="0" w:color="auto"/>
              <w:right w:val="single" w:sz="4" w:space="0" w:color="auto"/>
            </w:tcBorders>
            <w:shd w:val="clear" w:color="auto" w:fill="auto"/>
            <w:noWrap/>
            <w:tcMar>
              <w:left w:w="0" w:type="dxa"/>
              <w:right w:w="144" w:type="dxa"/>
            </w:tcMar>
          </w:tcPr>
          <w:p w14:paraId="60E7A411" w14:textId="44DF39A3" w:rsidR="0088089B" w:rsidRPr="0088089B" w:rsidRDefault="0088089B" w:rsidP="0088089B">
            <w:pPr>
              <w:jc w:val="right"/>
              <w:rPr>
                <w:sz w:val="20"/>
                <w:szCs w:val="20"/>
                <w:lang w:val="es-ES"/>
              </w:rPr>
            </w:pPr>
            <w:r w:rsidRPr="0088089B">
              <w:rPr>
                <w:color w:val="000000"/>
                <w:sz w:val="20"/>
                <w:lang w:val="es-ES"/>
              </w:rPr>
              <w:t>1 496,36***</w:t>
            </w:r>
          </w:p>
        </w:tc>
      </w:tr>
      <w:tr w:rsidR="0088089B" w:rsidRPr="0088089B" w14:paraId="64BDA53B" w14:textId="77777777" w:rsidTr="001E2274">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31D3B990" w14:textId="77777777" w:rsidR="0088089B" w:rsidRPr="0088089B" w:rsidRDefault="0088089B" w:rsidP="0088089B">
            <w:pPr>
              <w:jc w:val="left"/>
              <w:rPr>
                <w:b/>
                <w:color w:val="000000"/>
                <w:sz w:val="20"/>
                <w:szCs w:val="20"/>
                <w:lang w:val="es-ES"/>
              </w:rPr>
            </w:pPr>
            <w:r w:rsidRPr="0088089B">
              <w:rPr>
                <w:b/>
                <w:color w:val="000000"/>
                <w:sz w:val="20"/>
                <w:lang w:val="es-ES"/>
              </w:rPr>
              <w:t>Toneladas PAO</w:t>
            </w:r>
          </w:p>
        </w:tc>
        <w:tc>
          <w:tcPr>
            <w:tcW w:w="641" w:type="pct"/>
            <w:tcBorders>
              <w:top w:val="nil"/>
              <w:left w:val="single" w:sz="4" w:space="0" w:color="auto"/>
              <w:bottom w:val="single" w:sz="4" w:space="0" w:color="auto"/>
              <w:right w:val="single" w:sz="4" w:space="0" w:color="auto"/>
            </w:tcBorders>
            <w:tcMar>
              <w:right w:w="144" w:type="dxa"/>
            </w:tcMar>
          </w:tcPr>
          <w:p w14:paraId="22828DF3" w14:textId="77777777" w:rsidR="0088089B" w:rsidRPr="0088089B" w:rsidRDefault="0088089B" w:rsidP="0088089B">
            <w:pPr>
              <w:jc w:val="right"/>
              <w:rPr>
                <w:b/>
                <w:sz w:val="20"/>
                <w:szCs w:val="20"/>
                <w:lang w:val="es-ES"/>
              </w:rPr>
            </w:pPr>
          </w:p>
        </w:tc>
        <w:tc>
          <w:tcPr>
            <w:tcW w:w="641" w:type="pct"/>
            <w:tcBorders>
              <w:top w:val="nil"/>
              <w:left w:val="single" w:sz="4" w:space="0" w:color="auto"/>
              <w:bottom w:val="single" w:sz="4" w:space="0" w:color="auto"/>
              <w:right w:val="single" w:sz="4" w:space="0" w:color="auto"/>
            </w:tcBorders>
            <w:tcMar>
              <w:right w:w="144" w:type="dxa"/>
            </w:tcMar>
          </w:tcPr>
          <w:p w14:paraId="058C6571" w14:textId="77777777" w:rsidR="0088089B" w:rsidRPr="0088089B" w:rsidRDefault="0088089B" w:rsidP="0088089B">
            <w:pPr>
              <w:jc w:val="right"/>
              <w:rPr>
                <w:b/>
                <w:sz w:val="20"/>
                <w:szCs w:val="20"/>
                <w:lang w:val="es-ES"/>
              </w:rPr>
            </w:pPr>
          </w:p>
        </w:tc>
        <w:tc>
          <w:tcPr>
            <w:tcW w:w="641" w:type="pct"/>
            <w:tcBorders>
              <w:top w:val="nil"/>
              <w:left w:val="single" w:sz="4" w:space="0" w:color="auto"/>
              <w:bottom w:val="single" w:sz="4" w:space="0" w:color="auto"/>
              <w:right w:val="single" w:sz="4" w:space="0" w:color="auto"/>
            </w:tcBorders>
            <w:tcMar>
              <w:right w:w="144" w:type="dxa"/>
            </w:tcMar>
          </w:tcPr>
          <w:p w14:paraId="761C626F" w14:textId="77777777" w:rsidR="0088089B" w:rsidRPr="0088089B" w:rsidRDefault="0088089B" w:rsidP="0088089B">
            <w:pPr>
              <w:jc w:val="right"/>
              <w:rPr>
                <w:b/>
                <w:sz w:val="20"/>
                <w:szCs w:val="20"/>
                <w:lang w:val="es-ES"/>
              </w:rPr>
            </w:pPr>
          </w:p>
        </w:tc>
        <w:tc>
          <w:tcPr>
            <w:tcW w:w="641" w:type="pct"/>
            <w:tcBorders>
              <w:top w:val="nil"/>
              <w:left w:val="single" w:sz="4" w:space="0" w:color="auto"/>
              <w:bottom w:val="single" w:sz="4" w:space="0" w:color="auto"/>
              <w:right w:val="single" w:sz="4" w:space="0" w:color="auto"/>
            </w:tcBorders>
          </w:tcPr>
          <w:p w14:paraId="39F939FB" w14:textId="77777777" w:rsidR="0088089B" w:rsidRPr="0088089B" w:rsidRDefault="0088089B" w:rsidP="0088089B">
            <w:pPr>
              <w:jc w:val="right"/>
              <w:rPr>
                <w:b/>
                <w:sz w:val="20"/>
                <w:szCs w:val="20"/>
                <w:lang w:val="es-ES"/>
              </w:rPr>
            </w:pPr>
          </w:p>
        </w:tc>
        <w:tc>
          <w:tcPr>
            <w:tcW w:w="641" w:type="pct"/>
            <w:tcBorders>
              <w:top w:val="nil"/>
              <w:left w:val="single" w:sz="4" w:space="0" w:color="auto"/>
              <w:bottom w:val="single" w:sz="4" w:space="0" w:color="auto"/>
              <w:right w:val="single" w:sz="4" w:space="0" w:color="auto"/>
            </w:tcBorders>
          </w:tcPr>
          <w:p w14:paraId="29321D30" w14:textId="77777777" w:rsidR="0088089B" w:rsidRPr="0088089B" w:rsidRDefault="0088089B" w:rsidP="0088089B">
            <w:pPr>
              <w:jc w:val="right"/>
              <w:rPr>
                <w:b/>
                <w:sz w:val="20"/>
                <w:szCs w:val="20"/>
                <w:lang w:val="es-ES"/>
              </w:rPr>
            </w:pPr>
          </w:p>
        </w:tc>
        <w:tc>
          <w:tcPr>
            <w:tcW w:w="641" w:type="pct"/>
            <w:tcBorders>
              <w:top w:val="nil"/>
              <w:left w:val="single" w:sz="4" w:space="0" w:color="auto"/>
              <w:bottom w:val="single" w:sz="4" w:space="0" w:color="auto"/>
              <w:right w:val="single" w:sz="4" w:space="0" w:color="auto"/>
            </w:tcBorders>
            <w:shd w:val="clear" w:color="auto" w:fill="auto"/>
            <w:noWrap/>
            <w:tcMar>
              <w:right w:w="144" w:type="dxa"/>
            </w:tcMar>
          </w:tcPr>
          <w:p w14:paraId="02968D76" w14:textId="77777777" w:rsidR="0088089B" w:rsidRPr="0088089B" w:rsidRDefault="0088089B" w:rsidP="0088089B">
            <w:pPr>
              <w:jc w:val="right"/>
              <w:rPr>
                <w:b/>
                <w:sz w:val="20"/>
                <w:szCs w:val="20"/>
                <w:lang w:val="es-ES"/>
              </w:rPr>
            </w:pPr>
          </w:p>
        </w:tc>
      </w:tr>
      <w:tr w:rsidR="0088089B" w:rsidRPr="0088089B" w14:paraId="17BCA381" w14:textId="77777777" w:rsidTr="001E2274">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A78BF92" w14:textId="74B02022" w:rsidR="0088089B" w:rsidRPr="0088089B" w:rsidRDefault="0088089B" w:rsidP="0088089B">
            <w:pPr>
              <w:keepNext/>
              <w:keepLines/>
              <w:jc w:val="left"/>
              <w:rPr>
                <w:color w:val="000000"/>
                <w:sz w:val="20"/>
                <w:szCs w:val="20"/>
                <w:lang w:val="es-ES"/>
              </w:rPr>
            </w:pPr>
            <w:r w:rsidRPr="0088089B">
              <w:rPr>
                <w:color w:val="000000"/>
                <w:sz w:val="20"/>
                <w:lang w:val="es-ES"/>
              </w:rPr>
              <w:t>HC</w:t>
            </w:r>
            <w:r>
              <w:rPr>
                <w:color w:val="000000"/>
                <w:sz w:val="20"/>
                <w:lang w:val="es-ES"/>
              </w:rPr>
              <w:t>FC</w:t>
            </w:r>
            <w:r>
              <w:rPr>
                <w:color w:val="000000"/>
                <w:sz w:val="20"/>
                <w:lang w:val="es-ES"/>
              </w:rPr>
              <w:noBreakHyphen/>
            </w:r>
            <w:r w:rsidRPr="0088089B">
              <w:rPr>
                <w:color w:val="000000"/>
                <w:sz w:val="20"/>
                <w:lang w:val="es-ES"/>
              </w:rPr>
              <w:t>22</w:t>
            </w:r>
          </w:p>
        </w:tc>
        <w:tc>
          <w:tcPr>
            <w:tcW w:w="641" w:type="pct"/>
            <w:tcBorders>
              <w:top w:val="nil"/>
              <w:left w:val="single" w:sz="4" w:space="0" w:color="auto"/>
              <w:bottom w:val="single" w:sz="4" w:space="0" w:color="auto"/>
              <w:right w:val="single" w:sz="4" w:space="0" w:color="auto"/>
            </w:tcBorders>
            <w:tcMar>
              <w:right w:w="144" w:type="dxa"/>
            </w:tcMar>
            <w:vAlign w:val="center"/>
          </w:tcPr>
          <w:p w14:paraId="655A2D89" w14:textId="77777777" w:rsidR="0088089B" w:rsidRPr="0088089B" w:rsidRDefault="0088089B" w:rsidP="0088089B">
            <w:pPr>
              <w:jc w:val="right"/>
              <w:rPr>
                <w:color w:val="000000"/>
                <w:sz w:val="20"/>
                <w:szCs w:val="20"/>
                <w:lang w:val="es-ES"/>
              </w:rPr>
            </w:pPr>
            <w:r w:rsidRPr="0088089B">
              <w:rPr>
                <w:color w:val="000000"/>
                <w:sz w:val="20"/>
                <w:lang w:val="es-ES"/>
              </w:rPr>
              <w:t>193,74</w:t>
            </w:r>
          </w:p>
        </w:tc>
        <w:tc>
          <w:tcPr>
            <w:tcW w:w="641" w:type="pct"/>
            <w:tcBorders>
              <w:top w:val="nil"/>
              <w:left w:val="single" w:sz="4" w:space="0" w:color="auto"/>
              <w:bottom w:val="single" w:sz="4" w:space="0" w:color="auto"/>
              <w:right w:val="single" w:sz="4" w:space="0" w:color="auto"/>
            </w:tcBorders>
            <w:tcMar>
              <w:right w:w="144" w:type="dxa"/>
            </w:tcMar>
            <w:vAlign w:val="center"/>
          </w:tcPr>
          <w:p w14:paraId="4F91D761" w14:textId="77777777" w:rsidR="0088089B" w:rsidRPr="0088089B" w:rsidRDefault="0088089B" w:rsidP="0088089B">
            <w:pPr>
              <w:jc w:val="right"/>
              <w:rPr>
                <w:color w:val="000000"/>
                <w:sz w:val="20"/>
                <w:szCs w:val="20"/>
                <w:lang w:val="es-ES"/>
              </w:rPr>
            </w:pPr>
            <w:r w:rsidRPr="0088089B">
              <w:rPr>
                <w:color w:val="000000"/>
                <w:sz w:val="20"/>
                <w:lang w:val="es-ES"/>
              </w:rPr>
              <w:t>196,27</w:t>
            </w:r>
          </w:p>
        </w:tc>
        <w:tc>
          <w:tcPr>
            <w:tcW w:w="641" w:type="pct"/>
            <w:tcBorders>
              <w:top w:val="nil"/>
              <w:left w:val="single" w:sz="4" w:space="0" w:color="auto"/>
              <w:bottom w:val="single" w:sz="4" w:space="0" w:color="auto"/>
              <w:right w:val="single" w:sz="4" w:space="0" w:color="auto"/>
            </w:tcBorders>
            <w:tcMar>
              <w:right w:w="144" w:type="dxa"/>
            </w:tcMar>
            <w:vAlign w:val="center"/>
          </w:tcPr>
          <w:p w14:paraId="290092AF" w14:textId="77777777" w:rsidR="0088089B" w:rsidRPr="0088089B" w:rsidRDefault="0088089B" w:rsidP="0088089B">
            <w:pPr>
              <w:jc w:val="right"/>
              <w:rPr>
                <w:color w:val="000000"/>
                <w:sz w:val="20"/>
                <w:szCs w:val="20"/>
                <w:lang w:val="es-ES"/>
              </w:rPr>
            </w:pPr>
            <w:r w:rsidRPr="0088089B">
              <w:rPr>
                <w:color w:val="000000"/>
                <w:sz w:val="20"/>
                <w:lang w:val="es-ES"/>
              </w:rPr>
              <w:t>193,39</w:t>
            </w:r>
          </w:p>
        </w:tc>
        <w:tc>
          <w:tcPr>
            <w:tcW w:w="641" w:type="pct"/>
            <w:tcBorders>
              <w:top w:val="nil"/>
              <w:left w:val="single" w:sz="4" w:space="0" w:color="auto"/>
              <w:bottom w:val="single" w:sz="4" w:space="0" w:color="auto"/>
              <w:right w:val="single" w:sz="4" w:space="0" w:color="auto"/>
            </w:tcBorders>
          </w:tcPr>
          <w:p w14:paraId="16081360" w14:textId="77777777" w:rsidR="0088089B" w:rsidRPr="0088089B" w:rsidRDefault="0088089B" w:rsidP="0088089B">
            <w:pPr>
              <w:keepNext/>
              <w:keepLines/>
              <w:jc w:val="right"/>
              <w:rPr>
                <w:sz w:val="20"/>
                <w:szCs w:val="20"/>
                <w:lang w:val="es-ES"/>
              </w:rPr>
            </w:pPr>
            <w:r w:rsidRPr="0088089B">
              <w:rPr>
                <w:sz w:val="20"/>
                <w:lang w:val="es-ES"/>
              </w:rPr>
              <w:t>195,72</w:t>
            </w:r>
          </w:p>
        </w:tc>
        <w:tc>
          <w:tcPr>
            <w:tcW w:w="641" w:type="pct"/>
            <w:tcBorders>
              <w:top w:val="nil"/>
              <w:left w:val="single" w:sz="4" w:space="0" w:color="auto"/>
              <w:bottom w:val="single" w:sz="4" w:space="0" w:color="auto"/>
              <w:right w:val="single" w:sz="4" w:space="0" w:color="auto"/>
            </w:tcBorders>
          </w:tcPr>
          <w:p w14:paraId="4EDC0E82" w14:textId="77777777" w:rsidR="0088089B" w:rsidRPr="0088089B" w:rsidRDefault="0088089B" w:rsidP="0088089B">
            <w:pPr>
              <w:keepNext/>
              <w:keepLines/>
              <w:jc w:val="right"/>
              <w:rPr>
                <w:sz w:val="20"/>
                <w:szCs w:val="20"/>
                <w:lang w:val="es-ES"/>
              </w:rPr>
            </w:pPr>
            <w:r w:rsidRPr="0088089B">
              <w:rPr>
                <w:sz w:val="20"/>
                <w:lang w:val="es-ES"/>
              </w:rPr>
              <w:t>142,18</w:t>
            </w:r>
          </w:p>
        </w:tc>
        <w:tc>
          <w:tcPr>
            <w:tcW w:w="641" w:type="pct"/>
            <w:tcBorders>
              <w:top w:val="nil"/>
              <w:left w:val="single" w:sz="4" w:space="0" w:color="auto"/>
              <w:bottom w:val="single" w:sz="4" w:space="0" w:color="auto"/>
              <w:right w:val="single" w:sz="4" w:space="0" w:color="auto"/>
            </w:tcBorders>
            <w:shd w:val="clear" w:color="auto" w:fill="auto"/>
            <w:noWrap/>
            <w:tcMar>
              <w:right w:w="144" w:type="dxa"/>
            </w:tcMar>
          </w:tcPr>
          <w:p w14:paraId="6B2579C0" w14:textId="77777777" w:rsidR="0088089B" w:rsidRPr="0088089B" w:rsidRDefault="0088089B" w:rsidP="0088089B">
            <w:pPr>
              <w:keepNext/>
              <w:keepLines/>
              <w:jc w:val="right"/>
              <w:rPr>
                <w:sz w:val="20"/>
                <w:szCs w:val="20"/>
                <w:lang w:val="es-ES"/>
              </w:rPr>
            </w:pPr>
            <w:r w:rsidRPr="0088089B">
              <w:rPr>
                <w:sz w:val="20"/>
                <w:lang w:val="es-ES"/>
              </w:rPr>
              <w:t>167,15</w:t>
            </w:r>
          </w:p>
        </w:tc>
      </w:tr>
      <w:tr w:rsidR="0088089B" w:rsidRPr="0088089B" w14:paraId="70DE5AD1" w14:textId="77777777" w:rsidTr="001E2274">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AD93CF1" w14:textId="270B474D" w:rsidR="0088089B" w:rsidRPr="0088089B" w:rsidRDefault="0088089B" w:rsidP="0088089B">
            <w:pPr>
              <w:jc w:val="left"/>
              <w:rPr>
                <w:color w:val="000000"/>
                <w:sz w:val="20"/>
                <w:szCs w:val="20"/>
                <w:lang w:val="es-ES"/>
              </w:rPr>
            </w:pPr>
            <w:r w:rsidRPr="0088089B">
              <w:rPr>
                <w:color w:val="000000"/>
                <w:sz w:val="20"/>
                <w:lang w:val="es-ES"/>
              </w:rPr>
              <w:t>HC</w:t>
            </w:r>
            <w:r>
              <w:rPr>
                <w:color w:val="000000"/>
                <w:sz w:val="20"/>
                <w:lang w:val="es-ES"/>
              </w:rPr>
              <w:t>FC</w:t>
            </w:r>
            <w:r>
              <w:rPr>
                <w:color w:val="000000"/>
                <w:sz w:val="20"/>
                <w:lang w:val="es-ES"/>
              </w:rPr>
              <w:noBreakHyphen/>
            </w:r>
            <w:r w:rsidRPr="0088089B">
              <w:rPr>
                <w:color w:val="000000"/>
                <w:sz w:val="20"/>
                <w:lang w:val="es-ES"/>
              </w:rPr>
              <w:t>123</w:t>
            </w:r>
          </w:p>
        </w:tc>
        <w:tc>
          <w:tcPr>
            <w:tcW w:w="641" w:type="pct"/>
            <w:tcBorders>
              <w:top w:val="nil"/>
              <w:left w:val="single" w:sz="4" w:space="0" w:color="auto"/>
              <w:bottom w:val="single" w:sz="4" w:space="0" w:color="auto"/>
              <w:right w:val="single" w:sz="4" w:space="0" w:color="auto"/>
            </w:tcBorders>
            <w:tcMar>
              <w:right w:w="144" w:type="dxa"/>
            </w:tcMar>
            <w:vAlign w:val="center"/>
          </w:tcPr>
          <w:p w14:paraId="3B03C26B" w14:textId="77777777" w:rsidR="0088089B" w:rsidRPr="0088089B" w:rsidRDefault="0088089B" w:rsidP="0088089B">
            <w:pPr>
              <w:jc w:val="right"/>
              <w:rPr>
                <w:color w:val="000000"/>
                <w:sz w:val="20"/>
                <w:szCs w:val="20"/>
                <w:lang w:val="es-ES"/>
              </w:rPr>
            </w:pPr>
            <w:r w:rsidRPr="0088089B">
              <w:rPr>
                <w:color w:val="000000"/>
                <w:sz w:val="20"/>
                <w:lang w:val="es-ES"/>
              </w:rPr>
              <w:t>0,89</w:t>
            </w:r>
          </w:p>
        </w:tc>
        <w:tc>
          <w:tcPr>
            <w:tcW w:w="641" w:type="pct"/>
            <w:tcBorders>
              <w:top w:val="nil"/>
              <w:left w:val="single" w:sz="4" w:space="0" w:color="auto"/>
              <w:bottom w:val="single" w:sz="4" w:space="0" w:color="auto"/>
              <w:right w:val="single" w:sz="4" w:space="0" w:color="auto"/>
            </w:tcBorders>
            <w:tcMar>
              <w:right w:w="144" w:type="dxa"/>
            </w:tcMar>
            <w:vAlign w:val="center"/>
          </w:tcPr>
          <w:p w14:paraId="1A4646AF" w14:textId="77777777" w:rsidR="0088089B" w:rsidRPr="0088089B" w:rsidRDefault="0088089B" w:rsidP="0088089B">
            <w:pPr>
              <w:jc w:val="right"/>
              <w:rPr>
                <w:color w:val="000000"/>
                <w:sz w:val="20"/>
                <w:szCs w:val="20"/>
                <w:lang w:val="es-ES"/>
              </w:rPr>
            </w:pPr>
            <w:r w:rsidRPr="0088089B">
              <w:rPr>
                <w:color w:val="000000"/>
                <w:sz w:val="20"/>
                <w:lang w:val="es-ES"/>
              </w:rPr>
              <w:t>0,34</w:t>
            </w:r>
          </w:p>
        </w:tc>
        <w:tc>
          <w:tcPr>
            <w:tcW w:w="641" w:type="pct"/>
            <w:tcBorders>
              <w:top w:val="nil"/>
              <w:left w:val="single" w:sz="4" w:space="0" w:color="auto"/>
              <w:bottom w:val="single" w:sz="4" w:space="0" w:color="auto"/>
              <w:right w:val="single" w:sz="4" w:space="0" w:color="auto"/>
            </w:tcBorders>
            <w:tcMar>
              <w:right w:w="144" w:type="dxa"/>
            </w:tcMar>
            <w:vAlign w:val="center"/>
          </w:tcPr>
          <w:p w14:paraId="151269D0" w14:textId="77777777" w:rsidR="0088089B" w:rsidRPr="0088089B" w:rsidRDefault="0088089B" w:rsidP="0088089B">
            <w:pPr>
              <w:jc w:val="right"/>
              <w:rPr>
                <w:color w:val="000000"/>
                <w:sz w:val="20"/>
                <w:szCs w:val="20"/>
                <w:lang w:val="es-ES"/>
              </w:rPr>
            </w:pPr>
            <w:r w:rsidRPr="0088089B">
              <w:rPr>
                <w:color w:val="000000"/>
                <w:sz w:val="20"/>
                <w:lang w:val="es-ES"/>
              </w:rPr>
              <w:t>0,33</w:t>
            </w:r>
          </w:p>
        </w:tc>
        <w:tc>
          <w:tcPr>
            <w:tcW w:w="641" w:type="pct"/>
            <w:tcBorders>
              <w:top w:val="nil"/>
              <w:left w:val="single" w:sz="4" w:space="0" w:color="auto"/>
              <w:bottom w:val="single" w:sz="4" w:space="0" w:color="auto"/>
              <w:right w:val="single" w:sz="4" w:space="0" w:color="auto"/>
            </w:tcBorders>
          </w:tcPr>
          <w:p w14:paraId="7E7219EA" w14:textId="77777777" w:rsidR="0088089B" w:rsidRPr="0088089B" w:rsidRDefault="0088089B" w:rsidP="0088089B">
            <w:pPr>
              <w:jc w:val="right"/>
              <w:rPr>
                <w:sz w:val="20"/>
                <w:szCs w:val="20"/>
                <w:lang w:val="es-ES"/>
              </w:rPr>
            </w:pPr>
            <w:r w:rsidRPr="0088089B">
              <w:rPr>
                <w:sz w:val="20"/>
                <w:lang w:val="es-ES"/>
              </w:rPr>
              <w:t>0,33</w:t>
            </w:r>
          </w:p>
        </w:tc>
        <w:tc>
          <w:tcPr>
            <w:tcW w:w="641" w:type="pct"/>
            <w:tcBorders>
              <w:top w:val="nil"/>
              <w:left w:val="single" w:sz="4" w:space="0" w:color="auto"/>
              <w:bottom w:val="single" w:sz="4" w:space="0" w:color="auto"/>
              <w:right w:val="single" w:sz="4" w:space="0" w:color="auto"/>
            </w:tcBorders>
          </w:tcPr>
          <w:p w14:paraId="7A591F8A" w14:textId="77777777" w:rsidR="0088089B" w:rsidRPr="0088089B" w:rsidRDefault="0088089B" w:rsidP="0088089B">
            <w:pPr>
              <w:jc w:val="right"/>
              <w:rPr>
                <w:sz w:val="20"/>
                <w:szCs w:val="20"/>
                <w:lang w:val="es-ES"/>
              </w:rPr>
            </w:pPr>
            <w:r w:rsidRPr="0088089B">
              <w:rPr>
                <w:sz w:val="20"/>
                <w:lang w:val="es-ES"/>
              </w:rPr>
              <w:t>0,00</w:t>
            </w:r>
          </w:p>
        </w:tc>
        <w:tc>
          <w:tcPr>
            <w:tcW w:w="641" w:type="pct"/>
            <w:tcBorders>
              <w:top w:val="nil"/>
              <w:left w:val="single" w:sz="4" w:space="0" w:color="auto"/>
              <w:bottom w:val="single" w:sz="4" w:space="0" w:color="auto"/>
              <w:right w:val="single" w:sz="4" w:space="0" w:color="auto"/>
            </w:tcBorders>
            <w:shd w:val="clear" w:color="auto" w:fill="auto"/>
            <w:noWrap/>
            <w:tcMar>
              <w:right w:w="144" w:type="dxa"/>
            </w:tcMar>
          </w:tcPr>
          <w:p w14:paraId="481BE2F3" w14:textId="77777777" w:rsidR="0088089B" w:rsidRPr="0088089B" w:rsidRDefault="0088089B" w:rsidP="0088089B">
            <w:pPr>
              <w:jc w:val="right"/>
              <w:rPr>
                <w:sz w:val="20"/>
                <w:szCs w:val="20"/>
                <w:lang w:val="es-ES"/>
              </w:rPr>
            </w:pPr>
            <w:r w:rsidRPr="0088089B">
              <w:rPr>
                <w:sz w:val="20"/>
                <w:lang w:val="es-ES"/>
              </w:rPr>
              <w:t>0,16</w:t>
            </w:r>
          </w:p>
        </w:tc>
      </w:tr>
      <w:tr w:rsidR="0088089B" w:rsidRPr="0088089B" w14:paraId="372EF53C" w14:textId="77777777" w:rsidTr="001E2274">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D4EFC43" w14:textId="045EE5FE" w:rsidR="0088089B" w:rsidRPr="0088089B" w:rsidRDefault="0088089B" w:rsidP="0088089B">
            <w:pPr>
              <w:jc w:val="left"/>
              <w:rPr>
                <w:color w:val="000000"/>
                <w:sz w:val="20"/>
                <w:szCs w:val="20"/>
                <w:lang w:val="es-ES"/>
              </w:rPr>
            </w:pPr>
            <w:r w:rsidRPr="0088089B">
              <w:rPr>
                <w:color w:val="000000"/>
                <w:sz w:val="20"/>
                <w:lang w:val="es-ES"/>
              </w:rPr>
              <w:t>HC</w:t>
            </w:r>
            <w:r>
              <w:rPr>
                <w:color w:val="000000"/>
                <w:sz w:val="20"/>
                <w:lang w:val="es-ES"/>
              </w:rPr>
              <w:t>FC</w:t>
            </w:r>
            <w:r>
              <w:rPr>
                <w:color w:val="000000"/>
                <w:sz w:val="20"/>
                <w:lang w:val="es-ES"/>
              </w:rPr>
              <w:noBreakHyphen/>
            </w:r>
            <w:r w:rsidRPr="0088089B">
              <w:rPr>
                <w:color w:val="000000"/>
                <w:sz w:val="20"/>
                <w:lang w:val="es-ES"/>
              </w:rPr>
              <w:t>141b</w:t>
            </w:r>
          </w:p>
        </w:tc>
        <w:tc>
          <w:tcPr>
            <w:tcW w:w="641" w:type="pct"/>
            <w:tcBorders>
              <w:top w:val="nil"/>
              <w:left w:val="single" w:sz="4" w:space="0" w:color="auto"/>
              <w:bottom w:val="single" w:sz="4" w:space="0" w:color="auto"/>
              <w:right w:val="single" w:sz="4" w:space="0" w:color="auto"/>
            </w:tcBorders>
            <w:tcMar>
              <w:right w:w="144" w:type="dxa"/>
            </w:tcMar>
            <w:vAlign w:val="center"/>
          </w:tcPr>
          <w:p w14:paraId="7A306563" w14:textId="77777777" w:rsidR="0088089B" w:rsidRPr="0088089B" w:rsidRDefault="0088089B" w:rsidP="0088089B">
            <w:pPr>
              <w:jc w:val="right"/>
              <w:rPr>
                <w:lang w:val="es-ES"/>
              </w:rPr>
            </w:pPr>
            <w:r w:rsidRPr="0088089B">
              <w:rPr>
                <w:sz w:val="20"/>
                <w:lang w:val="es-ES"/>
              </w:rPr>
              <w:t>0,00</w:t>
            </w:r>
          </w:p>
        </w:tc>
        <w:tc>
          <w:tcPr>
            <w:tcW w:w="641" w:type="pct"/>
            <w:tcBorders>
              <w:top w:val="nil"/>
              <w:left w:val="single" w:sz="4" w:space="0" w:color="auto"/>
              <w:bottom w:val="single" w:sz="4" w:space="0" w:color="auto"/>
              <w:right w:val="single" w:sz="4" w:space="0" w:color="auto"/>
            </w:tcBorders>
            <w:tcMar>
              <w:right w:w="144" w:type="dxa"/>
            </w:tcMar>
            <w:vAlign w:val="center"/>
          </w:tcPr>
          <w:p w14:paraId="2DAE7902" w14:textId="77777777" w:rsidR="0088089B" w:rsidRPr="0088089B" w:rsidRDefault="0088089B" w:rsidP="0088089B">
            <w:pPr>
              <w:jc w:val="right"/>
              <w:rPr>
                <w:lang w:val="es-ES"/>
              </w:rPr>
            </w:pPr>
            <w:r w:rsidRPr="0088089B">
              <w:rPr>
                <w:sz w:val="20"/>
                <w:lang w:val="es-ES"/>
              </w:rPr>
              <w:t>0,00</w:t>
            </w:r>
          </w:p>
        </w:tc>
        <w:tc>
          <w:tcPr>
            <w:tcW w:w="641" w:type="pct"/>
            <w:tcBorders>
              <w:top w:val="nil"/>
              <w:left w:val="single" w:sz="4" w:space="0" w:color="auto"/>
              <w:bottom w:val="single" w:sz="4" w:space="0" w:color="auto"/>
              <w:right w:val="single" w:sz="4" w:space="0" w:color="auto"/>
            </w:tcBorders>
            <w:tcMar>
              <w:right w:w="144" w:type="dxa"/>
            </w:tcMar>
            <w:vAlign w:val="center"/>
          </w:tcPr>
          <w:p w14:paraId="196506E3" w14:textId="77777777" w:rsidR="0088089B" w:rsidRPr="0088089B" w:rsidRDefault="0088089B" w:rsidP="0088089B">
            <w:pPr>
              <w:jc w:val="right"/>
              <w:rPr>
                <w:lang w:val="es-ES"/>
              </w:rPr>
            </w:pPr>
            <w:r w:rsidRPr="0088089B">
              <w:rPr>
                <w:sz w:val="20"/>
                <w:lang w:val="es-ES"/>
              </w:rPr>
              <w:t>0,00</w:t>
            </w:r>
          </w:p>
        </w:tc>
        <w:tc>
          <w:tcPr>
            <w:tcW w:w="641" w:type="pct"/>
            <w:tcBorders>
              <w:top w:val="nil"/>
              <w:left w:val="single" w:sz="4" w:space="0" w:color="auto"/>
              <w:bottom w:val="single" w:sz="4" w:space="0" w:color="auto"/>
              <w:right w:val="single" w:sz="4" w:space="0" w:color="auto"/>
            </w:tcBorders>
          </w:tcPr>
          <w:p w14:paraId="53C5FF0A" w14:textId="77777777" w:rsidR="0088089B" w:rsidRPr="0088089B" w:rsidRDefault="0088089B" w:rsidP="0088089B">
            <w:pPr>
              <w:jc w:val="right"/>
              <w:rPr>
                <w:sz w:val="20"/>
                <w:szCs w:val="20"/>
                <w:lang w:val="es-ES"/>
              </w:rPr>
            </w:pPr>
            <w:r w:rsidRPr="0088089B">
              <w:rPr>
                <w:sz w:val="20"/>
                <w:lang w:val="es-ES"/>
              </w:rPr>
              <w:t>0,00</w:t>
            </w:r>
          </w:p>
        </w:tc>
        <w:tc>
          <w:tcPr>
            <w:tcW w:w="641" w:type="pct"/>
            <w:tcBorders>
              <w:top w:val="nil"/>
              <w:left w:val="single" w:sz="4" w:space="0" w:color="auto"/>
              <w:bottom w:val="single" w:sz="4" w:space="0" w:color="auto"/>
              <w:right w:val="single" w:sz="4" w:space="0" w:color="auto"/>
            </w:tcBorders>
          </w:tcPr>
          <w:p w14:paraId="6DD614E5" w14:textId="77777777" w:rsidR="0088089B" w:rsidRPr="0088089B" w:rsidRDefault="0088089B" w:rsidP="0088089B">
            <w:pPr>
              <w:jc w:val="right"/>
              <w:rPr>
                <w:sz w:val="20"/>
                <w:szCs w:val="20"/>
                <w:lang w:val="es-ES"/>
              </w:rPr>
            </w:pPr>
            <w:r w:rsidRPr="0088089B">
              <w:rPr>
                <w:sz w:val="20"/>
                <w:lang w:val="es-ES"/>
              </w:rPr>
              <w:t>0,00</w:t>
            </w:r>
          </w:p>
        </w:tc>
        <w:tc>
          <w:tcPr>
            <w:tcW w:w="641" w:type="pct"/>
            <w:tcBorders>
              <w:top w:val="nil"/>
              <w:left w:val="single" w:sz="4" w:space="0" w:color="auto"/>
              <w:bottom w:val="single" w:sz="4" w:space="0" w:color="auto"/>
              <w:right w:val="single" w:sz="4" w:space="0" w:color="auto"/>
            </w:tcBorders>
            <w:shd w:val="clear" w:color="auto" w:fill="auto"/>
            <w:noWrap/>
            <w:tcMar>
              <w:right w:w="144" w:type="dxa"/>
            </w:tcMar>
          </w:tcPr>
          <w:p w14:paraId="48EC9578" w14:textId="77777777" w:rsidR="0088089B" w:rsidRPr="0088089B" w:rsidRDefault="0088089B" w:rsidP="0088089B">
            <w:pPr>
              <w:jc w:val="right"/>
              <w:rPr>
                <w:sz w:val="20"/>
                <w:szCs w:val="20"/>
                <w:lang w:val="es-ES"/>
              </w:rPr>
            </w:pPr>
            <w:r w:rsidRPr="0088089B">
              <w:rPr>
                <w:sz w:val="20"/>
                <w:lang w:val="es-ES"/>
              </w:rPr>
              <w:t>53,90</w:t>
            </w:r>
          </w:p>
        </w:tc>
      </w:tr>
      <w:tr w:rsidR="0088089B" w:rsidRPr="0088089B" w14:paraId="5A4A0B78" w14:textId="77777777" w:rsidTr="001E2274">
        <w:trPr>
          <w:trHeight w:val="20"/>
        </w:trPr>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F82D411" w14:textId="5BA11821" w:rsidR="0088089B" w:rsidRPr="0088089B" w:rsidRDefault="0088089B" w:rsidP="0088089B">
            <w:pPr>
              <w:jc w:val="left"/>
              <w:rPr>
                <w:color w:val="000000"/>
                <w:sz w:val="20"/>
                <w:szCs w:val="20"/>
                <w:lang w:val="es-ES"/>
              </w:rPr>
            </w:pPr>
            <w:r w:rsidRPr="0088089B">
              <w:rPr>
                <w:color w:val="000000"/>
                <w:sz w:val="20"/>
                <w:lang w:val="es-ES"/>
              </w:rPr>
              <w:t>HC</w:t>
            </w:r>
            <w:r>
              <w:rPr>
                <w:color w:val="000000"/>
                <w:sz w:val="20"/>
                <w:lang w:val="es-ES"/>
              </w:rPr>
              <w:t>FC</w:t>
            </w:r>
            <w:r>
              <w:rPr>
                <w:color w:val="000000"/>
                <w:sz w:val="20"/>
                <w:lang w:val="es-ES"/>
              </w:rPr>
              <w:noBreakHyphen/>
            </w:r>
            <w:r w:rsidRPr="0088089B">
              <w:rPr>
                <w:color w:val="000000"/>
                <w:sz w:val="20"/>
                <w:lang w:val="es-ES"/>
              </w:rPr>
              <w:t>225</w:t>
            </w:r>
          </w:p>
        </w:tc>
        <w:tc>
          <w:tcPr>
            <w:tcW w:w="641" w:type="pct"/>
            <w:tcBorders>
              <w:top w:val="nil"/>
              <w:left w:val="single" w:sz="4" w:space="0" w:color="auto"/>
              <w:bottom w:val="single" w:sz="4" w:space="0" w:color="auto"/>
              <w:right w:val="single" w:sz="4" w:space="0" w:color="auto"/>
            </w:tcBorders>
            <w:tcMar>
              <w:right w:w="144" w:type="dxa"/>
            </w:tcMar>
            <w:vAlign w:val="center"/>
          </w:tcPr>
          <w:p w14:paraId="790E5EC6" w14:textId="77777777" w:rsidR="0088089B" w:rsidRPr="0088089B" w:rsidRDefault="0088089B" w:rsidP="0088089B">
            <w:pPr>
              <w:jc w:val="right"/>
              <w:rPr>
                <w:color w:val="000000"/>
                <w:sz w:val="20"/>
                <w:szCs w:val="20"/>
                <w:lang w:val="es-ES"/>
              </w:rPr>
            </w:pPr>
            <w:r w:rsidRPr="0088089B">
              <w:rPr>
                <w:color w:val="000000"/>
                <w:sz w:val="20"/>
                <w:lang w:val="es-ES"/>
              </w:rPr>
              <w:t>1,12</w:t>
            </w:r>
          </w:p>
        </w:tc>
        <w:tc>
          <w:tcPr>
            <w:tcW w:w="641" w:type="pct"/>
            <w:tcBorders>
              <w:top w:val="nil"/>
              <w:left w:val="single" w:sz="4" w:space="0" w:color="auto"/>
              <w:bottom w:val="single" w:sz="4" w:space="0" w:color="auto"/>
              <w:right w:val="single" w:sz="4" w:space="0" w:color="auto"/>
            </w:tcBorders>
            <w:tcMar>
              <w:right w:w="144" w:type="dxa"/>
            </w:tcMar>
            <w:vAlign w:val="center"/>
          </w:tcPr>
          <w:p w14:paraId="3756C086" w14:textId="77777777" w:rsidR="0088089B" w:rsidRPr="0088089B" w:rsidRDefault="0088089B" w:rsidP="0088089B">
            <w:pPr>
              <w:jc w:val="right"/>
              <w:rPr>
                <w:color w:val="000000"/>
                <w:sz w:val="20"/>
                <w:szCs w:val="20"/>
                <w:lang w:val="es-ES"/>
              </w:rPr>
            </w:pPr>
            <w:r w:rsidRPr="0088089B">
              <w:rPr>
                <w:color w:val="000000"/>
                <w:sz w:val="20"/>
                <w:lang w:val="es-ES"/>
              </w:rPr>
              <w:t>0,97</w:t>
            </w:r>
          </w:p>
        </w:tc>
        <w:tc>
          <w:tcPr>
            <w:tcW w:w="641" w:type="pct"/>
            <w:tcBorders>
              <w:top w:val="nil"/>
              <w:left w:val="single" w:sz="4" w:space="0" w:color="auto"/>
              <w:bottom w:val="single" w:sz="4" w:space="0" w:color="auto"/>
              <w:right w:val="single" w:sz="4" w:space="0" w:color="auto"/>
            </w:tcBorders>
            <w:tcMar>
              <w:right w:w="144" w:type="dxa"/>
            </w:tcMar>
            <w:vAlign w:val="center"/>
          </w:tcPr>
          <w:p w14:paraId="1624B26B" w14:textId="77777777" w:rsidR="0088089B" w:rsidRPr="0088089B" w:rsidRDefault="0088089B" w:rsidP="0088089B">
            <w:pPr>
              <w:jc w:val="right"/>
              <w:rPr>
                <w:color w:val="000000"/>
                <w:sz w:val="20"/>
                <w:szCs w:val="20"/>
                <w:lang w:val="es-ES"/>
              </w:rPr>
            </w:pPr>
            <w:r w:rsidRPr="0088089B">
              <w:rPr>
                <w:color w:val="000000"/>
                <w:sz w:val="20"/>
                <w:lang w:val="es-ES"/>
              </w:rPr>
              <w:t>1,88</w:t>
            </w:r>
          </w:p>
        </w:tc>
        <w:tc>
          <w:tcPr>
            <w:tcW w:w="641" w:type="pct"/>
            <w:tcBorders>
              <w:top w:val="nil"/>
              <w:left w:val="single" w:sz="4" w:space="0" w:color="auto"/>
              <w:bottom w:val="single" w:sz="4" w:space="0" w:color="auto"/>
              <w:right w:val="single" w:sz="4" w:space="0" w:color="auto"/>
            </w:tcBorders>
          </w:tcPr>
          <w:p w14:paraId="18DD6F44" w14:textId="77777777" w:rsidR="0088089B" w:rsidRPr="0088089B" w:rsidRDefault="0088089B" w:rsidP="0088089B">
            <w:pPr>
              <w:jc w:val="right"/>
              <w:rPr>
                <w:sz w:val="20"/>
                <w:szCs w:val="20"/>
                <w:lang w:val="es-ES"/>
              </w:rPr>
            </w:pPr>
            <w:r w:rsidRPr="0088089B">
              <w:rPr>
                <w:sz w:val="20"/>
                <w:lang w:val="es-ES"/>
              </w:rPr>
              <w:t>1,50</w:t>
            </w:r>
          </w:p>
        </w:tc>
        <w:tc>
          <w:tcPr>
            <w:tcW w:w="641" w:type="pct"/>
            <w:tcBorders>
              <w:top w:val="nil"/>
              <w:left w:val="single" w:sz="4" w:space="0" w:color="auto"/>
              <w:bottom w:val="single" w:sz="4" w:space="0" w:color="auto"/>
              <w:right w:val="single" w:sz="4" w:space="0" w:color="auto"/>
            </w:tcBorders>
          </w:tcPr>
          <w:p w14:paraId="0202469E" w14:textId="77777777" w:rsidR="0088089B" w:rsidRPr="0088089B" w:rsidRDefault="0088089B" w:rsidP="0088089B">
            <w:pPr>
              <w:jc w:val="right"/>
              <w:rPr>
                <w:sz w:val="20"/>
                <w:szCs w:val="20"/>
                <w:lang w:val="es-ES"/>
              </w:rPr>
            </w:pPr>
            <w:r w:rsidRPr="0088089B">
              <w:rPr>
                <w:sz w:val="20"/>
                <w:lang w:val="es-ES"/>
              </w:rPr>
              <w:t>0,00</w:t>
            </w:r>
          </w:p>
        </w:tc>
        <w:tc>
          <w:tcPr>
            <w:tcW w:w="641" w:type="pct"/>
            <w:tcBorders>
              <w:top w:val="nil"/>
              <w:left w:val="single" w:sz="4" w:space="0" w:color="auto"/>
              <w:bottom w:val="single" w:sz="4" w:space="0" w:color="auto"/>
              <w:right w:val="single" w:sz="4" w:space="0" w:color="auto"/>
            </w:tcBorders>
            <w:shd w:val="clear" w:color="auto" w:fill="auto"/>
            <w:noWrap/>
            <w:tcMar>
              <w:right w:w="144" w:type="dxa"/>
            </w:tcMar>
          </w:tcPr>
          <w:p w14:paraId="2C5BD6BE" w14:textId="77777777" w:rsidR="0088089B" w:rsidRPr="0088089B" w:rsidRDefault="0088089B" w:rsidP="0088089B">
            <w:pPr>
              <w:jc w:val="right"/>
              <w:rPr>
                <w:sz w:val="20"/>
                <w:szCs w:val="20"/>
                <w:lang w:val="es-ES"/>
              </w:rPr>
            </w:pPr>
            <w:r w:rsidRPr="0088089B">
              <w:rPr>
                <w:sz w:val="20"/>
                <w:lang w:val="es-ES"/>
              </w:rPr>
              <w:t>0,00</w:t>
            </w:r>
          </w:p>
        </w:tc>
      </w:tr>
      <w:tr w:rsidR="0088089B" w:rsidRPr="0088089B" w14:paraId="6CA10AB7" w14:textId="77777777" w:rsidTr="001E2274">
        <w:tc>
          <w:tcPr>
            <w:tcW w:w="115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65A6E045" w14:textId="77777777" w:rsidR="0088089B" w:rsidRPr="0088089B" w:rsidRDefault="0088089B" w:rsidP="0088089B">
            <w:pPr>
              <w:jc w:val="left"/>
              <w:rPr>
                <w:rFonts w:eastAsiaTheme="minorHAnsi"/>
                <w:b/>
                <w:sz w:val="20"/>
                <w:szCs w:val="20"/>
                <w:lang w:val="es-ES"/>
              </w:rPr>
            </w:pPr>
            <w:r w:rsidRPr="0088089B">
              <w:rPr>
                <w:b/>
                <w:sz w:val="20"/>
                <w:lang w:val="es-ES"/>
              </w:rPr>
              <w:t>Total (toneladas PAO)</w:t>
            </w:r>
          </w:p>
        </w:tc>
        <w:tc>
          <w:tcPr>
            <w:tcW w:w="641" w:type="pct"/>
            <w:tcBorders>
              <w:top w:val="single" w:sz="4" w:space="0" w:color="auto"/>
              <w:left w:val="single" w:sz="4" w:space="0" w:color="auto"/>
              <w:bottom w:val="single" w:sz="4" w:space="0" w:color="auto"/>
              <w:right w:val="single" w:sz="4" w:space="0" w:color="auto"/>
            </w:tcBorders>
            <w:tcMar>
              <w:right w:w="144" w:type="dxa"/>
            </w:tcMar>
            <w:vAlign w:val="center"/>
          </w:tcPr>
          <w:p w14:paraId="4DF6A390" w14:textId="77777777" w:rsidR="0088089B" w:rsidRPr="0088089B" w:rsidRDefault="0088089B" w:rsidP="0088089B">
            <w:pPr>
              <w:jc w:val="right"/>
              <w:rPr>
                <w:b/>
                <w:bCs/>
                <w:color w:val="000000"/>
                <w:sz w:val="20"/>
                <w:szCs w:val="20"/>
                <w:lang w:val="es-ES"/>
              </w:rPr>
            </w:pPr>
            <w:r w:rsidRPr="0088089B">
              <w:rPr>
                <w:b/>
                <w:color w:val="000000"/>
                <w:sz w:val="20"/>
                <w:lang w:val="es-ES"/>
              </w:rPr>
              <w:t>195,75</w:t>
            </w:r>
          </w:p>
        </w:tc>
        <w:tc>
          <w:tcPr>
            <w:tcW w:w="641" w:type="pct"/>
            <w:tcBorders>
              <w:top w:val="single" w:sz="4" w:space="0" w:color="auto"/>
              <w:left w:val="single" w:sz="4" w:space="0" w:color="auto"/>
              <w:bottom w:val="single" w:sz="4" w:space="0" w:color="auto"/>
              <w:right w:val="single" w:sz="4" w:space="0" w:color="auto"/>
            </w:tcBorders>
            <w:tcMar>
              <w:right w:w="144" w:type="dxa"/>
            </w:tcMar>
            <w:vAlign w:val="center"/>
          </w:tcPr>
          <w:p w14:paraId="09EDA5C1" w14:textId="77777777" w:rsidR="0088089B" w:rsidRPr="0088089B" w:rsidRDefault="0088089B" w:rsidP="0088089B">
            <w:pPr>
              <w:jc w:val="right"/>
              <w:rPr>
                <w:b/>
                <w:bCs/>
                <w:color w:val="000000"/>
                <w:sz w:val="20"/>
                <w:szCs w:val="20"/>
                <w:lang w:val="es-ES"/>
              </w:rPr>
            </w:pPr>
            <w:r w:rsidRPr="0088089B">
              <w:rPr>
                <w:b/>
                <w:color w:val="000000"/>
                <w:sz w:val="20"/>
                <w:lang w:val="es-ES"/>
              </w:rPr>
              <w:t>197,58</w:t>
            </w:r>
          </w:p>
        </w:tc>
        <w:tc>
          <w:tcPr>
            <w:tcW w:w="641" w:type="pct"/>
            <w:tcBorders>
              <w:top w:val="single" w:sz="4" w:space="0" w:color="auto"/>
              <w:left w:val="single" w:sz="4" w:space="0" w:color="auto"/>
              <w:bottom w:val="single" w:sz="4" w:space="0" w:color="auto"/>
              <w:right w:val="single" w:sz="4" w:space="0" w:color="auto"/>
            </w:tcBorders>
            <w:tcMar>
              <w:right w:w="144" w:type="dxa"/>
            </w:tcMar>
            <w:vAlign w:val="center"/>
          </w:tcPr>
          <w:p w14:paraId="7CFC99CD" w14:textId="77777777" w:rsidR="0088089B" w:rsidRPr="0088089B" w:rsidRDefault="0088089B" w:rsidP="0088089B">
            <w:pPr>
              <w:jc w:val="right"/>
              <w:rPr>
                <w:b/>
                <w:bCs/>
                <w:color w:val="000000"/>
                <w:sz w:val="20"/>
                <w:szCs w:val="20"/>
                <w:lang w:val="es-ES"/>
              </w:rPr>
            </w:pPr>
            <w:r w:rsidRPr="0088089B">
              <w:rPr>
                <w:b/>
                <w:color w:val="000000"/>
                <w:sz w:val="20"/>
                <w:lang w:val="es-ES"/>
              </w:rPr>
              <w:t>195,60</w:t>
            </w:r>
          </w:p>
        </w:tc>
        <w:tc>
          <w:tcPr>
            <w:tcW w:w="641" w:type="pct"/>
            <w:tcBorders>
              <w:top w:val="single" w:sz="4" w:space="0" w:color="auto"/>
              <w:left w:val="single" w:sz="4" w:space="0" w:color="auto"/>
              <w:bottom w:val="single" w:sz="4" w:space="0" w:color="auto"/>
              <w:right w:val="single" w:sz="4" w:space="0" w:color="auto"/>
            </w:tcBorders>
          </w:tcPr>
          <w:p w14:paraId="01A552A0" w14:textId="77777777" w:rsidR="0088089B" w:rsidRPr="0088089B" w:rsidRDefault="0088089B" w:rsidP="0088089B">
            <w:pPr>
              <w:jc w:val="right"/>
              <w:rPr>
                <w:b/>
                <w:sz w:val="20"/>
                <w:szCs w:val="20"/>
                <w:lang w:val="es-ES"/>
              </w:rPr>
            </w:pPr>
            <w:r w:rsidRPr="0088089B">
              <w:rPr>
                <w:b/>
                <w:sz w:val="20"/>
                <w:lang w:val="es-ES"/>
              </w:rPr>
              <w:t>197,55</w:t>
            </w:r>
          </w:p>
        </w:tc>
        <w:tc>
          <w:tcPr>
            <w:tcW w:w="641" w:type="pct"/>
            <w:tcBorders>
              <w:top w:val="single" w:sz="4" w:space="0" w:color="auto"/>
              <w:left w:val="single" w:sz="4" w:space="0" w:color="auto"/>
              <w:bottom w:val="single" w:sz="4" w:space="0" w:color="auto"/>
              <w:right w:val="single" w:sz="4" w:space="0" w:color="auto"/>
            </w:tcBorders>
          </w:tcPr>
          <w:p w14:paraId="3E5F6F0F" w14:textId="77777777" w:rsidR="0088089B" w:rsidRPr="0088089B" w:rsidRDefault="0088089B" w:rsidP="0088089B">
            <w:pPr>
              <w:jc w:val="right"/>
              <w:rPr>
                <w:b/>
                <w:sz w:val="20"/>
                <w:szCs w:val="20"/>
                <w:lang w:val="es-ES"/>
              </w:rPr>
            </w:pPr>
            <w:r w:rsidRPr="0088089B">
              <w:rPr>
                <w:b/>
                <w:sz w:val="20"/>
                <w:lang w:val="es-ES"/>
              </w:rPr>
              <w:t>142,18</w:t>
            </w:r>
          </w:p>
        </w:tc>
        <w:tc>
          <w:tcPr>
            <w:tcW w:w="641" w:type="pct"/>
            <w:tcBorders>
              <w:top w:val="single" w:sz="4" w:space="0" w:color="auto"/>
              <w:left w:val="single" w:sz="4" w:space="0" w:color="auto"/>
              <w:bottom w:val="single" w:sz="4" w:space="0" w:color="auto"/>
              <w:right w:val="single" w:sz="4" w:space="0" w:color="auto"/>
            </w:tcBorders>
            <w:shd w:val="clear" w:color="auto" w:fill="auto"/>
            <w:noWrap/>
            <w:tcMar>
              <w:right w:w="144" w:type="dxa"/>
            </w:tcMar>
          </w:tcPr>
          <w:p w14:paraId="6E346F5C" w14:textId="77777777" w:rsidR="0088089B" w:rsidRPr="0088089B" w:rsidRDefault="0088089B" w:rsidP="0088089B">
            <w:pPr>
              <w:jc w:val="right"/>
              <w:rPr>
                <w:b/>
                <w:sz w:val="20"/>
                <w:szCs w:val="20"/>
                <w:lang w:val="es-ES"/>
              </w:rPr>
            </w:pPr>
            <w:r w:rsidRPr="0088089B">
              <w:rPr>
                <w:b/>
                <w:sz w:val="20"/>
                <w:lang w:val="es-ES"/>
              </w:rPr>
              <w:t>221,21</w:t>
            </w:r>
          </w:p>
        </w:tc>
      </w:tr>
      <w:tr w:rsidR="0088089B" w:rsidRPr="0088089B" w14:paraId="07E53E6F" w14:textId="77777777" w:rsidTr="001E2274">
        <w:tc>
          <w:tcPr>
            <w:tcW w:w="115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7924F6B4" w14:textId="61C77656" w:rsidR="0088089B" w:rsidRPr="0088089B" w:rsidRDefault="0088089B" w:rsidP="0088089B">
            <w:pPr>
              <w:jc w:val="left"/>
              <w:rPr>
                <w:color w:val="000000"/>
                <w:sz w:val="20"/>
                <w:szCs w:val="20"/>
                <w:lang w:val="es-ES"/>
              </w:rPr>
            </w:pPr>
            <w:r w:rsidRPr="0088089B">
              <w:rPr>
                <w:color w:val="000000"/>
                <w:sz w:val="20"/>
                <w:lang w:val="es-ES"/>
              </w:rPr>
              <w:t>HC</w:t>
            </w:r>
            <w:r>
              <w:rPr>
                <w:color w:val="000000"/>
                <w:sz w:val="20"/>
                <w:lang w:val="es-ES"/>
              </w:rPr>
              <w:t>FC</w:t>
            </w:r>
            <w:r>
              <w:rPr>
                <w:color w:val="000000"/>
                <w:sz w:val="20"/>
                <w:lang w:val="es-ES"/>
              </w:rPr>
              <w:noBreakHyphen/>
            </w:r>
            <w:r w:rsidRPr="0088089B">
              <w:rPr>
                <w:color w:val="000000"/>
                <w:sz w:val="20"/>
                <w:lang w:val="es-ES"/>
              </w:rPr>
              <w:t>141b contenido en polioles premezclados importados**</w:t>
            </w:r>
          </w:p>
        </w:tc>
        <w:tc>
          <w:tcPr>
            <w:tcW w:w="641" w:type="pct"/>
            <w:tcBorders>
              <w:top w:val="single" w:sz="4" w:space="0" w:color="auto"/>
              <w:left w:val="single" w:sz="4" w:space="0" w:color="auto"/>
              <w:bottom w:val="single" w:sz="4" w:space="0" w:color="auto"/>
              <w:right w:val="single" w:sz="4" w:space="0" w:color="auto"/>
            </w:tcBorders>
            <w:tcMar>
              <w:right w:w="144" w:type="dxa"/>
            </w:tcMar>
          </w:tcPr>
          <w:p w14:paraId="1A194AB5" w14:textId="77777777" w:rsidR="0088089B" w:rsidRPr="0088089B" w:rsidRDefault="0088089B" w:rsidP="0088089B">
            <w:pPr>
              <w:jc w:val="right"/>
              <w:rPr>
                <w:sz w:val="20"/>
                <w:szCs w:val="20"/>
                <w:lang w:val="es-ES"/>
              </w:rPr>
            </w:pPr>
            <w:r w:rsidRPr="0088089B">
              <w:rPr>
                <w:sz w:val="20"/>
                <w:lang w:val="es-ES"/>
              </w:rPr>
              <w:t>356,13</w:t>
            </w:r>
          </w:p>
        </w:tc>
        <w:tc>
          <w:tcPr>
            <w:tcW w:w="641" w:type="pct"/>
            <w:tcBorders>
              <w:top w:val="single" w:sz="4" w:space="0" w:color="auto"/>
              <w:left w:val="single" w:sz="4" w:space="0" w:color="auto"/>
              <w:bottom w:val="single" w:sz="4" w:space="0" w:color="auto"/>
              <w:right w:val="single" w:sz="4" w:space="0" w:color="auto"/>
            </w:tcBorders>
            <w:tcMar>
              <w:right w:w="144" w:type="dxa"/>
            </w:tcMar>
          </w:tcPr>
          <w:p w14:paraId="5753CA35" w14:textId="77777777" w:rsidR="0088089B" w:rsidRPr="0088089B" w:rsidRDefault="0088089B" w:rsidP="0088089B">
            <w:pPr>
              <w:jc w:val="right"/>
              <w:rPr>
                <w:rFonts w:eastAsiaTheme="minorHAnsi"/>
                <w:color w:val="000000"/>
                <w:sz w:val="20"/>
                <w:szCs w:val="20"/>
                <w:lang w:val="es-ES"/>
              </w:rPr>
            </w:pPr>
            <w:r w:rsidRPr="0088089B">
              <w:rPr>
                <w:color w:val="000000"/>
                <w:sz w:val="20"/>
                <w:lang w:val="es-ES"/>
              </w:rPr>
              <w:t>206,69</w:t>
            </w:r>
          </w:p>
        </w:tc>
        <w:tc>
          <w:tcPr>
            <w:tcW w:w="641" w:type="pct"/>
            <w:tcBorders>
              <w:top w:val="single" w:sz="4" w:space="0" w:color="auto"/>
              <w:left w:val="single" w:sz="4" w:space="0" w:color="auto"/>
              <w:bottom w:val="single" w:sz="4" w:space="0" w:color="auto"/>
              <w:right w:val="single" w:sz="4" w:space="0" w:color="auto"/>
            </w:tcBorders>
            <w:tcMar>
              <w:right w:w="144" w:type="dxa"/>
            </w:tcMar>
          </w:tcPr>
          <w:p w14:paraId="448145E5" w14:textId="77777777" w:rsidR="0088089B" w:rsidRPr="0088089B" w:rsidRDefault="0088089B" w:rsidP="0088089B">
            <w:pPr>
              <w:jc w:val="right"/>
              <w:rPr>
                <w:sz w:val="20"/>
                <w:szCs w:val="20"/>
                <w:lang w:val="es-ES"/>
              </w:rPr>
            </w:pPr>
            <w:r w:rsidRPr="0088089B">
              <w:rPr>
                <w:sz w:val="20"/>
                <w:lang w:val="es-ES"/>
              </w:rPr>
              <w:t>126,00</w:t>
            </w:r>
          </w:p>
        </w:tc>
        <w:tc>
          <w:tcPr>
            <w:tcW w:w="641" w:type="pct"/>
            <w:tcBorders>
              <w:top w:val="single" w:sz="4" w:space="0" w:color="auto"/>
              <w:left w:val="single" w:sz="4" w:space="0" w:color="auto"/>
              <w:bottom w:val="single" w:sz="4" w:space="0" w:color="auto"/>
              <w:right w:val="single" w:sz="4" w:space="0" w:color="auto"/>
            </w:tcBorders>
          </w:tcPr>
          <w:p w14:paraId="2E633896" w14:textId="77777777" w:rsidR="0088089B" w:rsidRPr="0088089B" w:rsidRDefault="0088089B" w:rsidP="0088089B">
            <w:pPr>
              <w:jc w:val="right"/>
              <w:rPr>
                <w:sz w:val="20"/>
                <w:szCs w:val="20"/>
                <w:lang w:val="es-ES"/>
              </w:rPr>
            </w:pPr>
            <w:r w:rsidRPr="0088089B">
              <w:rPr>
                <w:sz w:val="20"/>
                <w:lang w:val="es-ES"/>
              </w:rPr>
              <w:t>75,60</w:t>
            </w:r>
          </w:p>
        </w:tc>
        <w:tc>
          <w:tcPr>
            <w:tcW w:w="641" w:type="pct"/>
            <w:tcBorders>
              <w:top w:val="single" w:sz="4" w:space="0" w:color="auto"/>
              <w:left w:val="single" w:sz="4" w:space="0" w:color="auto"/>
              <w:bottom w:val="single" w:sz="4" w:space="0" w:color="auto"/>
              <w:right w:val="single" w:sz="4" w:space="0" w:color="auto"/>
            </w:tcBorders>
          </w:tcPr>
          <w:p w14:paraId="2F7E9687" w14:textId="77777777" w:rsidR="0088089B" w:rsidRPr="0088089B" w:rsidRDefault="0088089B" w:rsidP="0088089B">
            <w:pPr>
              <w:jc w:val="right"/>
              <w:rPr>
                <w:sz w:val="20"/>
                <w:szCs w:val="20"/>
                <w:lang w:val="es-ES"/>
              </w:rPr>
            </w:pPr>
            <w:r w:rsidRPr="0088089B">
              <w:rPr>
                <w:sz w:val="20"/>
                <w:lang w:val="es-ES"/>
              </w:rPr>
              <w:t>16,24</w:t>
            </w:r>
          </w:p>
        </w:tc>
        <w:tc>
          <w:tcPr>
            <w:tcW w:w="641" w:type="pct"/>
            <w:tcBorders>
              <w:top w:val="single" w:sz="4" w:space="0" w:color="auto"/>
              <w:left w:val="single" w:sz="4" w:space="0" w:color="auto"/>
              <w:bottom w:val="single" w:sz="4" w:space="0" w:color="auto"/>
              <w:right w:val="single" w:sz="4" w:space="0" w:color="auto"/>
            </w:tcBorders>
            <w:shd w:val="clear" w:color="auto" w:fill="auto"/>
            <w:noWrap/>
            <w:tcMar>
              <w:right w:w="144" w:type="dxa"/>
            </w:tcMar>
          </w:tcPr>
          <w:p w14:paraId="26619030" w14:textId="77777777" w:rsidR="0088089B" w:rsidRPr="0088089B" w:rsidRDefault="0088089B" w:rsidP="0088089B">
            <w:pPr>
              <w:jc w:val="right"/>
              <w:rPr>
                <w:rFonts w:eastAsiaTheme="minorHAnsi"/>
                <w:color w:val="000000"/>
                <w:sz w:val="20"/>
                <w:szCs w:val="20"/>
                <w:lang w:val="es-ES"/>
              </w:rPr>
            </w:pPr>
            <w:r w:rsidRPr="0088089B">
              <w:rPr>
                <w:sz w:val="20"/>
                <w:lang w:val="es-ES"/>
              </w:rPr>
              <w:t>164,56***</w:t>
            </w:r>
          </w:p>
        </w:tc>
      </w:tr>
    </w:tbl>
    <w:p w14:paraId="0098D642" w14:textId="77777777" w:rsidR="0088089B" w:rsidRPr="0088089B" w:rsidRDefault="0088089B" w:rsidP="0088089B">
      <w:pPr>
        <w:rPr>
          <w:sz w:val="19"/>
          <w:szCs w:val="19"/>
          <w:lang w:val="es-ES"/>
        </w:rPr>
      </w:pPr>
      <w:r w:rsidRPr="0088089B">
        <w:rPr>
          <w:sz w:val="19"/>
          <w:lang w:val="es-ES"/>
        </w:rPr>
        <w:t>* Datos del informe de verificación del consumo de HCFC.</w:t>
      </w:r>
    </w:p>
    <w:p w14:paraId="026062B8" w14:textId="77777777" w:rsidR="0088089B" w:rsidRPr="0088089B" w:rsidRDefault="0088089B" w:rsidP="0088089B">
      <w:pPr>
        <w:rPr>
          <w:sz w:val="19"/>
          <w:szCs w:val="19"/>
          <w:lang w:val="es-ES"/>
        </w:rPr>
      </w:pPr>
      <w:r w:rsidRPr="0088089B">
        <w:rPr>
          <w:sz w:val="19"/>
          <w:lang w:val="es-ES"/>
        </w:rPr>
        <w:t>** Datos del PP.</w:t>
      </w:r>
    </w:p>
    <w:p w14:paraId="46B7DDEC" w14:textId="77777777" w:rsidR="0088089B" w:rsidRPr="0088089B" w:rsidRDefault="0088089B" w:rsidP="0088089B">
      <w:pPr>
        <w:rPr>
          <w:sz w:val="19"/>
          <w:szCs w:val="19"/>
          <w:lang w:val="es-ES"/>
        </w:rPr>
      </w:pPr>
      <w:r w:rsidRPr="0088089B">
        <w:rPr>
          <w:sz w:val="19"/>
          <w:lang w:val="es-ES"/>
        </w:rPr>
        <w:t>*** Consumo medio entre 2007 y 2009.</w:t>
      </w:r>
    </w:p>
    <w:p w14:paraId="16C98B1A" w14:textId="77777777" w:rsidR="0088089B" w:rsidRPr="0088089B" w:rsidRDefault="0088089B" w:rsidP="0088089B">
      <w:pPr>
        <w:rPr>
          <w:lang w:val="es-ES"/>
        </w:rPr>
      </w:pPr>
    </w:p>
    <w:p w14:paraId="4CEA1FF0" w14:textId="454E86BE" w:rsidR="0088089B" w:rsidRPr="0088089B" w:rsidRDefault="0088089B" w:rsidP="0088089B">
      <w:pPr>
        <w:pStyle w:val="Heading1"/>
        <w:rPr>
          <w:lang w:val="es-ES"/>
        </w:rPr>
      </w:pPr>
      <w:r w:rsidRPr="0088089B">
        <w:rPr>
          <w:lang w:val="es-ES"/>
        </w:rPr>
        <w:t>El consumo de HCFC de Viet Nam consiste predominantemente en HC</w:t>
      </w:r>
      <w:r>
        <w:rPr>
          <w:lang w:val="es-ES"/>
        </w:rPr>
        <w:t>FC</w:t>
      </w:r>
      <w:r>
        <w:rPr>
          <w:lang w:val="es-ES"/>
        </w:rPr>
        <w:noBreakHyphen/>
      </w:r>
      <w:r w:rsidRPr="0088089B">
        <w:rPr>
          <w:lang w:val="es-ES"/>
        </w:rPr>
        <w:t>22, siendo la fabricación de equipos de refrigeración y aire acondicionado el sector que representa aproximadamente el 20% de ese consumo, mientras que el resto corresponde a servicio y mantenimiento; se consumen pequeñas cantidades de HC</w:t>
      </w:r>
      <w:r>
        <w:rPr>
          <w:lang w:val="es-ES"/>
        </w:rPr>
        <w:t>FC</w:t>
      </w:r>
      <w:r>
        <w:rPr>
          <w:lang w:val="es-ES"/>
        </w:rPr>
        <w:noBreakHyphen/>
      </w:r>
      <w:r w:rsidRPr="0088089B">
        <w:rPr>
          <w:lang w:val="es-ES"/>
        </w:rPr>
        <w:t>123 de forma intermitente para el servicio y mantenimiento de enfriadores y HC</w:t>
      </w:r>
      <w:r>
        <w:rPr>
          <w:lang w:val="es-ES"/>
        </w:rPr>
        <w:t>FC</w:t>
      </w:r>
      <w:r>
        <w:rPr>
          <w:lang w:val="es-ES"/>
        </w:rPr>
        <w:noBreakHyphen/>
      </w:r>
      <w:r w:rsidRPr="0088089B">
        <w:rPr>
          <w:lang w:val="es-ES"/>
        </w:rPr>
        <w:t>225 para usos en disolventes. No se ha consumido HC</w:t>
      </w:r>
      <w:r>
        <w:rPr>
          <w:lang w:val="es-ES"/>
        </w:rPr>
        <w:t>FC</w:t>
      </w:r>
      <w:r>
        <w:rPr>
          <w:lang w:val="es-ES"/>
        </w:rPr>
        <w:noBreakHyphen/>
      </w:r>
      <w:r w:rsidRPr="0088089B">
        <w:rPr>
          <w:lang w:val="es-ES"/>
        </w:rPr>
        <w:t>141b desde 2015, en consonancia con la prohibición de la importación y exportación de HC</w:t>
      </w:r>
      <w:r>
        <w:rPr>
          <w:lang w:val="es-ES"/>
        </w:rPr>
        <w:t>FC</w:t>
      </w:r>
      <w:r>
        <w:rPr>
          <w:lang w:val="es-ES"/>
        </w:rPr>
        <w:noBreakHyphen/>
      </w:r>
      <w:r w:rsidRPr="0088089B">
        <w:rPr>
          <w:lang w:val="es-ES"/>
        </w:rPr>
        <w:t>141b vigente desde 1 de enero de 2015; en cambio, las importaciones de HC</w:t>
      </w:r>
      <w:r>
        <w:rPr>
          <w:lang w:val="es-ES"/>
        </w:rPr>
        <w:t>FC</w:t>
      </w:r>
      <w:r>
        <w:rPr>
          <w:lang w:val="es-ES"/>
        </w:rPr>
        <w:noBreakHyphen/>
      </w:r>
      <w:r w:rsidRPr="0088089B">
        <w:rPr>
          <w:lang w:val="es-ES"/>
        </w:rPr>
        <w:t>141b contenido en polioles premezclados importados aumentaron inicialmente tras la prohibición y han disminuido sustancialmente a medida que los fabricantes de espumas decidieron realizar la conversión a alternativas, muy probablemente polioles premezclados a base de agua. En términos de toneladas métricas, los cuatro HFC más consumidos en 2020 son (en orden decreciente): H</w:t>
      </w:r>
      <w:r>
        <w:rPr>
          <w:lang w:val="es-ES"/>
        </w:rPr>
        <w:t>FC</w:t>
      </w:r>
      <w:r>
        <w:rPr>
          <w:lang w:val="es-ES"/>
        </w:rPr>
        <w:noBreakHyphen/>
      </w:r>
      <w:r w:rsidRPr="0088089B">
        <w:rPr>
          <w:lang w:val="es-ES"/>
        </w:rPr>
        <w:t xml:space="preserve">134a, </w:t>
      </w:r>
      <w:r w:rsidRPr="0088089B">
        <w:rPr>
          <w:lang w:val="es-ES"/>
        </w:rPr>
        <w:lastRenderedPageBreak/>
        <w:t>R</w:t>
      </w:r>
      <w:r w:rsidRPr="0088089B">
        <w:rPr>
          <w:lang w:val="es-ES"/>
        </w:rPr>
        <w:noBreakHyphen/>
        <w:t>410A, H</w:t>
      </w:r>
      <w:r>
        <w:rPr>
          <w:lang w:val="es-ES"/>
        </w:rPr>
        <w:t>FC</w:t>
      </w:r>
      <w:r>
        <w:rPr>
          <w:lang w:val="es-ES"/>
        </w:rPr>
        <w:noBreakHyphen/>
      </w:r>
      <w:r w:rsidRPr="0088089B">
        <w:rPr>
          <w:lang w:val="es-ES"/>
        </w:rPr>
        <w:t>23 y H</w:t>
      </w:r>
      <w:r>
        <w:rPr>
          <w:lang w:val="es-ES"/>
        </w:rPr>
        <w:t>FC</w:t>
      </w:r>
      <w:r>
        <w:rPr>
          <w:lang w:val="es-ES"/>
        </w:rPr>
        <w:noBreakHyphen/>
      </w:r>
      <w:r w:rsidRPr="0088089B">
        <w:rPr>
          <w:lang w:val="es-ES"/>
        </w:rPr>
        <w:t>32; el H</w:t>
      </w:r>
      <w:r>
        <w:rPr>
          <w:lang w:val="es-ES"/>
        </w:rPr>
        <w:t>FC</w:t>
      </w:r>
      <w:r>
        <w:rPr>
          <w:lang w:val="es-ES"/>
        </w:rPr>
        <w:noBreakHyphen/>
      </w:r>
      <w:r w:rsidRPr="0088089B">
        <w:rPr>
          <w:lang w:val="es-ES"/>
        </w:rPr>
        <w:t>23 es el HFC más comúnmente consumido en términos de equivalente de CO</w:t>
      </w:r>
      <w:r w:rsidRPr="0088089B">
        <w:rPr>
          <w:vertAlign w:val="subscript"/>
          <w:lang w:val="es-ES"/>
        </w:rPr>
        <w:t>2</w:t>
      </w:r>
      <w:r w:rsidRPr="0088089B">
        <w:rPr>
          <w:lang w:val="es-ES"/>
        </w:rPr>
        <w:t>.</w:t>
      </w:r>
    </w:p>
    <w:p w14:paraId="4CD81C91" w14:textId="77777777" w:rsidR="0088089B" w:rsidRPr="0088089B" w:rsidRDefault="0088089B" w:rsidP="0088089B">
      <w:pPr>
        <w:keepNext/>
        <w:rPr>
          <w:i/>
          <w:lang w:val="es-ES"/>
        </w:rPr>
      </w:pPr>
      <w:r w:rsidRPr="0088089B">
        <w:rPr>
          <w:i/>
          <w:lang w:val="es-ES"/>
        </w:rPr>
        <w:t>Informe de ejecución del programa de país</w:t>
      </w:r>
    </w:p>
    <w:p w14:paraId="19CCD379" w14:textId="77777777" w:rsidR="0088089B" w:rsidRPr="0088089B" w:rsidRDefault="0088089B" w:rsidP="0088089B">
      <w:pPr>
        <w:keepNext/>
        <w:rPr>
          <w:lang w:val="es-ES"/>
        </w:rPr>
      </w:pPr>
    </w:p>
    <w:p w14:paraId="61D998E7" w14:textId="77777777" w:rsidR="0088089B" w:rsidRPr="0088089B" w:rsidRDefault="0088089B" w:rsidP="0088089B">
      <w:pPr>
        <w:pStyle w:val="Heading1"/>
        <w:rPr>
          <w:lang w:val="es-ES"/>
        </w:rPr>
      </w:pPr>
      <w:r w:rsidRPr="0088089B">
        <w:rPr>
          <w:lang w:val="es-ES"/>
        </w:rPr>
        <w:t>Los datos de consumo sectorial de HCFC notificados por el Gobierno de Viet Nam en el informe de ejecución del PP de 2019 guardan conformidad con los datos notificados con arreglo al artículo 7 del Protocolo de Montreal.</w:t>
      </w:r>
    </w:p>
    <w:p w14:paraId="73CBCED9" w14:textId="77777777" w:rsidR="0088089B" w:rsidRPr="0088089B" w:rsidRDefault="0088089B" w:rsidP="0088089B">
      <w:pPr>
        <w:rPr>
          <w:i/>
          <w:lang w:val="es-ES"/>
        </w:rPr>
      </w:pPr>
      <w:r w:rsidRPr="0088089B">
        <w:rPr>
          <w:i/>
          <w:lang w:val="es-ES"/>
        </w:rPr>
        <w:t>Informe de verificación</w:t>
      </w:r>
    </w:p>
    <w:p w14:paraId="6CCB617A" w14:textId="77777777" w:rsidR="0088089B" w:rsidRPr="0088089B" w:rsidRDefault="0088089B" w:rsidP="0088089B">
      <w:pPr>
        <w:rPr>
          <w:lang w:val="es-ES"/>
        </w:rPr>
      </w:pPr>
    </w:p>
    <w:p w14:paraId="51676EE5" w14:textId="7A0303AB" w:rsidR="0088089B" w:rsidRPr="0088089B" w:rsidRDefault="0088089B" w:rsidP="0088089B">
      <w:pPr>
        <w:pStyle w:val="Heading1"/>
        <w:rPr>
          <w:lang w:val="es-ES"/>
        </w:rPr>
      </w:pPr>
      <w:r w:rsidRPr="0088089B">
        <w:rPr>
          <w:lang w:val="es-ES"/>
        </w:rPr>
        <w:t>El informe de verificación, que se llevó a cabo por medios virtuales debido a la pandemia de COVID-19, confirmó que el Gobierno está aplicando un sistema de concesión de licencias y cupos para las importaciones y exportaciones de HCFC y que el consumo total de HCFC para 2019 y 2020 fue de 197,55 y 142,18 toneladas PAO, respectivamente. La verificación concluyó que el consumo de HCFC de Viet Nam estaba dentro de los límites estipulados en el Acuerdo con el Comité Ejecutivo, y que los datos gestionados por la dependencia nacional del ozono, el Departamento de Importación y Exportación y el Departamento General de Aduanas de Viet Nam, son completos y coherentes. El informe de verificación no abordó el consumo de HC</w:t>
      </w:r>
      <w:r>
        <w:rPr>
          <w:lang w:val="es-ES"/>
        </w:rPr>
        <w:t>FC</w:t>
      </w:r>
      <w:r>
        <w:rPr>
          <w:lang w:val="es-ES"/>
        </w:rPr>
        <w:noBreakHyphen/>
      </w:r>
      <w:r w:rsidRPr="0088089B">
        <w:rPr>
          <w:lang w:val="es-ES"/>
        </w:rPr>
        <w:t>141b contenido en polioles premezclados importados.</w:t>
      </w:r>
    </w:p>
    <w:p w14:paraId="08161E7D" w14:textId="77777777" w:rsidR="0088089B" w:rsidRPr="0088089B" w:rsidRDefault="0088089B" w:rsidP="0088089B">
      <w:pPr>
        <w:rPr>
          <w:u w:val="single"/>
          <w:lang w:val="es-ES"/>
        </w:rPr>
      </w:pPr>
      <w:bookmarkStart w:id="0" w:name="_Hlk72850926"/>
      <w:r w:rsidRPr="0088089B">
        <w:rPr>
          <w:u w:val="single"/>
          <w:lang w:val="es-ES"/>
        </w:rPr>
        <w:t>Informe sobre la marcha de las actividades relativo a la ejecución del segundo tramo del PGEH</w:t>
      </w:r>
    </w:p>
    <w:p w14:paraId="539C45F9" w14:textId="77777777" w:rsidR="0088089B" w:rsidRPr="0088089B" w:rsidRDefault="0088089B" w:rsidP="0088089B">
      <w:pPr>
        <w:rPr>
          <w:lang w:val="es-ES"/>
        </w:rPr>
      </w:pPr>
    </w:p>
    <w:p w14:paraId="2D3553E0" w14:textId="77777777" w:rsidR="0088089B" w:rsidRPr="0088089B" w:rsidRDefault="0088089B" w:rsidP="0088089B">
      <w:pPr>
        <w:rPr>
          <w:i/>
          <w:lang w:val="es-ES"/>
        </w:rPr>
      </w:pPr>
      <w:r w:rsidRPr="0088089B">
        <w:rPr>
          <w:i/>
          <w:lang w:val="es-ES"/>
        </w:rPr>
        <w:t>Marco jurídico</w:t>
      </w:r>
    </w:p>
    <w:p w14:paraId="71DF79DC" w14:textId="77777777" w:rsidR="0088089B" w:rsidRPr="0088089B" w:rsidRDefault="0088089B" w:rsidP="0088089B">
      <w:pPr>
        <w:rPr>
          <w:lang w:val="es-ES"/>
        </w:rPr>
      </w:pPr>
    </w:p>
    <w:p w14:paraId="2552E3AF" w14:textId="7FDA46D3" w:rsidR="0088089B" w:rsidRPr="0088089B" w:rsidRDefault="0088089B" w:rsidP="0088089B">
      <w:pPr>
        <w:pStyle w:val="Heading1"/>
        <w:rPr>
          <w:lang w:val="es-ES"/>
        </w:rPr>
      </w:pPr>
      <w:r w:rsidRPr="0088089B">
        <w:rPr>
          <w:lang w:val="es-ES"/>
        </w:rPr>
        <w:t>Viet Nam cuenta con un sistema de licencias y cupos exigible. En 2020, se enmendó la circular conjunta en virtud de la cual se regula la importación y exportación de HCFC, para, entre otras cosas, especificar el cupo de HCFC de 2 600 tm para el período 2020-2024 y de 1 300 tm para el período 2025-2028, en consonancia con el Protocolo de Montreal; y para actualizar la lista de sustancias químicas reguladas a fin de incluir el HC</w:t>
      </w:r>
      <w:r>
        <w:rPr>
          <w:lang w:val="es-ES"/>
        </w:rPr>
        <w:t>FC</w:t>
      </w:r>
      <w:r>
        <w:rPr>
          <w:lang w:val="es-ES"/>
        </w:rPr>
        <w:noBreakHyphen/>
      </w:r>
      <w:r w:rsidRPr="0088089B">
        <w:rPr>
          <w:lang w:val="es-ES"/>
        </w:rPr>
        <w:t>141b contenido en polioles premezclados, lo que exige el registro de los importadores. La prohibición de la importación y exportación de HC</w:t>
      </w:r>
      <w:r>
        <w:rPr>
          <w:lang w:val="es-ES"/>
        </w:rPr>
        <w:t>FC</w:t>
      </w:r>
      <w:r>
        <w:rPr>
          <w:lang w:val="es-ES"/>
        </w:rPr>
        <w:noBreakHyphen/>
      </w:r>
      <w:r w:rsidRPr="0088089B">
        <w:rPr>
          <w:lang w:val="es-ES"/>
        </w:rPr>
        <w:t>141b (a granel) está en vigor desde el 1 de enero de 2015 y, de acuerdo con la decisión 76/42 c), el Gobierno aplicará la prohibición de la importación de HC</w:t>
      </w:r>
      <w:r>
        <w:rPr>
          <w:lang w:val="es-ES"/>
        </w:rPr>
        <w:t>FC</w:t>
      </w:r>
      <w:r>
        <w:rPr>
          <w:lang w:val="es-ES"/>
        </w:rPr>
        <w:noBreakHyphen/>
      </w:r>
      <w:r w:rsidRPr="0088089B">
        <w:rPr>
          <w:lang w:val="es-ES"/>
        </w:rPr>
        <w:t>141b contenido en polioles mezclados a más tardar el 1 de enero de 2022 y la prohibición de la importación y fabricación de unidades de aire acondicionado (A/A) a base de HC</w:t>
      </w:r>
      <w:r>
        <w:rPr>
          <w:lang w:val="es-ES"/>
        </w:rPr>
        <w:t>FC</w:t>
      </w:r>
      <w:r>
        <w:rPr>
          <w:lang w:val="es-ES"/>
        </w:rPr>
        <w:noBreakHyphen/>
      </w:r>
      <w:r w:rsidRPr="0088089B">
        <w:rPr>
          <w:lang w:val="es-ES"/>
        </w:rPr>
        <w:t xml:space="preserve">22 a más tardar el 1 de enero de 2022. </w:t>
      </w:r>
    </w:p>
    <w:p w14:paraId="77F586AA" w14:textId="5B0009A6" w:rsidR="0088089B" w:rsidRPr="0088089B" w:rsidRDefault="0088089B" w:rsidP="0088089B">
      <w:pPr>
        <w:pStyle w:val="Heading1"/>
        <w:rPr>
          <w:lang w:val="es-ES"/>
        </w:rPr>
      </w:pPr>
      <w:r w:rsidRPr="0088089B">
        <w:rPr>
          <w:lang w:val="es-ES"/>
        </w:rPr>
        <w:t>Aunque no se requiere un cupo ni una licencia para importar HC</w:t>
      </w:r>
      <w:r>
        <w:rPr>
          <w:lang w:val="es-ES"/>
        </w:rPr>
        <w:t>FC</w:t>
      </w:r>
      <w:r>
        <w:rPr>
          <w:lang w:val="es-ES"/>
        </w:rPr>
        <w:noBreakHyphen/>
      </w:r>
      <w:r w:rsidRPr="0088089B">
        <w:rPr>
          <w:lang w:val="es-ES"/>
        </w:rPr>
        <w:t>141b contenido en polioles premezclados, dichas importaciones se controlan a través del código del Sistema Armonizado. Los HFC están incluidos en el sistema de concesión de licencias del país y se controlan mediante permisos de importación. Viet Nam ratificó la Enmienda de Kigali el 27 de septiembre de 2019.</w:t>
      </w:r>
    </w:p>
    <w:p w14:paraId="213C1CA6" w14:textId="77777777" w:rsidR="0088089B" w:rsidRPr="0088089B" w:rsidRDefault="0088089B" w:rsidP="0088089B">
      <w:pPr>
        <w:pStyle w:val="Heading1"/>
        <w:spacing w:after="0"/>
        <w:rPr>
          <w:lang w:val="es-ES"/>
        </w:rPr>
      </w:pPr>
      <w:r w:rsidRPr="0088089B">
        <w:rPr>
          <w:lang w:val="es-ES"/>
        </w:rPr>
        <w:t xml:space="preserve">En el marco del segundo tramo, se organizó un taller sobre el control y la supervisión de la importación y exportación de HCFC, al que asistieron 60 funcionarios de aduanas de 11 departamentos aduaneros locales; un segundo taller para aproximadamente 50 funcionarios de aduanas se retrasó debido a la pandemia de COVID-19 y se prevé que se realizará en diciembre de 2021. Se ha elaborado una norma de seguridad para la producción de espumas, el almacenamiento </w:t>
      </w:r>
      <w:r w:rsidRPr="0088089B">
        <w:rPr>
          <w:i/>
          <w:iCs/>
          <w:lang w:val="es-ES"/>
        </w:rPr>
        <w:t>in situ</w:t>
      </w:r>
      <w:r w:rsidRPr="0088089B">
        <w:rPr>
          <w:lang w:val="es-ES"/>
        </w:rPr>
        <w:t xml:space="preserve"> y la manipulación de agentes espumantes inflamables, que se prevé que entrará en vigor a más tardar en julio de 2021.</w:t>
      </w:r>
    </w:p>
    <w:p w14:paraId="1A23CD92" w14:textId="77777777" w:rsidR="0088089B" w:rsidRPr="0088089B" w:rsidRDefault="0088089B" w:rsidP="0088089B">
      <w:pPr>
        <w:rPr>
          <w:lang w:val="es-ES"/>
        </w:rPr>
      </w:pPr>
    </w:p>
    <w:p w14:paraId="6A921588" w14:textId="77777777" w:rsidR="0088089B" w:rsidRPr="0088089B" w:rsidRDefault="0088089B" w:rsidP="0088089B">
      <w:pPr>
        <w:rPr>
          <w:i/>
          <w:lang w:val="es-ES"/>
        </w:rPr>
      </w:pPr>
      <w:r w:rsidRPr="0088089B">
        <w:rPr>
          <w:i/>
          <w:lang w:val="es-ES"/>
        </w:rPr>
        <w:t>Sector de fabricación</w:t>
      </w:r>
      <w:r w:rsidRPr="0088089B">
        <w:rPr>
          <w:lang w:val="es-ES"/>
        </w:rPr>
        <w:t xml:space="preserve"> </w:t>
      </w:r>
    </w:p>
    <w:p w14:paraId="0150E4CB" w14:textId="77777777" w:rsidR="0088089B" w:rsidRPr="0088089B" w:rsidRDefault="0088089B" w:rsidP="0088089B">
      <w:pPr>
        <w:rPr>
          <w:lang w:val="es-ES"/>
        </w:rPr>
      </w:pPr>
    </w:p>
    <w:p w14:paraId="1765DFD1" w14:textId="79DEBA2F" w:rsidR="0088089B" w:rsidRPr="0088089B" w:rsidRDefault="0088089B" w:rsidP="0088089B">
      <w:pPr>
        <w:pStyle w:val="Heading1"/>
        <w:rPr>
          <w:lang w:val="es-ES"/>
        </w:rPr>
      </w:pPr>
      <w:r w:rsidRPr="0088089B">
        <w:rPr>
          <w:lang w:val="es-ES"/>
        </w:rPr>
        <w:t>La etapa II incluía la financiación de la conversión de cuatro empresas fabricantes de unidades de A/A (Hoa Phat, Midea, Nagakawa y REE), 34 empresas fabricantes de equipos refrigeración y una empresa fabricante de espumas de poliestireno extruido (XPS) (Phu Vuong Corporation Industry) para eliminar 595,63 tm de HC</w:t>
      </w:r>
      <w:r>
        <w:rPr>
          <w:lang w:val="es-ES"/>
        </w:rPr>
        <w:t>FC</w:t>
      </w:r>
      <w:r>
        <w:rPr>
          <w:lang w:val="es-ES"/>
        </w:rPr>
        <w:noBreakHyphen/>
      </w:r>
      <w:r w:rsidRPr="0088089B">
        <w:rPr>
          <w:lang w:val="es-ES"/>
        </w:rPr>
        <w:t xml:space="preserve">22, y 44 empresas de espumas de poliuretano (PU) para eliminar 684,18 tm de </w:t>
      </w:r>
      <w:r w:rsidRPr="0088089B">
        <w:rPr>
          <w:lang w:val="es-ES"/>
        </w:rPr>
        <w:lastRenderedPageBreak/>
        <w:t>HC</w:t>
      </w:r>
      <w:r>
        <w:rPr>
          <w:lang w:val="es-ES"/>
        </w:rPr>
        <w:t>FC</w:t>
      </w:r>
      <w:r>
        <w:rPr>
          <w:lang w:val="es-ES"/>
        </w:rPr>
        <w:noBreakHyphen/>
      </w:r>
      <w:r w:rsidRPr="0088089B">
        <w:rPr>
          <w:lang w:val="es-ES"/>
        </w:rPr>
        <w:t>141b contenido en polioles premezclados importados. Otras 76 tm de HC</w:t>
      </w:r>
      <w:r>
        <w:rPr>
          <w:lang w:val="es-ES"/>
        </w:rPr>
        <w:t>FC</w:t>
      </w:r>
      <w:r>
        <w:rPr>
          <w:lang w:val="es-ES"/>
        </w:rPr>
        <w:noBreakHyphen/>
      </w:r>
      <w:r w:rsidRPr="0088089B">
        <w:rPr>
          <w:lang w:val="es-ES"/>
        </w:rPr>
        <w:t>22 relacionadas con la conversión de una empresa fabricante de equipos de A/A que es de propiedad de un país que no opera al amparo del artículo 5 y 1 350,82 tm de HC</w:t>
      </w:r>
      <w:r>
        <w:rPr>
          <w:lang w:val="es-ES"/>
        </w:rPr>
        <w:t>FC</w:t>
      </w:r>
      <w:r>
        <w:rPr>
          <w:lang w:val="es-ES"/>
        </w:rPr>
        <w:noBreakHyphen/>
      </w:r>
      <w:r w:rsidRPr="0088089B">
        <w:rPr>
          <w:lang w:val="es-ES"/>
        </w:rPr>
        <w:t>141b contenido en polioles premezclados importados se eliminarían sin financiación del Fondo Multilateral.</w:t>
      </w:r>
    </w:p>
    <w:p w14:paraId="3A4824E0" w14:textId="77777777" w:rsidR="0088089B" w:rsidRPr="0088089B" w:rsidRDefault="0088089B" w:rsidP="0088089B">
      <w:pPr>
        <w:pStyle w:val="Heading1"/>
        <w:rPr>
          <w:lang w:val="es-ES"/>
        </w:rPr>
      </w:pPr>
      <w:r w:rsidRPr="0088089B">
        <w:rPr>
          <w:lang w:val="es-ES"/>
        </w:rPr>
        <w:t>Se determinó que la empresa fabricante de espumas XPS, Phu Vuong Corporation Industry, no era admisible para recibir financiación del Fondo Multilateral debido a la fecha de establecimiento, y los fondos relacionados, de 613 568 $EUA (más gastos de apoyo del organismo), se devolverán a la 87ª reunión.</w:t>
      </w:r>
    </w:p>
    <w:p w14:paraId="7CBB8372" w14:textId="19EB4718" w:rsidR="0088089B" w:rsidRPr="0088089B" w:rsidRDefault="0088089B" w:rsidP="0088089B">
      <w:pPr>
        <w:pStyle w:val="Heading1"/>
        <w:rPr>
          <w:lang w:val="es-ES"/>
        </w:rPr>
      </w:pPr>
      <w:r w:rsidRPr="0088089B">
        <w:rPr>
          <w:lang w:val="es-ES"/>
        </w:rPr>
        <w:t>En el marco del segundo tramo, se prestó asistencia técnica para apoyar a las empresas en la preparación y ejecución de subproyectos en los sectores de fabricación de espumas y de equipos de refrigeración y aire acondicionado y en el examen de las propuestas de subproyectos, lo que dio lugar a la elaboración de acuerdos de subvención con tres empresas (dos del sector de fabricación de espumas de poliuretano, con un consumo de 52,22 tm de HC</w:t>
      </w:r>
      <w:r>
        <w:rPr>
          <w:lang w:val="es-ES"/>
        </w:rPr>
        <w:t>FC</w:t>
      </w:r>
      <w:r>
        <w:rPr>
          <w:lang w:val="es-ES"/>
        </w:rPr>
        <w:noBreakHyphen/>
      </w:r>
      <w:r w:rsidRPr="0088089B">
        <w:rPr>
          <w:lang w:val="es-ES"/>
        </w:rPr>
        <w:t>141b contenido en polioles premezclados importados, que realizarán la conversión a ciclopentano y ciclopentano premezclado; y una del sector de fabricación de equipos de refrigeración y aire acondicionado, con un consumo de 9,82 tm de HC</w:t>
      </w:r>
      <w:r>
        <w:rPr>
          <w:lang w:val="es-ES"/>
        </w:rPr>
        <w:t>FC</w:t>
      </w:r>
      <w:r>
        <w:rPr>
          <w:lang w:val="es-ES"/>
        </w:rPr>
        <w:noBreakHyphen/>
      </w:r>
      <w:r w:rsidRPr="0088089B">
        <w:rPr>
          <w:lang w:val="es-ES"/>
        </w:rPr>
        <w:t xml:space="preserve">22, que realizará la conversión a amoníaco). Se proporcionó a las empresas un adelanto del 20% a la firma; en el caso de las empresas fabricantes de espumas de poliuretano, se prevé que el contrato con los proveedores de equipos se firmará en junio de 2021, mientras que, en el caso de la empresa fabricante de equipos de refrigeración, se entregaron los equipos a la empresa; se prevé que se comprarán equipos adicionales en junio de 2021, aunque esa compra puede retrasarse más en función de la evolución de la pandemia de COVID-19. Se identificaron, además, una empresa fabricante de espumas y otra que fabrica de equipos de refrigeración interesadas en participar en el proyecto; se prevé que estas empresas firmarán un acuerdo de subvención en el marco del tercer tramo. </w:t>
      </w:r>
    </w:p>
    <w:p w14:paraId="40AE9B4F" w14:textId="77777777" w:rsidR="0088089B" w:rsidRPr="0088089B" w:rsidRDefault="0088089B" w:rsidP="0088089B">
      <w:pPr>
        <w:rPr>
          <w:i/>
          <w:lang w:val="es-ES"/>
        </w:rPr>
      </w:pPr>
      <w:r w:rsidRPr="0088089B">
        <w:rPr>
          <w:i/>
          <w:lang w:val="es-ES"/>
        </w:rPr>
        <w:t>Sector de servicio y mantenimiento de refrigeración</w:t>
      </w:r>
    </w:p>
    <w:p w14:paraId="0588F8F3" w14:textId="77777777" w:rsidR="0088089B" w:rsidRPr="0088089B" w:rsidRDefault="0088089B" w:rsidP="0088089B">
      <w:pPr>
        <w:rPr>
          <w:lang w:val="es-ES"/>
        </w:rPr>
      </w:pPr>
    </w:p>
    <w:p w14:paraId="72C32E2F" w14:textId="77777777" w:rsidR="0088089B" w:rsidRPr="0088089B" w:rsidRDefault="0088089B" w:rsidP="0088089B">
      <w:pPr>
        <w:pStyle w:val="Heading1"/>
        <w:rPr>
          <w:lang w:val="es-ES"/>
        </w:rPr>
      </w:pPr>
      <w:r w:rsidRPr="0088089B">
        <w:rPr>
          <w:lang w:val="es-ES"/>
        </w:rPr>
        <w:t xml:space="preserve">Durante el segundo tramo se ejecutaron las siguientes actividades: </w:t>
      </w:r>
    </w:p>
    <w:p w14:paraId="44CFABD9" w14:textId="3BCC0ABF" w:rsidR="0088089B" w:rsidRPr="0088089B" w:rsidRDefault="0088089B" w:rsidP="0088089B">
      <w:pPr>
        <w:pStyle w:val="Heading2"/>
        <w:widowControl/>
        <w:rPr>
          <w:lang w:val="es-ES"/>
        </w:rPr>
      </w:pPr>
      <w:r w:rsidRPr="0088089B">
        <w:rPr>
          <w:lang w:val="es-ES"/>
        </w:rPr>
        <w:t>Ha comenzado la asistencia técnica sobre el uso seguro del H</w:t>
      </w:r>
      <w:r>
        <w:rPr>
          <w:lang w:val="es-ES"/>
        </w:rPr>
        <w:t>FC</w:t>
      </w:r>
      <w:r>
        <w:rPr>
          <w:lang w:val="es-ES"/>
        </w:rPr>
        <w:noBreakHyphen/>
      </w:r>
      <w:r w:rsidRPr="0088089B">
        <w:rPr>
          <w:lang w:val="es-ES"/>
        </w:rPr>
        <w:t>32 en la fabricación de equipos de A/A, que está llevando a cabo el Gobierno del Japón. Se ha contratado a un consultor que ha iniciado un examen de las normas y reglamentos relacionados con las unidades de A/A que utilizan refrigerantes inflamables. Se está preparando capacitación sobre el manejo seguro del H</w:t>
      </w:r>
      <w:r>
        <w:rPr>
          <w:lang w:val="es-ES"/>
        </w:rPr>
        <w:t>FC</w:t>
      </w:r>
      <w:r>
        <w:rPr>
          <w:lang w:val="es-ES"/>
        </w:rPr>
        <w:noBreakHyphen/>
      </w:r>
      <w:r w:rsidRPr="0088089B">
        <w:rPr>
          <w:lang w:val="es-ES"/>
        </w:rPr>
        <w:t>32, cuya fecha de inicio depende de las restricciones relacionadas con la pandemia de COVID-19;</w:t>
      </w:r>
    </w:p>
    <w:p w14:paraId="6E007786" w14:textId="77777777" w:rsidR="0088089B" w:rsidRPr="0088089B" w:rsidRDefault="0088089B" w:rsidP="0088089B">
      <w:pPr>
        <w:pStyle w:val="Heading2"/>
        <w:widowControl/>
        <w:rPr>
          <w:lang w:val="es-ES"/>
        </w:rPr>
      </w:pPr>
      <w:r w:rsidRPr="0088089B">
        <w:rPr>
          <w:lang w:val="es-ES"/>
        </w:rPr>
        <w:t>Se estableció un contrato para evaluar las actividades de manejo de fugas en 10 usuarios finales de refrigeración industrial, y los informes de evaluación están previstos para diciembre de 2022 a más tardar;</w:t>
      </w:r>
    </w:p>
    <w:p w14:paraId="22F64BC3" w14:textId="77777777" w:rsidR="0088089B" w:rsidRPr="0088089B" w:rsidRDefault="0088089B" w:rsidP="0088089B">
      <w:pPr>
        <w:pStyle w:val="Heading2"/>
        <w:widowControl/>
        <w:rPr>
          <w:lang w:val="es-ES"/>
        </w:rPr>
      </w:pPr>
      <w:r w:rsidRPr="0088089B">
        <w:rPr>
          <w:lang w:val="es-ES"/>
        </w:rPr>
        <w:t>Se elaboraron un plan de estudios y los materiales de capacitación sobre buenas prácticas de servicio y mantenimiento, recuperación y reciclaje y manejo de refrigerantes inflamables en equipos de refrigeración y aire acondicionado; y se organizaron tres talleres sobre buenas prácticas de manejo de HCFC y refrigerantes inflamables para 71 instructores de institutos de capacitación vocacional; y</w:t>
      </w:r>
    </w:p>
    <w:p w14:paraId="5DC549E3" w14:textId="77777777" w:rsidR="0088089B" w:rsidRPr="0088089B" w:rsidRDefault="0088089B" w:rsidP="0088089B">
      <w:pPr>
        <w:pStyle w:val="Heading2"/>
        <w:widowControl/>
        <w:rPr>
          <w:lang w:val="es-ES"/>
        </w:rPr>
      </w:pPr>
      <w:r w:rsidRPr="0088089B">
        <w:rPr>
          <w:lang w:val="es-ES"/>
        </w:rPr>
        <w:t xml:space="preserve">Elaboración de las especificaciones técnicas de los equipos e identificación de los institutos de capacitación y los talleres de servicio y mantenimiento beneficiarios; se contrataron juegos de herramientas (por ejemplo, detector de fugas; manómetro; máquina de recuperación de refrigerantes; tanque de contención de refrigerantes; bomba de vacío; unidad de A/A; juego de herramientas de llave de torsión, mandril y cortador de tubos; balanza de refrigerantes) para 65 institutos de capacitación vocacional, y 100 juegos de herramientas (por ejemplo, bomba de vacío; juego de herramientas de llave de torsión, </w:t>
      </w:r>
      <w:r w:rsidRPr="0088089B">
        <w:rPr>
          <w:lang w:val="es-ES"/>
        </w:rPr>
        <w:lastRenderedPageBreak/>
        <w:t>mandril y cortador de tubos) para los talleres de servicio y mantenimiento. La entrega de los juegos de herramientas está prevista para junio y septiembre de 2021.</w:t>
      </w:r>
    </w:p>
    <w:bookmarkEnd w:id="0"/>
    <w:p w14:paraId="74B05F54" w14:textId="77777777" w:rsidR="0088089B" w:rsidRPr="0088089B" w:rsidRDefault="0088089B" w:rsidP="0088089B">
      <w:pPr>
        <w:rPr>
          <w:i/>
          <w:lang w:val="es-ES"/>
        </w:rPr>
      </w:pPr>
      <w:r w:rsidRPr="0088089B">
        <w:rPr>
          <w:i/>
          <w:lang w:val="es-ES"/>
        </w:rPr>
        <w:t>Dependencia de ejecución y supervisión del proyecto (DGP)</w:t>
      </w:r>
    </w:p>
    <w:p w14:paraId="2D461FDD" w14:textId="77777777" w:rsidR="0088089B" w:rsidRPr="0088089B" w:rsidRDefault="0088089B" w:rsidP="0088089B">
      <w:pPr>
        <w:rPr>
          <w:lang w:val="es-ES"/>
        </w:rPr>
      </w:pPr>
    </w:p>
    <w:p w14:paraId="76412EFC" w14:textId="77777777" w:rsidR="0088089B" w:rsidRPr="0088089B" w:rsidRDefault="0088089B" w:rsidP="0088089B">
      <w:pPr>
        <w:pStyle w:val="Heading1"/>
        <w:spacing w:after="120"/>
        <w:rPr>
          <w:lang w:val="es-ES"/>
        </w:rPr>
      </w:pPr>
      <w:r w:rsidRPr="0088089B">
        <w:rPr>
          <w:lang w:val="es-ES"/>
        </w:rPr>
        <w:noBreakHyphen/>
        <w:t>Las actividades emprendidas por la DGP incluyeron la revisión del manual de ejecución de proyectos para permitir un enfoque de financiación más flexible que facilite las actividades en las empresas más pequeñas; la organización de reuniones, visitas a las instalaciones y talleres y cursos de capacitación en el marco del componente de asistencia técnica, incluida la firma de un contrato con la Organización Japonesa de Refrigerantes y Conservación del Medio Ambiente, y el calendario de ejecución, los resultados y el plan provisional para realizar visitas a las instalaciones considerando la evolución de la situación de la COVID</w:t>
      </w:r>
      <w:r w:rsidRPr="0088089B">
        <w:rPr>
          <w:lang w:val="es-ES"/>
        </w:rPr>
        <w:noBreakHyphen/>
        <w:t>19; la revisión de los cupos; las auditorías financieras anuales de los gastos del proyecto; y la elaboración de informes financieros y de ejecución de proyecto semestrales y anuales. Los desembolsos para la DGP, que cuenta con cinco miembros de personal, incluyeron sueldos del personal (158 314 $EUA), programas informáticos de contabilidad (2 464 $EUA) y gastos de funcionamiento (28 253 $EUA)</w:t>
      </w:r>
      <w:r w:rsidRPr="0088089B">
        <w:rPr>
          <w:rStyle w:val="FootnoteTextChar"/>
          <w:vertAlign w:val="superscript"/>
          <w:lang w:val="es-ES"/>
        </w:rPr>
        <w:footnoteReference w:id="3"/>
      </w:r>
      <w:r w:rsidRPr="0088089B">
        <w:rPr>
          <w:lang w:val="es-ES"/>
        </w:rPr>
        <w:t xml:space="preserve">. </w:t>
      </w:r>
    </w:p>
    <w:p w14:paraId="3DB46140" w14:textId="77777777" w:rsidR="0088089B" w:rsidRPr="0088089B" w:rsidRDefault="0088089B" w:rsidP="0088089B">
      <w:pPr>
        <w:rPr>
          <w:u w:val="single"/>
          <w:lang w:val="es-ES"/>
        </w:rPr>
      </w:pPr>
      <w:r w:rsidRPr="0088089B">
        <w:rPr>
          <w:u w:val="single"/>
          <w:lang w:val="es-ES"/>
        </w:rPr>
        <w:t>Nivel de desembolso de fondos</w:t>
      </w:r>
    </w:p>
    <w:p w14:paraId="4C0396B6" w14:textId="77777777" w:rsidR="0088089B" w:rsidRPr="0088089B" w:rsidRDefault="0088089B" w:rsidP="0088089B">
      <w:pPr>
        <w:rPr>
          <w:lang w:val="es-ES"/>
        </w:rPr>
      </w:pPr>
    </w:p>
    <w:p w14:paraId="40B9A261" w14:textId="77777777" w:rsidR="0088089B" w:rsidRPr="0088089B" w:rsidRDefault="0088089B" w:rsidP="0088089B">
      <w:pPr>
        <w:pStyle w:val="Heading1"/>
        <w:rPr>
          <w:lang w:val="es-ES"/>
        </w:rPr>
      </w:pPr>
      <w:r w:rsidRPr="0088089B">
        <w:rPr>
          <w:lang w:val="es-ES"/>
        </w:rPr>
        <w:t xml:space="preserve">En abril de 2021, de los 2 689 160 $EUA aprobados hasta la fecha (2 481 930 $EUA para el Banco Mundial y 207 230 $EUA para el Gobierno del Japón), se habían desembolsado 839 883 $EUA (31%), como se muestra en el Cuadro 2. Junto con la aprobación del tercer tramo, se suprimirán 613 568 $EUA (más gastos de apoyo del organismo) del segundo tramo, que el Banco Mundial devolverá al Fondo Multilateral. El saldo de 1 235 709 $EUA se desembolsará a más tardar en diciembre de 2021. </w:t>
      </w:r>
    </w:p>
    <w:p w14:paraId="2C972A0C" w14:textId="77777777" w:rsidR="0088089B" w:rsidRPr="0088089B" w:rsidRDefault="0088089B" w:rsidP="0088089B">
      <w:pPr>
        <w:rPr>
          <w:b/>
          <w:lang w:val="es-ES"/>
        </w:rPr>
      </w:pPr>
      <w:r w:rsidRPr="0088089B">
        <w:rPr>
          <w:b/>
          <w:lang w:val="es-ES"/>
        </w:rPr>
        <w:t xml:space="preserve">Cuadro 2. Informe financiero de la etapa II del PGEH para Viet Nam ($EUA) </w:t>
      </w:r>
    </w:p>
    <w:tbl>
      <w:tblPr>
        <w:tblW w:w="9360" w:type="dxa"/>
        <w:tblLayout w:type="fixed"/>
        <w:tblLook w:val="04A0" w:firstRow="1" w:lastRow="0" w:firstColumn="1" w:lastColumn="0" w:noHBand="0" w:noVBand="1"/>
      </w:tblPr>
      <w:tblGrid>
        <w:gridCol w:w="1872"/>
        <w:gridCol w:w="1872"/>
        <w:gridCol w:w="1872"/>
        <w:gridCol w:w="1872"/>
        <w:gridCol w:w="1872"/>
      </w:tblGrid>
      <w:tr w:rsidR="0088089B" w:rsidRPr="0088089B" w14:paraId="750597F7" w14:textId="77777777" w:rsidTr="001E2274">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4DAC9" w14:textId="77777777" w:rsidR="0088089B" w:rsidRPr="0088089B" w:rsidRDefault="0088089B" w:rsidP="0088089B">
            <w:pPr>
              <w:jc w:val="left"/>
              <w:rPr>
                <w:b/>
                <w:bCs/>
                <w:color w:val="000000"/>
                <w:sz w:val="20"/>
                <w:szCs w:val="20"/>
                <w:lang w:val="es-ES"/>
              </w:rPr>
            </w:pPr>
            <w:r w:rsidRPr="0088089B">
              <w:rPr>
                <w:b/>
                <w:color w:val="000000"/>
                <w:sz w:val="20"/>
                <w:lang w:val="es-ES"/>
              </w:rPr>
              <w:t>Tramo</w:t>
            </w:r>
          </w:p>
        </w:tc>
        <w:tc>
          <w:tcPr>
            <w:tcW w:w="1870" w:type="dxa"/>
            <w:tcBorders>
              <w:top w:val="single" w:sz="4" w:space="0" w:color="auto"/>
              <w:left w:val="nil"/>
              <w:bottom w:val="single" w:sz="4" w:space="0" w:color="auto"/>
              <w:right w:val="single" w:sz="4" w:space="0" w:color="auto"/>
            </w:tcBorders>
            <w:shd w:val="clear" w:color="auto" w:fill="auto"/>
            <w:noWrap/>
            <w:vAlign w:val="center"/>
            <w:hideMark/>
          </w:tcPr>
          <w:p w14:paraId="0CBA355A" w14:textId="77777777" w:rsidR="0088089B" w:rsidRPr="0088089B" w:rsidRDefault="0088089B" w:rsidP="0088089B">
            <w:pPr>
              <w:jc w:val="center"/>
              <w:rPr>
                <w:b/>
                <w:bCs/>
                <w:color w:val="000000"/>
                <w:sz w:val="20"/>
                <w:szCs w:val="20"/>
                <w:lang w:val="es-ES"/>
              </w:rPr>
            </w:pPr>
            <w:r w:rsidRPr="0088089B">
              <w:rPr>
                <w:b/>
                <w:color w:val="000000"/>
                <w:sz w:val="20"/>
                <w:lang w:val="es-ES"/>
              </w:rPr>
              <w:t>Organismo</w:t>
            </w:r>
          </w:p>
        </w:tc>
        <w:tc>
          <w:tcPr>
            <w:tcW w:w="1870" w:type="dxa"/>
            <w:tcBorders>
              <w:top w:val="single" w:sz="4" w:space="0" w:color="auto"/>
              <w:left w:val="nil"/>
              <w:bottom w:val="single" w:sz="4" w:space="0" w:color="auto"/>
              <w:right w:val="single" w:sz="4" w:space="0" w:color="auto"/>
            </w:tcBorders>
            <w:shd w:val="clear" w:color="auto" w:fill="auto"/>
            <w:noWrap/>
            <w:vAlign w:val="center"/>
            <w:hideMark/>
          </w:tcPr>
          <w:p w14:paraId="5E9D797D" w14:textId="77777777" w:rsidR="0088089B" w:rsidRPr="0088089B" w:rsidRDefault="0088089B" w:rsidP="0088089B">
            <w:pPr>
              <w:jc w:val="center"/>
              <w:rPr>
                <w:b/>
                <w:bCs/>
                <w:color w:val="000000"/>
                <w:sz w:val="20"/>
                <w:szCs w:val="20"/>
                <w:lang w:val="es-ES"/>
              </w:rPr>
            </w:pPr>
            <w:r w:rsidRPr="0088089B">
              <w:rPr>
                <w:b/>
                <w:color w:val="000000"/>
                <w:sz w:val="20"/>
                <w:lang w:val="es-ES"/>
              </w:rPr>
              <w:t>Aprobado</w:t>
            </w:r>
          </w:p>
        </w:tc>
        <w:tc>
          <w:tcPr>
            <w:tcW w:w="1870" w:type="dxa"/>
            <w:tcBorders>
              <w:top w:val="single" w:sz="4" w:space="0" w:color="auto"/>
              <w:left w:val="nil"/>
              <w:bottom w:val="single" w:sz="4" w:space="0" w:color="auto"/>
              <w:right w:val="single" w:sz="4" w:space="0" w:color="auto"/>
            </w:tcBorders>
            <w:shd w:val="clear" w:color="auto" w:fill="auto"/>
            <w:noWrap/>
            <w:vAlign w:val="center"/>
            <w:hideMark/>
          </w:tcPr>
          <w:p w14:paraId="5A4A884D" w14:textId="77777777" w:rsidR="0088089B" w:rsidRPr="0088089B" w:rsidRDefault="0088089B" w:rsidP="0088089B">
            <w:pPr>
              <w:jc w:val="center"/>
              <w:rPr>
                <w:b/>
                <w:bCs/>
                <w:color w:val="000000"/>
                <w:sz w:val="20"/>
                <w:szCs w:val="20"/>
                <w:lang w:val="es-ES"/>
              </w:rPr>
            </w:pPr>
            <w:r w:rsidRPr="0088089B">
              <w:rPr>
                <w:b/>
                <w:color w:val="000000"/>
                <w:sz w:val="20"/>
                <w:lang w:val="es-ES"/>
              </w:rPr>
              <w:t>Desembolsado</w:t>
            </w:r>
          </w:p>
        </w:tc>
        <w:tc>
          <w:tcPr>
            <w:tcW w:w="1870" w:type="dxa"/>
            <w:tcBorders>
              <w:top w:val="single" w:sz="4" w:space="0" w:color="auto"/>
              <w:left w:val="nil"/>
              <w:bottom w:val="single" w:sz="4" w:space="0" w:color="auto"/>
              <w:right w:val="single" w:sz="4" w:space="0" w:color="auto"/>
            </w:tcBorders>
            <w:shd w:val="clear" w:color="auto" w:fill="auto"/>
            <w:noWrap/>
            <w:vAlign w:val="center"/>
            <w:hideMark/>
          </w:tcPr>
          <w:p w14:paraId="785BCE48" w14:textId="77777777" w:rsidR="0088089B" w:rsidRPr="0088089B" w:rsidRDefault="0088089B" w:rsidP="0088089B">
            <w:pPr>
              <w:jc w:val="center"/>
              <w:rPr>
                <w:b/>
                <w:bCs/>
                <w:color w:val="000000"/>
                <w:sz w:val="20"/>
                <w:szCs w:val="20"/>
                <w:lang w:val="es-ES"/>
              </w:rPr>
            </w:pPr>
            <w:r w:rsidRPr="0088089B">
              <w:rPr>
                <w:b/>
                <w:color w:val="000000"/>
                <w:sz w:val="20"/>
                <w:lang w:val="es-ES"/>
              </w:rPr>
              <w:t>Desembolso (%)</w:t>
            </w:r>
          </w:p>
        </w:tc>
      </w:tr>
      <w:tr w:rsidR="0088089B" w:rsidRPr="0088089B" w14:paraId="44BB8A26" w14:textId="77777777" w:rsidTr="001E2274">
        <w:tc>
          <w:tcPr>
            <w:tcW w:w="1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A3C9A6" w14:textId="77777777" w:rsidR="0088089B" w:rsidRPr="0088089B" w:rsidRDefault="0088089B" w:rsidP="0088089B">
            <w:pPr>
              <w:jc w:val="left"/>
              <w:rPr>
                <w:color w:val="000000"/>
                <w:sz w:val="20"/>
                <w:szCs w:val="20"/>
                <w:lang w:val="es-ES"/>
              </w:rPr>
            </w:pPr>
            <w:r w:rsidRPr="0088089B">
              <w:rPr>
                <w:color w:val="000000"/>
                <w:sz w:val="20"/>
                <w:lang w:val="es-ES"/>
              </w:rPr>
              <w:t>Primero</w:t>
            </w:r>
          </w:p>
        </w:tc>
        <w:tc>
          <w:tcPr>
            <w:tcW w:w="1870" w:type="dxa"/>
            <w:tcBorders>
              <w:top w:val="nil"/>
              <w:left w:val="nil"/>
              <w:bottom w:val="single" w:sz="4" w:space="0" w:color="auto"/>
              <w:right w:val="single" w:sz="4" w:space="0" w:color="auto"/>
            </w:tcBorders>
            <w:shd w:val="clear" w:color="auto" w:fill="auto"/>
            <w:noWrap/>
            <w:vAlign w:val="center"/>
            <w:hideMark/>
          </w:tcPr>
          <w:p w14:paraId="107BED4E" w14:textId="77777777" w:rsidR="0088089B" w:rsidRPr="0088089B" w:rsidRDefault="0088089B" w:rsidP="0088089B">
            <w:pPr>
              <w:jc w:val="center"/>
              <w:rPr>
                <w:color w:val="000000"/>
                <w:sz w:val="20"/>
                <w:szCs w:val="20"/>
                <w:lang w:val="es-ES"/>
              </w:rPr>
            </w:pPr>
            <w:r w:rsidRPr="0088089B">
              <w:rPr>
                <w:color w:val="000000"/>
                <w:sz w:val="20"/>
                <w:lang w:val="es-ES"/>
              </w:rPr>
              <w:t>Banco Mundial</w:t>
            </w:r>
          </w:p>
        </w:tc>
        <w:tc>
          <w:tcPr>
            <w:tcW w:w="1870" w:type="dxa"/>
            <w:tcBorders>
              <w:top w:val="nil"/>
              <w:left w:val="nil"/>
              <w:bottom w:val="single" w:sz="4" w:space="0" w:color="auto"/>
              <w:right w:val="single" w:sz="4" w:space="0" w:color="auto"/>
            </w:tcBorders>
            <w:shd w:val="clear" w:color="auto" w:fill="auto"/>
            <w:noWrap/>
            <w:vAlign w:val="center"/>
            <w:hideMark/>
          </w:tcPr>
          <w:p w14:paraId="7D4B7085" w14:textId="676B3788" w:rsidR="0088089B" w:rsidRPr="0088089B" w:rsidRDefault="0088089B" w:rsidP="0088089B">
            <w:pPr>
              <w:jc w:val="right"/>
              <w:rPr>
                <w:color w:val="000000"/>
                <w:sz w:val="20"/>
                <w:szCs w:val="20"/>
                <w:lang w:val="es-ES"/>
              </w:rPr>
            </w:pPr>
            <w:r w:rsidRPr="0088089B">
              <w:rPr>
                <w:color w:val="000000"/>
                <w:sz w:val="20"/>
                <w:lang w:val="es-ES"/>
              </w:rPr>
              <w:t xml:space="preserve">302 737 </w:t>
            </w:r>
          </w:p>
        </w:tc>
        <w:tc>
          <w:tcPr>
            <w:tcW w:w="1870" w:type="dxa"/>
            <w:tcBorders>
              <w:top w:val="nil"/>
              <w:left w:val="nil"/>
              <w:bottom w:val="single" w:sz="4" w:space="0" w:color="auto"/>
              <w:right w:val="single" w:sz="4" w:space="0" w:color="auto"/>
            </w:tcBorders>
            <w:shd w:val="clear" w:color="auto" w:fill="auto"/>
            <w:noWrap/>
            <w:vAlign w:val="center"/>
            <w:hideMark/>
          </w:tcPr>
          <w:p w14:paraId="52289E71" w14:textId="4C5736A8" w:rsidR="0088089B" w:rsidRPr="0088089B" w:rsidRDefault="0088089B" w:rsidP="0088089B">
            <w:pPr>
              <w:jc w:val="right"/>
              <w:rPr>
                <w:color w:val="000000"/>
                <w:sz w:val="20"/>
                <w:szCs w:val="20"/>
                <w:lang w:val="es-ES"/>
              </w:rPr>
            </w:pPr>
            <w:r w:rsidRPr="0088089B">
              <w:rPr>
                <w:color w:val="000000"/>
                <w:sz w:val="20"/>
                <w:lang w:val="es-ES"/>
              </w:rPr>
              <w:t xml:space="preserve">302 737 </w:t>
            </w:r>
          </w:p>
        </w:tc>
        <w:tc>
          <w:tcPr>
            <w:tcW w:w="1870" w:type="dxa"/>
            <w:tcBorders>
              <w:top w:val="nil"/>
              <w:left w:val="nil"/>
              <w:bottom w:val="single" w:sz="4" w:space="0" w:color="auto"/>
              <w:right w:val="single" w:sz="4" w:space="0" w:color="auto"/>
            </w:tcBorders>
            <w:shd w:val="clear" w:color="auto" w:fill="auto"/>
            <w:noWrap/>
            <w:vAlign w:val="center"/>
            <w:hideMark/>
          </w:tcPr>
          <w:p w14:paraId="7B534644" w14:textId="77777777" w:rsidR="0088089B" w:rsidRPr="0088089B" w:rsidRDefault="0088089B" w:rsidP="0088089B">
            <w:pPr>
              <w:jc w:val="center"/>
              <w:rPr>
                <w:color w:val="000000"/>
                <w:sz w:val="20"/>
                <w:szCs w:val="20"/>
                <w:lang w:val="es-ES"/>
              </w:rPr>
            </w:pPr>
            <w:r w:rsidRPr="0088089B">
              <w:rPr>
                <w:color w:val="000000"/>
                <w:sz w:val="20"/>
                <w:lang w:val="es-ES"/>
              </w:rPr>
              <w:t>100</w:t>
            </w:r>
          </w:p>
        </w:tc>
      </w:tr>
      <w:tr w:rsidR="0088089B" w:rsidRPr="0088089B" w14:paraId="2522A7EF" w14:textId="77777777" w:rsidTr="001E2274">
        <w:tc>
          <w:tcPr>
            <w:tcW w:w="1870" w:type="dxa"/>
            <w:vMerge/>
            <w:tcBorders>
              <w:top w:val="nil"/>
              <w:left w:val="single" w:sz="4" w:space="0" w:color="auto"/>
              <w:bottom w:val="single" w:sz="4" w:space="0" w:color="auto"/>
              <w:right w:val="single" w:sz="4" w:space="0" w:color="auto"/>
            </w:tcBorders>
            <w:vAlign w:val="center"/>
            <w:hideMark/>
          </w:tcPr>
          <w:p w14:paraId="69AFBFED" w14:textId="77777777" w:rsidR="0088089B" w:rsidRPr="0088089B" w:rsidRDefault="0088089B" w:rsidP="0088089B">
            <w:pPr>
              <w:jc w:val="left"/>
              <w:rPr>
                <w:color w:val="000000"/>
                <w:sz w:val="20"/>
                <w:szCs w:val="20"/>
                <w:lang w:val="es-ES" w:eastAsia="en-CA"/>
              </w:rPr>
            </w:pPr>
          </w:p>
        </w:tc>
        <w:tc>
          <w:tcPr>
            <w:tcW w:w="1870" w:type="dxa"/>
            <w:tcBorders>
              <w:top w:val="nil"/>
              <w:left w:val="nil"/>
              <w:bottom w:val="single" w:sz="4" w:space="0" w:color="auto"/>
              <w:right w:val="single" w:sz="4" w:space="0" w:color="auto"/>
            </w:tcBorders>
            <w:shd w:val="clear" w:color="auto" w:fill="auto"/>
            <w:noWrap/>
            <w:vAlign w:val="center"/>
            <w:hideMark/>
          </w:tcPr>
          <w:p w14:paraId="1662C510" w14:textId="77777777" w:rsidR="0088089B" w:rsidRPr="0088089B" w:rsidRDefault="0088089B" w:rsidP="0088089B">
            <w:pPr>
              <w:jc w:val="center"/>
              <w:rPr>
                <w:color w:val="000000"/>
                <w:sz w:val="20"/>
                <w:szCs w:val="20"/>
                <w:lang w:val="es-ES"/>
              </w:rPr>
            </w:pPr>
            <w:r w:rsidRPr="0088089B">
              <w:rPr>
                <w:color w:val="000000"/>
                <w:sz w:val="20"/>
                <w:lang w:val="es-ES"/>
              </w:rPr>
              <w:t>Japón</w:t>
            </w:r>
          </w:p>
        </w:tc>
        <w:tc>
          <w:tcPr>
            <w:tcW w:w="1870" w:type="dxa"/>
            <w:tcBorders>
              <w:top w:val="nil"/>
              <w:left w:val="nil"/>
              <w:bottom w:val="single" w:sz="4" w:space="0" w:color="auto"/>
              <w:right w:val="single" w:sz="4" w:space="0" w:color="auto"/>
            </w:tcBorders>
            <w:shd w:val="clear" w:color="auto" w:fill="auto"/>
            <w:noWrap/>
            <w:vAlign w:val="center"/>
            <w:hideMark/>
          </w:tcPr>
          <w:p w14:paraId="662EA1BF" w14:textId="3B480487" w:rsidR="0088089B" w:rsidRPr="0088089B" w:rsidRDefault="0088089B" w:rsidP="0088089B">
            <w:pPr>
              <w:jc w:val="right"/>
              <w:rPr>
                <w:color w:val="000000"/>
                <w:sz w:val="20"/>
                <w:szCs w:val="20"/>
                <w:lang w:val="es-ES"/>
              </w:rPr>
            </w:pPr>
            <w:r w:rsidRPr="0088089B">
              <w:rPr>
                <w:color w:val="000000"/>
                <w:sz w:val="20"/>
                <w:lang w:val="es-ES"/>
              </w:rPr>
              <w:t xml:space="preserve">43 250 </w:t>
            </w:r>
          </w:p>
        </w:tc>
        <w:tc>
          <w:tcPr>
            <w:tcW w:w="1870" w:type="dxa"/>
            <w:tcBorders>
              <w:top w:val="nil"/>
              <w:left w:val="nil"/>
              <w:bottom w:val="single" w:sz="4" w:space="0" w:color="auto"/>
              <w:right w:val="single" w:sz="4" w:space="0" w:color="auto"/>
            </w:tcBorders>
            <w:shd w:val="clear" w:color="auto" w:fill="auto"/>
            <w:noWrap/>
            <w:vAlign w:val="center"/>
            <w:hideMark/>
          </w:tcPr>
          <w:p w14:paraId="25FFF94D" w14:textId="11091F05" w:rsidR="0088089B" w:rsidRPr="0088089B" w:rsidRDefault="0088089B" w:rsidP="0088089B">
            <w:pPr>
              <w:jc w:val="right"/>
              <w:rPr>
                <w:color w:val="000000"/>
                <w:sz w:val="20"/>
                <w:szCs w:val="20"/>
                <w:lang w:val="es-ES"/>
              </w:rPr>
            </w:pPr>
            <w:r w:rsidRPr="0088089B">
              <w:rPr>
                <w:color w:val="000000"/>
                <w:sz w:val="20"/>
                <w:lang w:val="es-ES"/>
              </w:rPr>
              <w:t xml:space="preserve">41 817 </w:t>
            </w:r>
          </w:p>
        </w:tc>
        <w:tc>
          <w:tcPr>
            <w:tcW w:w="1870" w:type="dxa"/>
            <w:tcBorders>
              <w:top w:val="nil"/>
              <w:left w:val="nil"/>
              <w:bottom w:val="single" w:sz="4" w:space="0" w:color="auto"/>
              <w:right w:val="single" w:sz="4" w:space="0" w:color="auto"/>
            </w:tcBorders>
            <w:shd w:val="clear" w:color="auto" w:fill="auto"/>
            <w:noWrap/>
            <w:vAlign w:val="center"/>
            <w:hideMark/>
          </w:tcPr>
          <w:p w14:paraId="680BBB70" w14:textId="77777777" w:rsidR="0088089B" w:rsidRPr="0088089B" w:rsidRDefault="0088089B" w:rsidP="0088089B">
            <w:pPr>
              <w:jc w:val="center"/>
              <w:rPr>
                <w:color w:val="000000"/>
                <w:sz w:val="20"/>
                <w:szCs w:val="20"/>
                <w:lang w:val="es-ES"/>
              </w:rPr>
            </w:pPr>
            <w:r w:rsidRPr="0088089B">
              <w:rPr>
                <w:color w:val="000000"/>
                <w:sz w:val="20"/>
                <w:lang w:val="es-ES"/>
              </w:rPr>
              <w:t>97</w:t>
            </w:r>
          </w:p>
        </w:tc>
      </w:tr>
      <w:tr w:rsidR="0088089B" w:rsidRPr="0088089B" w14:paraId="52D05C9C" w14:textId="77777777" w:rsidTr="001E2274">
        <w:tc>
          <w:tcPr>
            <w:tcW w:w="1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91330C" w14:textId="77777777" w:rsidR="0088089B" w:rsidRPr="0088089B" w:rsidRDefault="0088089B" w:rsidP="0088089B">
            <w:pPr>
              <w:jc w:val="left"/>
              <w:rPr>
                <w:color w:val="000000"/>
                <w:sz w:val="20"/>
                <w:szCs w:val="20"/>
                <w:lang w:val="es-ES"/>
              </w:rPr>
            </w:pPr>
            <w:r w:rsidRPr="0088089B">
              <w:rPr>
                <w:color w:val="000000"/>
                <w:sz w:val="20"/>
                <w:lang w:val="es-ES"/>
              </w:rPr>
              <w:t>Segundo</w:t>
            </w:r>
          </w:p>
        </w:tc>
        <w:tc>
          <w:tcPr>
            <w:tcW w:w="1870" w:type="dxa"/>
            <w:tcBorders>
              <w:top w:val="nil"/>
              <w:left w:val="nil"/>
              <w:bottom w:val="single" w:sz="4" w:space="0" w:color="auto"/>
              <w:right w:val="single" w:sz="4" w:space="0" w:color="auto"/>
            </w:tcBorders>
            <w:shd w:val="clear" w:color="auto" w:fill="auto"/>
            <w:noWrap/>
            <w:vAlign w:val="center"/>
            <w:hideMark/>
          </w:tcPr>
          <w:p w14:paraId="0660282F" w14:textId="77777777" w:rsidR="0088089B" w:rsidRPr="0088089B" w:rsidRDefault="0088089B" w:rsidP="0088089B">
            <w:pPr>
              <w:jc w:val="center"/>
              <w:rPr>
                <w:color w:val="000000"/>
                <w:sz w:val="20"/>
                <w:szCs w:val="20"/>
                <w:lang w:val="es-ES"/>
              </w:rPr>
            </w:pPr>
            <w:r w:rsidRPr="0088089B">
              <w:rPr>
                <w:color w:val="000000"/>
                <w:sz w:val="20"/>
                <w:lang w:val="es-ES"/>
              </w:rPr>
              <w:t>Banco Mundial</w:t>
            </w:r>
          </w:p>
        </w:tc>
        <w:tc>
          <w:tcPr>
            <w:tcW w:w="1870" w:type="dxa"/>
            <w:tcBorders>
              <w:top w:val="nil"/>
              <w:left w:val="nil"/>
              <w:bottom w:val="single" w:sz="4" w:space="0" w:color="auto"/>
              <w:right w:val="single" w:sz="4" w:space="0" w:color="auto"/>
            </w:tcBorders>
            <w:shd w:val="clear" w:color="auto" w:fill="auto"/>
            <w:noWrap/>
            <w:vAlign w:val="center"/>
            <w:hideMark/>
          </w:tcPr>
          <w:p w14:paraId="31F237DD" w14:textId="77777777" w:rsidR="0088089B" w:rsidRPr="0088089B" w:rsidRDefault="0088089B" w:rsidP="0088089B">
            <w:pPr>
              <w:jc w:val="right"/>
              <w:rPr>
                <w:color w:val="000000"/>
                <w:sz w:val="20"/>
                <w:szCs w:val="20"/>
                <w:lang w:val="es-ES"/>
              </w:rPr>
            </w:pPr>
            <w:r w:rsidRPr="0088089B">
              <w:rPr>
                <w:color w:val="000000"/>
                <w:sz w:val="20"/>
                <w:lang w:val="es-ES"/>
              </w:rPr>
              <w:t xml:space="preserve">2179193* </w:t>
            </w:r>
          </w:p>
        </w:tc>
        <w:tc>
          <w:tcPr>
            <w:tcW w:w="1870" w:type="dxa"/>
            <w:tcBorders>
              <w:top w:val="nil"/>
              <w:left w:val="nil"/>
              <w:bottom w:val="single" w:sz="4" w:space="0" w:color="auto"/>
              <w:right w:val="single" w:sz="4" w:space="0" w:color="auto"/>
            </w:tcBorders>
            <w:shd w:val="clear" w:color="auto" w:fill="auto"/>
            <w:noWrap/>
            <w:vAlign w:val="center"/>
            <w:hideMark/>
          </w:tcPr>
          <w:p w14:paraId="3455FA3E" w14:textId="2B1EECA9" w:rsidR="0088089B" w:rsidRPr="0088089B" w:rsidRDefault="0088089B" w:rsidP="0088089B">
            <w:pPr>
              <w:jc w:val="right"/>
              <w:rPr>
                <w:color w:val="000000"/>
                <w:sz w:val="20"/>
                <w:szCs w:val="20"/>
                <w:lang w:val="es-ES"/>
              </w:rPr>
            </w:pPr>
            <w:r w:rsidRPr="0088089B">
              <w:rPr>
                <w:color w:val="000000"/>
                <w:sz w:val="20"/>
                <w:lang w:val="es-ES"/>
              </w:rPr>
              <w:t xml:space="preserve">495 329 </w:t>
            </w:r>
          </w:p>
        </w:tc>
        <w:tc>
          <w:tcPr>
            <w:tcW w:w="1870" w:type="dxa"/>
            <w:tcBorders>
              <w:top w:val="nil"/>
              <w:left w:val="nil"/>
              <w:bottom w:val="single" w:sz="4" w:space="0" w:color="auto"/>
              <w:right w:val="single" w:sz="4" w:space="0" w:color="auto"/>
            </w:tcBorders>
            <w:shd w:val="clear" w:color="auto" w:fill="auto"/>
            <w:noWrap/>
            <w:vAlign w:val="center"/>
            <w:hideMark/>
          </w:tcPr>
          <w:p w14:paraId="616DF802" w14:textId="77777777" w:rsidR="0088089B" w:rsidRPr="0088089B" w:rsidRDefault="0088089B" w:rsidP="0088089B">
            <w:pPr>
              <w:jc w:val="center"/>
              <w:rPr>
                <w:color w:val="000000"/>
                <w:sz w:val="20"/>
                <w:szCs w:val="20"/>
                <w:lang w:val="es-ES"/>
              </w:rPr>
            </w:pPr>
            <w:r w:rsidRPr="0088089B">
              <w:rPr>
                <w:color w:val="000000"/>
                <w:sz w:val="20"/>
                <w:lang w:val="es-ES"/>
              </w:rPr>
              <w:t>23</w:t>
            </w:r>
          </w:p>
        </w:tc>
      </w:tr>
      <w:tr w:rsidR="0088089B" w:rsidRPr="0088089B" w14:paraId="4DD4F258" w14:textId="77777777" w:rsidTr="001E2274">
        <w:tc>
          <w:tcPr>
            <w:tcW w:w="1870" w:type="dxa"/>
            <w:vMerge/>
            <w:tcBorders>
              <w:top w:val="nil"/>
              <w:left w:val="single" w:sz="4" w:space="0" w:color="auto"/>
              <w:bottom w:val="single" w:sz="4" w:space="0" w:color="auto"/>
              <w:right w:val="single" w:sz="4" w:space="0" w:color="auto"/>
            </w:tcBorders>
            <w:vAlign w:val="center"/>
            <w:hideMark/>
          </w:tcPr>
          <w:p w14:paraId="1E7DBE7E" w14:textId="77777777" w:rsidR="0088089B" w:rsidRPr="0088089B" w:rsidRDefault="0088089B" w:rsidP="0088089B">
            <w:pPr>
              <w:jc w:val="left"/>
              <w:rPr>
                <w:color w:val="000000"/>
                <w:sz w:val="20"/>
                <w:szCs w:val="20"/>
                <w:lang w:val="es-ES" w:eastAsia="en-CA"/>
              </w:rPr>
            </w:pPr>
          </w:p>
        </w:tc>
        <w:tc>
          <w:tcPr>
            <w:tcW w:w="1870" w:type="dxa"/>
            <w:tcBorders>
              <w:top w:val="nil"/>
              <w:left w:val="nil"/>
              <w:bottom w:val="single" w:sz="4" w:space="0" w:color="auto"/>
              <w:right w:val="single" w:sz="4" w:space="0" w:color="auto"/>
            </w:tcBorders>
            <w:shd w:val="clear" w:color="auto" w:fill="auto"/>
            <w:noWrap/>
            <w:vAlign w:val="center"/>
            <w:hideMark/>
          </w:tcPr>
          <w:p w14:paraId="590197E0" w14:textId="77777777" w:rsidR="0088089B" w:rsidRPr="0088089B" w:rsidRDefault="0088089B" w:rsidP="0088089B">
            <w:pPr>
              <w:jc w:val="center"/>
              <w:rPr>
                <w:color w:val="000000"/>
                <w:sz w:val="20"/>
                <w:szCs w:val="20"/>
                <w:lang w:val="es-ES"/>
              </w:rPr>
            </w:pPr>
            <w:r w:rsidRPr="0088089B">
              <w:rPr>
                <w:color w:val="000000"/>
                <w:sz w:val="20"/>
                <w:lang w:val="es-ES"/>
              </w:rPr>
              <w:t>Japón</w:t>
            </w:r>
          </w:p>
        </w:tc>
        <w:tc>
          <w:tcPr>
            <w:tcW w:w="1870" w:type="dxa"/>
            <w:tcBorders>
              <w:top w:val="nil"/>
              <w:left w:val="nil"/>
              <w:bottom w:val="single" w:sz="4" w:space="0" w:color="auto"/>
              <w:right w:val="single" w:sz="4" w:space="0" w:color="auto"/>
            </w:tcBorders>
            <w:shd w:val="clear" w:color="auto" w:fill="auto"/>
            <w:noWrap/>
            <w:vAlign w:val="center"/>
            <w:hideMark/>
          </w:tcPr>
          <w:p w14:paraId="2D2C5DBE" w14:textId="64D80378" w:rsidR="0088089B" w:rsidRPr="0088089B" w:rsidRDefault="0088089B" w:rsidP="0088089B">
            <w:pPr>
              <w:jc w:val="right"/>
              <w:rPr>
                <w:color w:val="000000"/>
                <w:sz w:val="20"/>
                <w:szCs w:val="20"/>
                <w:lang w:val="es-ES"/>
              </w:rPr>
            </w:pPr>
            <w:r w:rsidRPr="0088089B">
              <w:rPr>
                <w:color w:val="000000"/>
                <w:sz w:val="20"/>
                <w:lang w:val="es-ES"/>
              </w:rPr>
              <w:t xml:space="preserve">163 980 </w:t>
            </w:r>
          </w:p>
        </w:tc>
        <w:tc>
          <w:tcPr>
            <w:tcW w:w="1870" w:type="dxa"/>
            <w:tcBorders>
              <w:top w:val="nil"/>
              <w:left w:val="nil"/>
              <w:bottom w:val="single" w:sz="4" w:space="0" w:color="auto"/>
              <w:right w:val="single" w:sz="4" w:space="0" w:color="auto"/>
            </w:tcBorders>
            <w:shd w:val="clear" w:color="auto" w:fill="auto"/>
            <w:noWrap/>
            <w:vAlign w:val="center"/>
            <w:hideMark/>
          </w:tcPr>
          <w:p w14:paraId="1A15150C" w14:textId="77777777" w:rsidR="0088089B" w:rsidRPr="0088089B" w:rsidRDefault="0088089B" w:rsidP="0088089B">
            <w:pPr>
              <w:jc w:val="right"/>
              <w:rPr>
                <w:color w:val="000000"/>
                <w:sz w:val="20"/>
                <w:szCs w:val="20"/>
                <w:lang w:val="es-ES"/>
              </w:rPr>
            </w:pPr>
            <w:r w:rsidRPr="0088089B">
              <w:rPr>
                <w:color w:val="000000"/>
                <w:sz w:val="20"/>
                <w:lang w:val="es-ES"/>
              </w:rPr>
              <w:t>0</w:t>
            </w:r>
          </w:p>
        </w:tc>
        <w:tc>
          <w:tcPr>
            <w:tcW w:w="1870" w:type="dxa"/>
            <w:tcBorders>
              <w:top w:val="nil"/>
              <w:left w:val="nil"/>
              <w:bottom w:val="single" w:sz="4" w:space="0" w:color="auto"/>
              <w:right w:val="single" w:sz="4" w:space="0" w:color="auto"/>
            </w:tcBorders>
            <w:shd w:val="clear" w:color="auto" w:fill="auto"/>
            <w:noWrap/>
            <w:vAlign w:val="center"/>
            <w:hideMark/>
          </w:tcPr>
          <w:p w14:paraId="35D52ABA" w14:textId="77777777" w:rsidR="0088089B" w:rsidRPr="0088089B" w:rsidRDefault="0088089B" w:rsidP="0088089B">
            <w:pPr>
              <w:jc w:val="center"/>
              <w:rPr>
                <w:color w:val="000000"/>
                <w:sz w:val="20"/>
                <w:szCs w:val="20"/>
                <w:lang w:val="es-ES"/>
              </w:rPr>
            </w:pPr>
            <w:r w:rsidRPr="0088089B">
              <w:rPr>
                <w:color w:val="000000"/>
                <w:sz w:val="20"/>
                <w:lang w:val="es-ES"/>
              </w:rPr>
              <w:t>0</w:t>
            </w:r>
          </w:p>
        </w:tc>
      </w:tr>
      <w:tr w:rsidR="0088089B" w:rsidRPr="0088089B" w14:paraId="6EA312CF" w14:textId="77777777" w:rsidTr="001E2274">
        <w:tc>
          <w:tcPr>
            <w:tcW w:w="1870" w:type="dxa"/>
            <w:tcBorders>
              <w:top w:val="nil"/>
              <w:left w:val="single" w:sz="4" w:space="0" w:color="auto"/>
              <w:bottom w:val="single" w:sz="4" w:space="0" w:color="auto"/>
              <w:right w:val="single" w:sz="4" w:space="0" w:color="auto"/>
            </w:tcBorders>
            <w:shd w:val="clear" w:color="auto" w:fill="auto"/>
            <w:noWrap/>
            <w:vAlign w:val="center"/>
            <w:hideMark/>
          </w:tcPr>
          <w:p w14:paraId="7D61EC76" w14:textId="77777777" w:rsidR="0088089B" w:rsidRPr="0088089B" w:rsidRDefault="0088089B" w:rsidP="0088089B">
            <w:pPr>
              <w:jc w:val="left"/>
              <w:rPr>
                <w:color w:val="000000"/>
                <w:sz w:val="20"/>
                <w:szCs w:val="20"/>
                <w:lang w:val="es-ES"/>
              </w:rPr>
            </w:pPr>
            <w:r w:rsidRPr="0088089B">
              <w:rPr>
                <w:color w:val="000000"/>
                <w:sz w:val="20"/>
                <w:lang w:val="es-ES"/>
              </w:rPr>
              <w:t>Total</w:t>
            </w:r>
          </w:p>
        </w:tc>
        <w:tc>
          <w:tcPr>
            <w:tcW w:w="1870" w:type="dxa"/>
            <w:tcBorders>
              <w:top w:val="nil"/>
              <w:left w:val="nil"/>
              <w:bottom w:val="single" w:sz="4" w:space="0" w:color="auto"/>
              <w:right w:val="single" w:sz="4" w:space="0" w:color="auto"/>
            </w:tcBorders>
            <w:shd w:val="clear" w:color="auto" w:fill="auto"/>
            <w:noWrap/>
            <w:vAlign w:val="center"/>
            <w:hideMark/>
          </w:tcPr>
          <w:p w14:paraId="30B96A8C" w14:textId="77777777" w:rsidR="0088089B" w:rsidRPr="0088089B" w:rsidRDefault="0088089B" w:rsidP="0088089B">
            <w:pPr>
              <w:jc w:val="left"/>
              <w:rPr>
                <w:color w:val="000000"/>
                <w:sz w:val="20"/>
                <w:szCs w:val="20"/>
                <w:lang w:val="es-ES"/>
              </w:rPr>
            </w:pPr>
            <w:r w:rsidRPr="0088089B">
              <w:rPr>
                <w:color w:val="000000"/>
                <w:sz w:val="20"/>
                <w:lang w:val="es-ES"/>
              </w:rPr>
              <w:t> </w:t>
            </w:r>
          </w:p>
        </w:tc>
        <w:tc>
          <w:tcPr>
            <w:tcW w:w="1870" w:type="dxa"/>
            <w:tcBorders>
              <w:top w:val="nil"/>
              <w:left w:val="nil"/>
              <w:bottom w:val="single" w:sz="4" w:space="0" w:color="auto"/>
              <w:right w:val="single" w:sz="4" w:space="0" w:color="auto"/>
            </w:tcBorders>
            <w:shd w:val="clear" w:color="auto" w:fill="auto"/>
            <w:noWrap/>
            <w:vAlign w:val="center"/>
            <w:hideMark/>
          </w:tcPr>
          <w:p w14:paraId="5439441E" w14:textId="77777777" w:rsidR="0088089B" w:rsidRPr="0088089B" w:rsidRDefault="0088089B" w:rsidP="0088089B">
            <w:pPr>
              <w:jc w:val="right"/>
              <w:rPr>
                <w:color w:val="000000"/>
                <w:sz w:val="20"/>
                <w:szCs w:val="20"/>
                <w:lang w:val="es-ES"/>
              </w:rPr>
            </w:pPr>
            <w:r w:rsidRPr="0088089B">
              <w:rPr>
                <w:color w:val="000000"/>
                <w:sz w:val="20"/>
                <w:lang w:val="es-ES"/>
              </w:rPr>
              <w:t xml:space="preserve">2689160* </w:t>
            </w:r>
          </w:p>
        </w:tc>
        <w:tc>
          <w:tcPr>
            <w:tcW w:w="1870" w:type="dxa"/>
            <w:tcBorders>
              <w:top w:val="nil"/>
              <w:left w:val="nil"/>
              <w:bottom w:val="single" w:sz="4" w:space="0" w:color="auto"/>
              <w:right w:val="single" w:sz="4" w:space="0" w:color="auto"/>
            </w:tcBorders>
            <w:shd w:val="clear" w:color="auto" w:fill="auto"/>
            <w:noWrap/>
            <w:vAlign w:val="center"/>
            <w:hideMark/>
          </w:tcPr>
          <w:p w14:paraId="33F702C6" w14:textId="70555240" w:rsidR="0088089B" w:rsidRPr="0088089B" w:rsidRDefault="0088089B" w:rsidP="0088089B">
            <w:pPr>
              <w:jc w:val="right"/>
              <w:rPr>
                <w:color w:val="000000"/>
                <w:sz w:val="20"/>
                <w:szCs w:val="20"/>
                <w:lang w:val="es-ES"/>
              </w:rPr>
            </w:pPr>
            <w:r w:rsidRPr="0088089B">
              <w:rPr>
                <w:color w:val="000000"/>
                <w:sz w:val="20"/>
                <w:lang w:val="es-ES"/>
              </w:rPr>
              <w:t>839 883</w:t>
            </w:r>
          </w:p>
        </w:tc>
        <w:tc>
          <w:tcPr>
            <w:tcW w:w="1870" w:type="dxa"/>
            <w:tcBorders>
              <w:top w:val="nil"/>
              <w:left w:val="nil"/>
              <w:bottom w:val="single" w:sz="4" w:space="0" w:color="auto"/>
              <w:right w:val="single" w:sz="4" w:space="0" w:color="auto"/>
            </w:tcBorders>
            <w:shd w:val="clear" w:color="auto" w:fill="auto"/>
            <w:noWrap/>
            <w:vAlign w:val="center"/>
            <w:hideMark/>
          </w:tcPr>
          <w:p w14:paraId="26323189" w14:textId="77777777" w:rsidR="0088089B" w:rsidRPr="0088089B" w:rsidRDefault="0088089B" w:rsidP="0088089B">
            <w:pPr>
              <w:jc w:val="center"/>
              <w:rPr>
                <w:color w:val="000000"/>
                <w:sz w:val="20"/>
                <w:szCs w:val="20"/>
                <w:lang w:val="es-ES"/>
              </w:rPr>
            </w:pPr>
            <w:r w:rsidRPr="0088089B">
              <w:rPr>
                <w:color w:val="000000"/>
                <w:sz w:val="20"/>
                <w:lang w:val="es-ES"/>
              </w:rPr>
              <w:t>31</w:t>
            </w:r>
          </w:p>
        </w:tc>
      </w:tr>
    </w:tbl>
    <w:p w14:paraId="01157854" w14:textId="77777777" w:rsidR="0088089B" w:rsidRPr="0088089B" w:rsidRDefault="0088089B" w:rsidP="0088089B">
      <w:pPr>
        <w:rPr>
          <w:sz w:val="18"/>
          <w:szCs w:val="18"/>
          <w:lang w:val="es-ES"/>
        </w:rPr>
      </w:pPr>
      <w:r w:rsidRPr="0088089B">
        <w:rPr>
          <w:sz w:val="18"/>
          <w:lang w:val="es-ES"/>
        </w:rPr>
        <w:t>* Se devolverán 613 568 $EUA (más gastos de apoyo del organismo) a la 87ª reunión.</w:t>
      </w:r>
    </w:p>
    <w:p w14:paraId="2FB5DC00" w14:textId="77777777" w:rsidR="0088089B" w:rsidRPr="0088089B" w:rsidRDefault="0088089B" w:rsidP="0088089B">
      <w:pPr>
        <w:rPr>
          <w:b/>
          <w:lang w:val="es-ES"/>
        </w:rPr>
      </w:pPr>
    </w:p>
    <w:p w14:paraId="6EC5A94A" w14:textId="77777777" w:rsidR="0088089B" w:rsidRPr="0088089B" w:rsidRDefault="0088089B" w:rsidP="0088089B">
      <w:pPr>
        <w:rPr>
          <w:u w:val="single"/>
          <w:lang w:val="es-ES"/>
        </w:rPr>
      </w:pPr>
      <w:r w:rsidRPr="0088089B">
        <w:rPr>
          <w:u w:val="single"/>
          <w:lang w:val="es-ES"/>
        </w:rPr>
        <w:t>Plan de ejecución para el tercer tramo del PGEH</w:t>
      </w:r>
    </w:p>
    <w:p w14:paraId="2FFC778E" w14:textId="77777777" w:rsidR="0088089B" w:rsidRPr="0088089B" w:rsidRDefault="0088089B" w:rsidP="0088089B">
      <w:pPr>
        <w:rPr>
          <w:lang w:val="es-ES"/>
        </w:rPr>
      </w:pPr>
    </w:p>
    <w:p w14:paraId="0383419B" w14:textId="77777777" w:rsidR="0088089B" w:rsidRPr="0088089B" w:rsidRDefault="0088089B" w:rsidP="0088089B">
      <w:pPr>
        <w:pStyle w:val="Heading1"/>
        <w:rPr>
          <w:lang w:val="es-ES"/>
        </w:rPr>
      </w:pPr>
      <w:r w:rsidRPr="0088089B">
        <w:rPr>
          <w:lang w:val="es-ES"/>
        </w:rPr>
        <w:t>Las actividades siguientes se ejecutarán durante el período 2021-2022</w:t>
      </w:r>
      <w:r w:rsidRPr="0088089B">
        <w:rPr>
          <w:rStyle w:val="FootnoteTextChar"/>
          <w:vertAlign w:val="superscript"/>
          <w:lang w:val="es-ES"/>
        </w:rPr>
        <w:footnoteReference w:id="4"/>
      </w:r>
      <w:r w:rsidRPr="0088089B">
        <w:rPr>
          <w:lang w:val="es-ES"/>
        </w:rPr>
        <w:t>:</w:t>
      </w:r>
    </w:p>
    <w:p w14:paraId="5D788191" w14:textId="77777777" w:rsidR="0088089B" w:rsidRPr="0088089B" w:rsidRDefault="0088089B" w:rsidP="0088089B">
      <w:pPr>
        <w:pStyle w:val="Heading2"/>
        <w:widowControl/>
        <w:rPr>
          <w:lang w:val="es-ES"/>
        </w:rPr>
      </w:pPr>
      <w:r w:rsidRPr="0088089B">
        <w:rPr>
          <w:lang w:val="es-ES"/>
        </w:rPr>
        <w:t>Seis talleres de capacitación para aproximadamente 300 funcionarios de aduanas sobre el control y la supervisión de las importaciones y exportaciones de HCFC (Banco Mundial) (92 284 $EUA);</w:t>
      </w:r>
    </w:p>
    <w:p w14:paraId="730F8298" w14:textId="77777777" w:rsidR="0088089B" w:rsidRPr="0088089B" w:rsidRDefault="0088089B" w:rsidP="0088089B">
      <w:pPr>
        <w:pStyle w:val="Heading2"/>
        <w:widowControl/>
        <w:rPr>
          <w:lang w:val="es-ES"/>
        </w:rPr>
      </w:pPr>
      <w:r w:rsidRPr="0088089B">
        <w:rPr>
          <w:lang w:val="es-ES"/>
        </w:rPr>
        <w:t>Continuación de la asistencia técnica para apoyar a las empresas en la preparación y ejecución de subproyectos en los sectores de fabricación de espumas y de equipos de refrigeración y aire acondicionado (12 800 $EUA), revisión de las propuestas de subproyectos (20 000 $EUA) y finalización de la evaluación del manejo de fugas (17 000 $EUA) (Banco Mundial);</w:t>
      </w:r>
    </w:p>
    <w:p w14:paraId="35120924" w14:textId="2F3EFFE6" w:rsidR="0088089B" w:rsidRPr="0088089B" w:rsidRDefault="0088089B" w:rsidP="0088089B">
      <w:pPr>
        <w:pStyle w:val="Heading2"/>
        <w:widowControl/>
        <w:rPr>
          <w:lang w:val="es-ES"/>
        </w:rPr>
      </w:pPr>
      <w:r w:rsidRPr="0088089B">
        <w:rPr>
          <w:lang w:val="es-ES"/>
        </w:rPr>
        <w:lastRenderedPageBreak/>
        <w:t>Continuación de la asistencia técnica sobre el uso seguro del H</w:t>
      </w:r>
      <w:r>
        <w:rPr>
          <w:lang w:val="es-ES"/>
        </w:rPr>
        <w:t>FC</w:t>
      </w:r>
      <w:r>
        <w:rPr>
          <w:lang w:val="es-ES"/>
        </w:rPr>
        <w:noBreakHyphen/>
      </w:r>
      <w:r w:rsidRPr="0088089B">
        <w:rPr>
          <w:lang w:val="es-ES"/>
        </w:rPr>
        <w:t xml:space="preserve">32 en la fabricación de equipos de A/A (Gobierno del Japón) (191 813 $EUA); </w:t>
      </w:r>
    </w:p>
    <w:p w14:paraId="0FF570BD" w14:textId="77777777" w:rsidR="0088089B" w:rsidRPr="0088089B" w:rsidRDefault="0088089B" w:rsidP="0088089B">
      <w:pPr>
        <w:pStyle w:val="Heading2"/>
        <w:widowControl/>
        <w:rPr>
          <w:lang w:val="es-ES"/>
        </w:rPr>
      </w:pPr>
      <w:r w:rsidRPr="0088089B">
        <w:rPr>
          <w:lang w:val="es-ES"/>
        </w:rPr>
        <w:t>Setenta y dos talleres de capacitación (30 a 35 participantes cada uno) para técnicos sobre buenas prácticas de servicio y mantenimiento y manejo seguro de refrigerantes inflamables (Banco Mundial) (332 200 $EUA);</w:t>
      </w:r>
    </w:p>
    <w:p w14:paraId="55F2C126" w14:textId="77777777" w:rsidR="0088089B" w:rsidRPr="0088089B" w:rsidRDefault="0088089B" w:rsidP="0088089B">
      <w:pPr>
        <w:pStyle w:val="Heading2"/>
        <w:widowControl/>
        <w:rPr>
          <w:lang w:val="es-ES"/>
        </w:rPr>
      </w:pPr>
      <w:r w:rsidRPr="0088089B">
        <w:rPr>
          <w:lang w:val="es-ES"/>
        </w:rPr>
        <w:t>Entrega de 65 juegos de herramientas para institutos de capacitación vocacional seleccionados (521 809 $EUA) y 100 juegos de herramientas para talleres de servicio y mantenimiento (78 543 $EUA) (Banco Mundial);</w:t>
      </w:r>
    </w:p>
    <w:p w14:paraId="5CE8BB60" w14:textId="6F60D2C9" w:rsidR="0088089B" w:rsidRPr="0088089B" w:rsidRDefault="0088089B" w:rsidP="0088089B">
      <w:pPr>
        <w:pStyle w:val="Heading2"/>
        <w:widowControl/>
        <w:rPr>
          <w:lang w:val="es-ES"/>
        </w:rPr>
      </w:pPr>
      <w:r w:rsidRPr="0088089B">
        <w:rPr>
          <w:lang w:val="es-ES"/>
        </w:rPr>
        <w:t>Conversión de las cuatro empresas fabricantes de equipos de A/A a H</w:t>
      </w:r>
      <w:r>
        <w:rPr>
          <w:lang w:val="es-ES"/>
        </w:rPr>
        <w:t>FC</w:t>
      </w:r>
      <w:r>
        <w:rPr>
          <w:lang w:val="es-ES"/>
        </w:rPr>
        <w:noBreakHyphen/>
      </w:r>
      <w:r w:rsidRPr="0088089B">
        <w:rPr>
          <w:lang w:val="es-ES"/>
        </w:rPr>
        <w:t>32, de al menos una empresa fabricante de equipos refrigeración a H</w:t>
      </w:r>
      <w:r>
        <w:rPr>
          <w:lang w:val="es-ES"/>
        </w:rPr>
        <w:t>FC</w:t>
      </w:r>
      <w:r>
        <w:rPr>
          <w:lang w:val="es-ES"/>
        </w:rPr>
        <w:noBreakHyphen/>
      </w:r>
      <w:r w:rsidRPr="0088089B">
        <w:rPr>
          <w:lang w:val="es-ES"/>
        </w:rPr>
        <w:t>32, amoníaco, hidrocarburos u otra tecnología de bajo potencial de calentamiento atmosférico (PCA), y de al menos una empresa fabricante de espumas (Tran Huu Duc) a ciclopentano (2 091 509 $EUA) (Banco Mundial);</w:t>
      </w:r>
    </w:p>
    <w:p w14:paraId="67693348" w14:textId="72CBB3E2" w:rsidR="0088089B" w:rsidRPr="0088089B" w:rsidRDefault="0088089B" w:rsidP="0088089B">
      <w:pPr>
        <w:pStyle w:val="Heading2"/>
        <w:widowControl/>
        <w:rPr>
          <w:lang w:val="es-ES"/>
        </w:rPr>
      </w:pPr>
      <w:r w:rsidRPr="0088089B">
        <w:rPr>
          <w:lang w:val="es-ES"/>
        </w:rPr>
        <w:t>Actividades de extensión y seis o siete talleres técnicos (30 participantes cada uno, del Gobierno y de la industria) para sensibilizar acerca de las tecnologías alternativas de bajo PCA y las próximas prohibiciones; y un viaje de estudios a Tailandia para adquirir experiencia en la elaboración y aplicación de la prohibición de las importaciones y la fabricación de unidades de A/A a base de HC</w:t>
      </w:r>
      <w:r>
        <w:rPr>
          <w:lang w:val="es-ES"/>
        </w:rPr>
        <w:t>FC</w:t>
      </w:r>
      <w:r>
        <w:rPr>
          <w:lang w:val="es-ES"/>
        </w:rPr>
        <w:noBreakHyphen/>
      </w:r>
      <w:r w:rsidRPr="0088089B">
        <w:rPr>
          <w:lang w:val="es-ES"/>
        </w:rPr>
        <w:t>22, las normas para el uso seguro de unidades de A/A a base de H</w:t>
      </w:r>
      <w:r>
        <w:rPr>
          <w:lang w:val="es-ES"/>
        </w:rPr>
        <w:t>FC</w:t>
      </w:r>
      <w:r>
        <w:rPr>
          <w:lang w:val="es-ES"/>
        </w:rPr>
        <w:noBreakHyphen/>
      </w:r>
      <w:r w:rsidRPr="0088089B">
        <w:rPr>
          <w:lang w:val="es-ES"/>
        </w:rPr>
        <w:t>32 en edificios, la comercialización de unidades de A/A a base de H</w:t>
      </w:r>
      <w:r>
        <w:rPr>
          <w:lang w:val="es-ES"/>
        </w:rPr>
        <w:t>FC</w:t>
      </w:r>
      <w:r>
        <w:rPr>
          <w:lang w:val="es-ES"/>
        </w:rPr>
        <w:noBreakHyphen/>
      </w:r>
      <w:r w:rsidRPr="0088089B">
        <w:rPr>
          <w:lang w:val="es-ES"/>
        </w:rPr>
        <w:t>32 y la gestión del H</w:t>
      </w:r>
      <w:r>
        <w:rPr>
          <w:lang w:val="es-ES"/>
        </w:rPr>
        <w:t>FC</w:t>
      </w:r>
      <w:r>
        <w:rPr>
          <w:lang w:val="es-ES"/>
        </w:rPr>
        <w:noBreakHyphen/>
      </w:r>
      <w:r w:rsidRPr="0088089B">
        <w:rPr>
          <w:lang w:val="es-ES"/>
        </w:rPr>
        <w:t>32 en el sector de servicio y mantenimiento, y visitas a proveedores de sistemas para aprender acerca de fórmulas de espumas de bajo PCA y polioles premezclados para empresas pequeñas y medianas (Banco Mundial) (70 000 $EUA);</w:t>
      </w:r>
    </w:p>
    <w:p w14:paraId="49E13017" w14:textId="77777777" w:rsidR="0088089B" w:rsidRPr="0088089B" w:rsidRDefault="0088089B" w:rsidP="0088089B">
      <w:pPr>
        <w:pStyle w:val="Heading2"/>
        <w:widowControl/>
        <w:rPr>
          <w:lang w:val="es-ES"/>
        </w:rPr>
      </w:pPr>
      <w:r w:rsidRPr="0088089B">
        <w:rPr>
          <w:lang w:val="es-ES"/>
        </w:rPr>
        <w:t>Verificación del consumo (Banco Mundial) (8 000 $EUA); y</w:t>
      </w:r>
    </w:p>
    <w:p w14:paraId="5EFEC183" w14:textId="77777777" w:rsidR="0088089B" w:rsidRPr="0088089B" w:rsidRDefault="0088089B" w:rsidP="0088089B">
      <w:pPr>
        <w:pStyle w:val="Heading2"/>
        <w:widowControl/>
        <w:spacing w:after="360"/>
        <w:rPr>
          <w:lang w:val="es-ES"/>
        </w:rPr>
      </w:pPr>
      <w:r w:rsidRPr="0088089B">
        <w:rPr>
          <w:lang w:val="es-ES"/>
        </w:rPr>
        <w:t xml:space="preserve">La DGP encargará una auditoría financiera independiente (15 000 $EUA); contratará a un consultor para identificar las empresas admisibles para participar en las conversiones de tecnología (17 500 $EUA); y prestará apoyo a los cinco miembros del personal de proyectos que integran la DGP para que revisen los cupos, ayuden a las empresas a ejecutar sus subproyectos, supervisen la ejecución de todas las actividades de proyecto, realicen auditorías financieras anuales de los gastos del proyecto, elaboren informes financieros y de ejecución de proyecto semestrales y anuales, y coordinen la presentación de informes (263 029 $EUA) (Banco Mundial). </w:t>
      </w:r>
    </w:p>
    <w:p w14:paraId="6E52B2A7" w14:textId="77777777" w:rsidR="0088089B" w:rsidRPr="0088089B" w:rsidRDefault="0088089B" w:rsidP="0088089B">
      <w:pPr>
        <w:spacing w:after="240"/>
        <w:jc w:val="center"/>
        <w:rPr>
          <w:b/>
          <w:lang w:val="es-ES"/>
        </w:rPr>
      </w:pPr>
      <w:r w:rsidRPr="0088089B">
        <w:rPr>
          <w:b/>
          <w:lang w:val="es-ES"/>
        </w:rPr>
        <w:t>OBSERVACIONES Y RECOMENDACIÓN DE LA SECRETARÍA</w:t>
      </w:r>
    </w:p>
    <w:p w14:paraId="759C985E" w14:textId="77777777" w:rsidR="0088089B" w:rsidRPr="0088089B" w:rsidRDefault="0088089B" w:rsidP="0088089B">
      <w:pPr>
        <w:rPr>
          <w:b/>
          <w:lang w:val="es-ES"/>
        </w:rPr>
      </w:pPr>
      <w:r w:rsidRPr="0088089B">
        <w:rPr>
          <w:b/>
          <w:lang w:val="es-ES"/>
        </w:rPr>
        <w:t>OBSERVACIONES</w:t>
      </w:r>
    </w:p>
    <w:p w14:paraId="138E36FA" w14:textId="77777777" w:rsidR="0088089B" w:rsidRPr="0088089B" w:rsidRDefault="0088089B" w:rsidP="0088089B">
      <w:pPr>
        <w:rPr>
          <w:lang w:val="es-ES"/>
        </w:rPr>
      </w:pPr>
    </w:p>
    <w:p w14:paraId="51DFCCCA" w14:textId="77777777" w:rsidR="0088089B" w:rsidRPr="0088089B" w:rsidRDefault="0088089B" w:rsidP="0088089B">
      <w:pPr>
        <w:rPr>
          <w:u w:val="single"/>
          <w:lang w:val="es-ES"/>
        </w:rPr>
      </w:pPr>
      <w:r w:rsidRPr="0088089B">
        <w:rPr>
          <w:u w:val="single"/>
          <w:lang w:val="es-ES"/>
        </w:rPr>
        <w:t>Informe sobre el consumo de HCFC y HFC</w:t>
      </w:r>
    </w:p>
    <w:p w14:paraId="11C05586" w14:textId="77777777" w:rsidR="0088089B" w:rsidRPr="0088089B" w:rsidRDefault="0088089B" w:rsidP="0088089B">
      <w:pPr>
        <w:rPr>
          <w:lang w:val="es-ES"/>
        </w:rPr>
      </w:pPr>
    </w:p>
    <w:p w14:paraId="1A9DBDFD" w14:textId="46451C60" w:rsidR="0088089B" w:rsidRPr="0088089B" w:rsidRDefault="0088089B" w:rsidP="0088089B">
      <w:pPr>
        <w:pStyle w:val="Heading1"/>
        <w:rPr>
          <w:lang w:val="es-ES"/>
        </w:rPr>
      </w:pPr>
      <w:r w:rsidRPr="0088089B">
        <w:rPr>
          <w:lang w:val="es-ES"/>
        </w:rPr>
        <w:t>El consumo de HC</w:t>
      </w:r>
      <w:r>
        <w:rPr>
          <w:lang w:val="es-ES"/>
        </w:rPr>
        <w:t>FC</w:t>
      </w:r>
      <w:r>
        <w:rPr>
          <w:lang w:val="es-ES"/>
        </w:rPr>
        <w:noBreakHyphen/>
      </w:r>
      <w:r w:rsidRPr="0088089B">
        <w:rPr>
          <w:lang w:val="es-ES"/>
        </w:rPr>
        <w:t>141b contenido en polioles premezclados importados se redujo sustancialmente en 2020 a pesar de que no se habían realizado conversiones en el sector de fabricación de espumas en la etapa II. Tomando nota de la prohibición del HC</w:t>
      </w:r>
      <w:r>
        <w:rPr>
          <w:lang w:val="es-ES"/>
        </w:rPr>
        <w:t>FC</w:t>
      </w:r>
      <w:r>
        <w:rPr>
          <w:lang w:val="es-ES"/>
        </w:rPr>
        <w:noBreakHyphen/>
      </w:r>
      <w:r w:rsidRPr="0088089B">
        <w:rPr>
          <w:lang w:val="es-ES"/>
        </w:rPr>
        <w:t xml:space="preserve">141b contenido en polioles premezclados importados vigente a partir del 1 de enero de 2022, y de que las empresas que realizaran la conversión con sus propios recursos a polioles premezclados de espumación acuosa u otras tecnologías no serían admisibles para recibir financiación, lo que podría dar lugar a una devolución sustancial de fondos al Fondo Multilateral, la Secretaría alentó al Banco Mundial a intensificar los esfuerzos garantizar la participación en el PGEH del mayor número posible de empresas fabricantes de espumas. En cuanto a la </w:t>
      </w:r>
      <w:r w:rsidRPr="0088089B">
        <w:rPr>
          <w:lang w:val="es-ES"/>
        </w:rPr>
        <w:lastRenderedPageBreak/>
        <w:t>reducción del consumo de HC</w:t>
      </w:r>
      <w:r>
        <w:rPr>
          <w:lang w:val="es-ES"/>
        </w:rPr>
        <w:t>FC</w:t>
      </w:r>
      <w:r>
        <w:rPr>
          <w:lang w:val="es-ES"/>
        </w:rPr>
        <w:noBreakHyphen/>
      </w:r>
      <w:r w:rsidRPr="0088089B">
        <w:rPr>
          <w:lang w:val="es-ES"/>
        </w:rPr>
        <w:t>22, HC</w:t>
      </w:r>
      <w:r>
        <w:rPr>
          <w:lang w:val="es-ES"/>
        </w:rPr>
        <w:t>FC</w:t>
      </w:r>
      <w:r>
        <w:rPr>
          <w:lang w:val="es-ES"/>
        </w:rPr>
        <w:noBreakHyphen/>
      </w:r>
      <w:r w:rsidRPr="0088089B">
        <w:rPr>
          <w:lang w:val="es-ES"/>
        </w:rPr>
        <w:t>123 y HC</w:t>
      </w:r>
      <w:r>
        <w:rPr>
          <w:lang w:val="es-ES"/>
        </w:rPr>
        <w:t>FC</w:t>
      </w:r>
      <w:r>
        <w:rPr>
          <w:lang w:val="es-ES"/>
        </w:rPr>
        <w:noBreakHyphen/>
      </w:r>
      <w:r w:rsidRPr="0088089B">
        <w:rPr>
          <w:lang w:val="es-ES"/>
        </w:rPr>
        <w:t>225 en 2020, el Banco Mundial explicó que esas reducciones se debían, respectivamente, a la aplicación del cupo obligatorio, de acuerdo con el calendario de control del Protocolo de Montreal; la dependencia de las existencias y las posibles demoras en el servicio y mantenimiento debido a la pandemia de COVID-19; y la conversión de una empresa que consumía HC</w:t>
      </w:r>
      <w:r>
        <w:rPr>
          <w:lang w:val="es-ES"/>
        </w:rPr>
        <w:t>FC</w:t>
      </w:r>
      <w:r>
        <w:rPr>
          <w:lang w:val="es-ES"/>
        </w:rPr>
        <w:noBreakHyphen/>
      </w:r>
      <w:r w:rsidRPr="0088089B">
        <w:rPr>
          <w:lang w:val="es-ES"/>
        </w:rPr>
        <w:t>225 a HFC, aunque señaló que había al menos otra empresa que seguía consumiendo HC</w:t>
      </w:r>
      <w:r>
        <w:rPr>
          <w:lang w:val="es-ES"/>
        </w:rPr>
        <w:t>FC</w:t>
      </w:r>
      <w:r>
        <w:rPr>
          <w:lang w:val="es-ES"/>
        </w:rPr>
        <w:noBreakHyphen/>
      </w:r>
      <w:r w:rsidRPr="0088089B">
        <w:rPr>
          <w:lang w:val="es-ES"/>
        </w:rPr>
        <w:t>225 para la limpieza de agujas.</w:t>
      </w:r>
    </w:p>
    <w:p w14:paraId="308E5140" w14:textId="765F6568" w:rsidR="0088089B" w:rsidRPr="0088089B" w:rsidRDefault="0088089B" w:rsidP="0088089B">
      <w:pPr>
        <w:pStyle w:val="Heading1"/>
        <w:rPr>
          <w:lang w:val="es-ES"/>
        </w:rPr>
      </w:pPr>
      <w:r w:rsidRPr="0088089B">
        <w:rPr>
          <w:lang w:val="es-ES"/>
        </w:rPr>
        <w:t>De acuerdo con el párrafo 9 de la decisión XIX/6, la Secretaría pidió que se confirmara que la eliminación de los HCFC no estaba impulsando un rápido aumento del consumo de H</w:t>
      </w:r>
      <w:r>
        <w:rPr>
          <w:lang w:val="es-ES"/>
        </w:rPr>
        <w:t>FC</w:t>
      </w:r>
      <w:r>
        <w:rPr>
          <w:lang w:val="es-ES"/>
        </w:rPr>
        <w:noBreakHyphen/>
      </w:r>
      <w:r w:rsidRPr="0088089B">
        <w:rPr>
          <w:lang w:val="es-ES"/>
        </w:rPr>
        <w:t>23. En particular, aunque Viet Nam no había notificado consumo de HCFC en el sector de lucha contra incendios, la eliminación de los HCFC en los sectores de fabricación y servicio y mantenimiento de equipos de refrigeración podría contribuir al consumo de H</w:t>
      </w:r>
      <w:r>
        <w:rPr>
          <w:lang w:val="es-ES"/>
        </w:rPr>
        <w:t>FC</w:t>
      </w:r>
      <w:r>
        <w:rPr>
          <w:lang w:val="es-ES"/>
        </w:rPr>
        <w:noBreakHyphen/>
      </w:r>
      <w:r w:rsidRPr="0088089B">
        <w:rPr>
          <w:lang w:val="es-ES"/>
        </w:rPr>
        <w:t>23 en la refrigeración (de baja temperatura). El Banco Mundial indicó que se creía que el H</w:t>
      </w:r>
      <w:r>
        <w:rPr>
          <w:lang w:val="es-ES"/>
        </w:rPr>
        <w:t>FC</w:t>
      </w:r>
      <w:r>
        <w:rPr>
          <w:lang w:val="es-ES"/>
        </w:rPr>
        <w:noBreakHyphen/>
      </w:r>
      <w:r w:rsidRPr="0088089B">
        <w:rPr>
          <w:lang w:val="es-ES"/>
        </w:rPr>
        <w:t>23 se utilizaba en el sector de lucha contra incendios y en las cámaras de ensayo de choque térmico</w:t>
      </w:r>
      <w:r w:rsidRPr="0088089B">
        <w:rPr>
          <w:rStyle w:val="FootnoteTextChar"/>
          <w:vertAlign w:val="superscript"/>
          <w:lang w:val="es-ES"/>
        </w:rPr>
        <w:footnoteReference w:id="5"/>
      </w:r>
      <w:r w:rsidRPr="0088089B">
        <w:rPr>
          <w:lang w:val="es-ES"/>
        </w:rPr>
        <w:t>; por lo tanto, era poco probable que la eliminación de los HCFC fuera un factor impulsor del consumo de H</w:t>
      </w:r>
      <w:r>
        <w:rPr>
          <w:lang w:val="es-ES"/>
        </w:rPr>
        <w:t>FC</w:t>
      </w:r>
      <w:r>
        <w:rPr>
          <w:lang w:val="es-ES"/>
        </w:rPr>
        <w:noBreakHyphen/>
      </w:r>
      <w:r w:rsidRPr="0088089B">
        <w:rPr>
          <w:lang w:val="es-ES"/>
        </w:rPr>
        <w:t>23.</w:t>
      </w:r>
    </w:p>
    <w:p w14:paraId="5ECFE2E2" w14:textId="7AF4C720" w:rsidR="0088089B" w:rsidRPr="0088089B" w:rsidRDefault="0088089B" w:rsidP="0088089B">
      <w:pPr>
        <w:pStyle w:val="Heading1"/>
        <w:spacing w:after="0"/>
        <w:rPr>
          <w:lang w:val="es-ES"/>
        </w:rPr>
      </w:pPr>
      <w:r w:rsidRPr="0088089B">
        <w:rPr>
          <w:lang w:val="es-ES"/>
        </w:rPr>
        <w:t>La Secretaría señaló que en el país se consumía una cantidad importante de H</w:t>
      </w:r>
      <w:r>
        <w:rPr>
          <w:lang w:val="es-ES"/>
        </w:rPr>
        <w:t>FC</w:t>
      </w:r>
      <w:r>
        <w:rPr>
          <w:lang w:val="es-ES"/>
        </w:rPr>
        <w:noBreakHyphen/>
      </w:r>
      <w:r w:rsidRPr="0088089B">
        <w:rPr>
          <w:lang w:val="es-ES"/>
        </w:rPr>
        <w:t>32, a pesar de que las cuatro empresas fabricantes de equipos de A/A que participarán en el proyecto aún no habían iniciado su conversión. El Banco Mundial aclaró que otras dos empresas fabricantes de equipos de A/A, una de las cuales es de propiedad de un país que no opera al amparo del artículo 5, fabrican unidades de A/A a base de H</w:t>
      </w:r>
      <w:r>
        <w:rPr>
          <w:lang w:val="es-ES"/>
        </w:rPr>
        <w:t>FC</w:t>
      </w:r>
      <w:r>
        <w:rPr>
          <w:lang w:val="es-ES"/>
        </w:rPr>
        <w:noBreakHyphen/>
      </w:r>
      <w:r w:rsidRPr="0088089B">
        <w:rPr>
          <w:lang w:val="es-ES"/>
        </w:rPr>
        <w:t>32 tanto de velocidad fija como con inversor; y confirmó que las cuatro empresas fabricantes de equipos de A/A que participan en el proyecto no fabrican unidades de A/A a base de R-410A, aunque tres de las empresas importan unidades a base de R-410A, así como unidades a base de H</w:t>
      </w:r>
      <w:r>
        <w:rPr>
          <w:lang w:val="es-ES"/>
        </w:rPr>
        <w:t>FC</w:t>
      </w:r>
      <w:r>
        <w:rPr>
          <w:lang w:val="es-ES"/>
        </w:rPr>
        <w:noBreakHyphen/>
      </w:r>
      <w:r w:rsidRPr="0088089B">
        <w:rPr>
          <w:lang w:val="es-ES"/>
        </w:rPr>
        <w:t>32, para comercializarlas con sus marcas. Como la penetración en el mercado de las unidades a base de H</w:t>
      </w:r>
      <w:r>
        <w:rPr>
          <w:lang w:val="es-ES"/>
        </w:rPr>
        <w:t>FC</w:t>
      </w:r>
      <w:r>
        <w:rPr>
          <w:lang w:val="es-ES"/>
        </w:rPr>
        <w:noBreakHyphen/>
      </w:r>
      <w:r w:rsidRPr="0088089B">
        <w:rPr>
          <w:lang w:val="es-ES"/>
        </w:rPr>
        <w:t>32 en Viet Nam ya es considerable, la Secretaría estima probable que las cuatro empresas fabricantes de equipos de A/A no enfrenten obstáculos importantes para vender sus equipos en el mercado una vez que hayan completado sus conversiones.</w:t>
      </w:r>
    </w:p>
    <w:p w14:paraId="56610978" w14:textId="77777777" w:rsidR="0088089B" w:rsidRPr="0088089B" w:rsidRDefault="0088089B" w:rsidP="0088089B">
      <w:pPr>
        <w:rPr>
          <w:lang w:val="es-ES"/>
        </w:rPr>
      </w:pPr>
    </w:p>
    <w:p w14:paraId="683FE1C0" w14:textId="77777777" w:rsidR="0088089B" w:rsidRPr="0088089B" w:rsidRDefault="0088089B" w:rsidP="0088089B">
      <w:pPr>
        <w:keepNext/>
        <w:rPr>
          <w:u w:val="single"/>
          <w:lang w:val="es-ES"/>
        </w:rPr>
      </w:pPr>
      <w:r w:rsidRPr="0088089B">
        <w:rPr>
          <w:u w:val="single"/>
          <w:lang w:val="es-ES"/>
        </w:rPr>
        <w:t>Informe sobre la marcha de las actividades relativo a la ejecución del segundo tramo del PGEH</w:t>
      </w:r>
    </w:p>
    <w:p w14:paraId="75C460EF" w14:textId="77777777" w:rsidR="0088089B" w:rsidRPr="0088089B" w:rsidRDefault="0088089B" w:rsidP="0088089B">
      <w:pPr>
        <w:keepNext/>
        <w:rPr>
          <w:lang w:val="es-ES"/>
        </w:rPr>
      </w:pPr>
    </w:p>
    <w:p w14:paraId="09C79708" w14:textId="77777777" w:rsidR="0088089B" w:rsidRPr="0088089B" w:rsidRDefault="0088089B" w:rsidP="0088089B">
      <w:pPr>
        <w:rPr>
          <w:i/>
          <w:lang w:val="es-ES"/>
        </w:rPr>
      </w:pPr>
      <w:r w:rsidRPr="0088089B">
        <w:rPr>
          <w:i/>
          <w:lang w:val="es-ES"/>
        </w:rPr>
        <w:t>Marco jurídico</w:t>
      </w:r>
    </w:p>
    <w:p w14:paraId="48F9B817" w14:textId="77777777" w:rsidR="0088089B" w:rsidRPr="0088089B" w:rsidRDefault="0088089B" w:rsidP="0088089B">
      <w:pPr>
        <w:rPr>
          <w:lang w:val="es-ES"/>
        </w:rPr>
      </w:pPr>
    </w:p>
    <w:p w14:paraId="2F182E50" w14:textId="77777777" w:rsidR="0088089B" w:rsidRPr="0088089B" w:rsidRDefault="0088089B" w:rsidP="0088089B">
      <w:pPr>
        <w:pStyle w:val="Heading1"/>
        <w:rPr>
          <w:lang w:val="es-ES"/>
        </w:rPr>
      </w:pPr>
      <w:r w:rsidRPr="0088089B">
        <w:rPr>
          <w:lang w:val="es-ES"/>
        </w:rPr>
        <w:t>El Gobierno de Viet Nam ya ha publicado los cupos de importación de HCFC para 2021 con arreglo a los objetivos del Protocolo de Montreal.</w:t>
      </w:r>
    </w:p>
    <w:p w14:paraId="4DB57260" w14:textId="77777777" w:rsidR="0088089B" w:rsidRPr="0088089B" w:rsidRDefault="0088089B" w:rsidP="0088089B">
      <w:pPr>
        <w:rPr>
          <w:i/>
          <w:lang w:val="es-ES"/>
        </w:rPr>
      </w:pPr>
      <w:r w:rsidRPr="0088089B">
        <w:rPr>
          <w:i/>
          <w:lang w:val="es-ES"/>
        </w:rPr>
        <w:t>Sector de fabricación</w:t>
      </w:r>
    </w:p>
    <w:p w14:paraId="44F1B95F" w14:textId="77777777" w:rsidR="0088089B" w:rsidRPr="0088089B" w:rsidRDefault="0088089B" w:rsidP="0088089B">
      <w:pPr>
        <w:rPr>
          <w:lang w:val="es-ES"/>
        </w:rPr>
      </w:pPr>
    </w:p>
    <w:p w14:paraId="08614BF4" w14:textId="04AFCE01" w:rsidR="0088089B" w:rsidRPr="0088089B" w:rsidRDefault="0088089B" w:rsidP="0088089B">
      <w:pPr>
        <w:pStyle w:val="Heading1"/>
        <w:rPr>
          <w:lang w:val="es-ES"/>
        </w:rPr>
      </w:pPr>
      <w:r w:rsidRPr="0088089B">
        <w:rPr>
          <w:lang w:val="es-ES"/>
        </w:rPr>
        <w:t>Las conversiones de dos empresas fabricantes de equipos de A/A a H</w:t>
      </w:r>
      <w:r>
        <w:rPr>
          <w:lang w:val="es-ES"/>
        </w:rPr>
        <w:t>FC</w:t>
      </w:r>
      <w:r>
        <w:rPr>
          <w:lang w:val="es-ES"/>
        </w:rPr>
        <w:noBreakHyphen/>
      </w:r>
      <w:r w:rsidRPr="0088089B">
        <w:rPr>
          <w:lang w:val="es-ES"/>
        </w:rPr>
        <w:t>32, de cinco empresas fabricantes de equipos de refrigeración a H</w:t>
      </w:r>
      <w:r>
        <w:rPr>
          <w:lang w:val="es-ES"/>
        </w:rPr>
        <w:t>FC</w:t>
      </w:r>
      <w:r>
        <w:rPr>
          <w:lang w:val="es-ES"/>
        </w:rPr>
        <w:noBreakHyphen/>
      </w:r>
      <w:r w:rsidRPr="0088089B">
        <w:rPr>
          <w:lang w:val="es-ES"/>
        </w:rPr>
        <w:t>32, amoníaco y tecnología de hidrocarburos y siete empresas fabricantes de espumas a ciclopentano y tecnología de hidrofluoroolefina, aprobadas en el segundo tramo (diciembre de 2019), se habían retrasado debido a la pandemia de COVID-19.</w:t>
      </w:r>
    </w:p>
    <w:p w14:paraId="17AB8C56" w14:textId="77777777" w:rsidR="0088089B" w:rsidRPr="0088089B" w:rsidRDefault="0088089B" w:rsidP="0088089B">
      <w:pPr>
        <w:pStyle w:val="Heading1"/>
        <w:rPr>
          <w:lang w:val="es-ES"/>
        </w:rPr>
      </w:pPr>
      <w:r w:rsidRPr="0088089B">
        <w:rPr>
          <w:lang w:val="es-ES"/>
        </w:rPr>
        <w:t xml:space="preserve">La etapa II del PGEH incluía la financiación de la conversión de 43 empresas fabricantes de espumas con un total de 64 líneas de fabricación; hasta la fecha, solo dos empresas de espumas han firmado acuerdos de subvención para la conversión, y una tercera empresa ha manifestado su interés en participar en el proyecto. La pandemia de COVID-19 y la disponibilidad de polioles premezclados de espumación acuosa contribuyen probablemente a que las empresas duden en participar en el proyecto. El Gobierno de Viet Nam y el Banco Mundial reconocieron las dificultades para aumentar la participación y, teniendo en cuenta la prohibición vigente a partir del 1 de enero de 2022, acordaron intensificar los esfuerzos a través de la colaboración directa con el sector, lo que incluye visitas a las instalaciones, talleres y otros medios </w:t>
      </w:r>
      <w:r w:rsidRPr="0088089B">
        <w:rPr>
          <w:lang w:val="es-ES"/>
        </w:rPr>
        <w:lastRenderedPageBreak/>
        <w:t>para alentar a más de las 40 empresas fabricantes de espumas restantes a participar en el PGEH. El Banco Mundial devolvería al Fondo Multilateral los fondos relacionados con la conversión de las empresas que realizaran la conversión a tecnología de espumación acuosa u otras tecnologías con sus propios recursos.</w:t>
      </w:r>
    </w:p>
    <w:p w14:paraId="2B3377AA" w14:textId="4BEB09B6" w:rsidR="0088089B" w:rsidRPr="0088089B" w:rsidRDefault="0088089B" w:rsidP="0088089B">
      <w:pPr>
        <w:pStyle w:val="Heading1"/>
        <w:rPr>
          <w:lang w:val="es-ES"/>
        </w:rPr>
      </w:pPr>
      <w:r w:rsidRPr="0088089B">
        <w:rPr>
          <w:lang w:val="es-ES"/>
        </w:rPr>
        <w:t>La Secretaría señaló el plazo limitado para la conversión de las cuatro empresas fabricantes de equipos de A/A antes de la prohibición de la importación y fabricación de unidades de aire acondicionado a base de HC</w:t>
      </w:r>
      <w:r>
        <w:rPr>
          <w:lang w:val="es-ES"/>
        </w:rPr>
        <w:t>FC</w:t>
      </w:r>
      <w:r>
        <w:rPr>
          <w:lang w:val="es-ES"/>
        </w:rPr>
        <w:noBreakHyphen/>
      </w:r>
      <w:r w:rsidRPr="0088089B">
        <w:rPr>
          <w:lang w:val="es-ES"/>
        </w:rPr>
        <w:t>22 vigente a partir del 1 de enero de 2022, y que la financiación aprobada en relación con la conversión de las empresas fabricantes de equipos de A/A que no participaron en el PGEH tendría que devolverse al Fondo Multilateral. El Banco Mundial confirmó que las empresas siguen comprometidas con la conversión al H</w:t>
      </w:r>
      <w:r>
        <w:rPr>
          <w:lang w:val="es-ES"/>
        </w:rPr>
        <w:t>FC</w:t>
      </w:r>
      <w:r>
        <w:rPr>
          <w:lang w:val="es-ES"/>
        </w:rPr>
        <w:noBreakHyphen/>
      </w:r>
      <w:r w:rsidRPr="0088089B">
        <w:rPr>
          <w:lang w:val="es-ES"/>
        </w:rPr>
        <w:t xml:space="preserve">32; las propuestas de subproyectos para tres de las empresas se presentarán o volverán a presentarse a la DGP antes de junio de 2021, mientras que se espera que la cuarta empresa confirme su participación antes de septiembre de 2021. </w:t>
      </w:r>
    </w:p>
    <w:p w14:paraId="708285FA" w14:textId="11E41A61" w:rsidR="0088089B" w:rsidRPr="0088089B" w:rsidRDefault="0088089B" w:rsidP="0088089B">
      <w:pPr>
        <w:pStyle w:val="Heading1"/>
        <w:rPr>
          <w:lang w:val="es-ES"/>
        </w:rPr>
      </w:pPr>
      <w:r w:rsidRPr="0088089B">
        <w:rPr>
          <w:lang w:val="es-ES"/>
        </w:rPr>
        <w:t>Tres de las cuatro empresas fabricantes de equipos de A/A habían participado en un proyecto financiado por el Programa de Kigali para la Refrigeración Eficiente a fin de aumentar su capacidad para diseñar y comercializar unidades de A/A a base de H</w:t>
      </w:r>
      <w:r>
        <w:rPr>
          <w:lang w:val="es-ES"/>
        </w:rPr>
        <w:t>FC</w:t>
      </w:r>
      <w:r>
        <w:rPr>
          <w:lang w:val="es-ES"/>
        </w:rPr>
        <w:noBreakHyphen/>
      </w:r>
      <w:r w:rsidRPr="0088089B">
        <w:rPr>
          <w:lang w:val="es-ES"/>
        </w:rPr>
        <w:t>32 con inversor junto con las conversiones previstas para sus líneas de fabricación; la cuarta empresa ya poseía la tecnología de inversor y los conocimientos técnicos relacionados. Se prevé que las tres empresas fabricarán primero unidades de A/A a base de H</w:t>
      </w:r>
      <w:r>
        <w:rPr>
          <w:lang w:val="es-ES"/>
        </w:rPr>
        <w:t>FC</w:t>
      </w:r>
      <w:r>
        <w:rPr>
          <w:lang w:val="es-ES"/>
        </w:rPr>
        <w:noBreakHyphen/>
      </w:r>
      <w:r w:rsidRPr="0088089B">
        <w:rPr>
          <w:lang w:val="es-ES"/>
        </w:rPr>
        <w:t>32 de velocidad fija, y que posteriormente pasarán a fabricar unidades de A/A a base de H</w:t>
      </w:r>
      <w:r>
        <w:rPr>
          <w:lang w:val="es-ES"/>
        </w:rPr>
        <w:t>FC</w:t>
      </w:r>
      <w:r>
        <w:rPr>
          <w:lang w:val="es-ES"/>
        </w:rPr>
        <w:noBreakHyphen/>
      </w:r>
      <w:r w:rsidRPr="0088089B">
        <w:rPr>
          <w:lang w:val="es-ES"/>
        </w:rPr>
        <w:t>32 con inversor; aún no estaba claro cuál sería el plazo para que las empresas pudieran hacerlo. A pesar de las demoras en la finalización de las conversiones, la prohibición de la importación y fabricación de unidades de A/A a base de HC</w:t>
      </w:r>
      <w:r>
        <w:rPr>
          <w:lang w:val="es-ES"/>
        </w:rPr>
        <w:t>FC</w:t>
      </w:r>
      <w:r>
        <w:rPr>
          <w:lang w:val="es-ES"/>
        </w:rPr>
        <w:noBreakHyphen/>
      </w:r>
      <w:r w:rsidRPr="0088089B">
        <w:rPr>
          <w:lang w:val="es-ES"/>
        </w:rPr>
        <w:t xml:space="preserve">22 estará en vigor a partir del 1 de enero de 2022.  </w:t>
      </w:r>
    </w:p>
    <w:p w14:paraId="5A5AC420" w14:textId="77777777" w:rsidR="0088089B" w:rsidRPr="0088089B" w:rsidRDefault="0088089B" w:rsidP="0088089B">
      <w:pPr>
        <w:keepNext/>
        <w:rPr>
          <w:u w:val="single"/>
          <w:lang w:val="es-ES"/>
        </w:rPr>
      </w:pPr>
      <w:r w:rsidRPr="0088089B">
        <w:rPr>
          <w:u w:val="single"/>
          <w:lang w:val="es-ES"/>
        </w:rPr>
        <w:t>Aplicación de la política de género</w:t>
      </w:r>
      <w:r w:rsidRPr="0088089B">
        <w:rPr>
          <w:rStyle w:val="FootnoteReference"/>
          <w:lang w:val="es-ES"/>
        </w:rPr>
        <w:footnoteReference w:id="6"/>
      </w:r>
    </w:p>
    <w:p w14:paraId="6722E6A6" w14:textId="77777777" w:rsidR="0088089B" w:rsidRPr="0088089B" w:rsidRDefault="0088089B" w:rsidP="0088089B">
      <w:pPr>
        <w:keepNext/>
        <w:rPr>
          <w:lang w:val="es-ES"/>
        </w:rPr>
      </w:pPr>
    </w:p>
    <w:p w14:paraId="40F76524" w14:textId="77777777" w:rsidR="0088089B" w:rsidRPr="0088089B" w:rsidRDefault="0088089B" w:rsidP="0088089B">
      <w:pPr>
        <w:pStyle w:val="Heading1"/>
        <w:rPr>
          <w:lang w:val="es-ES"/>
        </w:rPr>
      </w:pPr>
      <w:r w:rsidRPr="0088089B">
        <w:rPr>
          <w:lang w:val="es-ES"/>
        </w:rPr>
        <w:t xml:space="preserve">El Banco Mundial aclaró que la etapa II del PGEH no incluía un marco de resultados formal sobre la integración de la perspectiva de género, ya que fue diseñada y aprobada antes de que se adoptara la decisión 84/92. El Banco Mundial trataría con el Gobierno y la DGP la recopilación de información sobre el equilibrio de género a través de las listas de participantes en los talleres, y al examinar los subproyectos presentados por las empresas que desean participar en el PGEH, a fin de que esta práctica pueda ser incorporada en el manual de ejecución de proyectos. </w:t>
      </w:r>
    </w:p>
    <w:p w14:paraId="6DEFF310" w14:textId="77777777" w:rsidR="0088089B" w:rsidRPr="0088089B" w:rsidRDefault="0088089B" w:rsidP="0088089B">
      <w:pPr>
        <w:keepNext/>
        <w:keepLines/>
        <w:rPr>
          <w:u w:val="single"/>
          <w:lang w:val="es-ES"/>
        </w:rPr>
      </w:pPr>
      <w:r w:rsidRPr="0088089B">
        <w:rPr>
          <w:u w:val="single"/>
          <w:lang w:val="es-ES"/>
        </w:rPr>
        <w:t xml:space="preserve">Sostenibilidad de la eliminación de los HCFC </w:t>
      </w:r>
    </w:p>
    <w:p w14:paraId="294C969D" w14:textId="77777777" w:rsidR="0088089B" w:rsidRPr="0088089B" w:rsidRDefault="0088089B" w:rsidP="0088089B">
      <w:pPr>
        <w:rPr>
          <w:u w:val="single"/>
          <w:lang w:val="es-ES"/>
        </w:rPr>
      </w:pPr>
    </w:p>
    <w:p w14:paraId="7A3ACACA" w14:textId="38898634" w:rsidR="0088089B" w:rsidRPr="0088089B" w:rsidRDefault="0088089B" w:rsidP="0088089B">
      <w:pPr>
        <w:pStyle w:val="Heading1"/>
        <w:rPr>
          <w:lang w:val="es-ES"/>
        </w:rPr>
      </w:pPr>
      <w:r w:rsidRPr="0088089B">
        <w:rPr>
          <w:lang w:val="es-ES"/>
        </w:rPr>
        <w:t>El Gobierno de Viet Nam cuenta con un sistema de concesión de licencias y cupos exigible, y ha aplicado una prohibición de la importación y exportación de HC</w:t>
      </w:r>
      <w:r>
        <w:rPr>
          <w:lang w:val="es-ES"/>
        </w:rPr>
        <w:t>FC</w:t>
      </w:r>
      <w:r>
        <w:rPr>
          <w:lang w:val="es-ES"/>
        </w:rPr>
        <w:noBreakHyphen/>
      </w:r>
      <w:r w:rsidRPr="0088089B">
        <w:rPr>
          <w:lang w:val="es-ES"/>
        </w:rPr>
        <w:t>141b (en vigor a partir el 1 de enero de 2015). Las próximas prohibiciones de la importación de HC</w:t>
      </w:r>
      <w:r>
        <w:rPr>
          <w:lang w:val="es-ES"/>
        </w:rPr>
        <w:t>FC</w:t>
      </w:r>
      <w:r>
        <w:rPr>
          <w:lang w:val="es-ES"/>
        </w:rPr>
        <w:noBreakHyphen/>
      </w:r>
      <w:r w:rsidRPr="0088089B">
        <w:rPr>
          <w:lang w:val="es-ES"/>
        </w:rPr>
        <w:t>141b contenido en polioles premezclados y de la importación y fabricación de unidades de aire A/A a base de HC</w:t>
      </w:r>
      <w:r>
        <w:rPr>
          <w:lang w:val="es-ES"/>
        </w:rPr>
        <w:t>FC</w:t>
      </w:r>
      <w:r>
        <w:rPr>
          <w:lang w:val="es-ES"/>
        </w:rPr>
        <w:noBreakHyphen/>
      </w:r>
      <w:r w:rsidRPr="0088089B">
        <w:rPr>
          <w:lang w:val="es-ES"/>
        </w:rPr>
        <w:t xml:space="preserve">22 garantizarán la sostenibilidad de la eliminación en los sectores de fabricación de espumas y de equipos de A/A. La DGP ha elaborado un completo manual de ejecución de proyectos que especifica los requisitos y procesos para que las conversiones resulten sostenibles. Las actividades de asistencia técnica previstas para brindar capacitación a los interesados directos, incluidos técnicos, instructores, responsables de la formulación de políticas y funcionarios de aduanas, contribuirán a garantizar la sostenibilidad de la eliminación. </w:t>
      </w:r>
    </w:p>
    <w:p w14:paraId="3C82ABB5" w14:textId="77777777" w:rsidR="0088089B" w:rsidRPr="0088089B" w:rsidRDefault="0088089B" w:rsidP="0088089B">
      <w:pPr>
        <w:rPr>
          <w:u w:val="single"/>
          <w:lang w:val="es-ES"/>
        </w:rPr>
      </w:pPr>
      <w:r w:rsidRPr="0088089B">
        <w:rPr>
          <w:u w:val="single"/>
          <w:lang w:val="es-ES"/>
        </w:rPr>
        <w:t xml:space="preserve">Conclusión </w:t>
      </w:r>
    </w:p>
    <w:p w14:paraId="7C021033" w14:textId="77777777" w:rsidR="0088089B" w:rsidRPr="0088089B" w:rsidRDefault="0088089B" w:rsidP="0088089B">
      <w:pPr>
        <w:rPr>
          <w:lang w:val="es-ES"/>
        </w:rPr>
      </w:pPr>
    </w:p>
    <w:p w14:paraId="76345F5F" w14:textId="49FCB716" w:rsidR="0088089B" w:rsidRPr="0088089B" w:rsidRDefault="0088089B" w:rsidP="0088089B">
      <w:pPr>
        <w:pStyle w:val="Heading1"/>
        <w:rPr>
          <w:lang w:val="es-ES"/>
        </w:rPr>
      </w:pPr>
      <w:r w:rsidRPr="0088089B">
        <w:rPr>
          <w:lang w:val="es-ES"/>
        </w:rPr>
        <w:t xml:space="preserve">El consumo verificado de 2019 y 2020 del país se encontró dentro de los objetivos estipulados en el Acuerdo entre el país y el Comité Ejecutivo. El sistema de concesión de licencias y cupos para la importación está en funcionamiento y permitirá reducir el consumo de HCFC de acuerdo con el calendario de eliminación del Protocolo de Montreal. Dado que el segundo tramo de la etapa II del PGEH se aprobó </w:t>
      </w:r>
      <w:r w:rsidRPr="0088089B">
        <w:rPr>
          <w:lang w:val="es-ES"/>
        </w:rPr>
        <w:lastRenderedPageBreak/>
        <w:t>poco antes de la aparición de la pandemia de COVID-19, se pudo avanzar poco en las conversiones de fabricación previstas. No obstante, el consumo de HC</w:t>
      </w:r>
      <w:r>
        <w:rPr>
          <w:lang w:val="es-ES"/>
        </w:rPr>
        <w:t>FC</w:t>
      </w:r>
      <w:r>
        <w:rPr>
          <w:lang w:val="es-ES"/>
        </w:rPr>
        <w:noBreakHyphen/>
      </w:r>
      <w:r w:rsidRPr="0088089B">
        <w:rPr>
          <w:lang w:val="es-ES"/>
        </w:rPr>
        <w:t>22 se redujo considerablemente entre 2019 y 2020 para cumplir los objetivos de control del Protocolo de Montreal. Se espera que los progresos continúen, dado que el objetivo es acelerar las conversiones de los subproyectos durante el tercer tramo. A pesar de los saldos que restan del segundo tramo, la Secretaría considera que la aplicación de las prohibiciones del HC</w:t>
      </w:r>
      <w:r>
        <w:rPr>
          <w:lang w:val="es-ES"/>
        </w:rPr>
        <w:t>FC</w:t>
      </w:r>
      <w:r>
        <w:rPr>
          <w:lang w:val="es-ES"/>
        </w:rPr>
        <w:noBreakHyphen/>
      </w:r>
      <w:r w:rsidRPr="0088089B">
        <w:rPr>
          <w:lang w:val="es-ES"/>
        </w:rPr>
        <w:t>141b contenido en polioles premezclados y de la fabricación e importación de unidades de A/A a base de HC</w:t>
      </w:r>
      <w:r>
        <w:rPr>
          <w:lang w:val="es-ES"/>
        </w:rPr>
        <w:t>FC</w:t>
      </w:r>
      <w:r>
        <w:rPr>
          <w:lang w:val="es-ES"/>
        </w:rPr>
        <w:noBreakHyphen/>
      </w:r>
      <w:r w:rsidRPr="0088089B">
        <w:rPr>
          <w:lang w:val="es-ES"/>
        </w:rPr>
        <w:t>22 que entrarán en vigor a partir del 1 de enero de 2022 justifica la urgencia para la aprobación del tercer tramo.</w:t>
      </w:r>
    </w:p>
    <w:p w14:paraId="523BC09D" w14:textId="77777777" w:rsidR="0088089B" w:rsidRPr="0088089B" w:rsidRDefault="0088089B" w:rsidP="0088089B">
      <w:pPr>
        <w:rPr>
          <w:lang w:val="es-ES"/>
        </w:rPr>
      </w:pPr>
      <w:r w:rsidRPr="0088089B">
        <w:rPr>
          <w:b/>
          <w:lang w:val="es-ES"/>
        </w:rPr>
        <w:t>RECOMENDACIÓN</w:t>
      </w:r>
    </w:p>
    <w:p w14:paraId="59591FAD" w14:textId="77777777" w:rsidR="0088089B" w:rsidRPr="0088089B" w:rsidRDefault="0088089B" w:rsidP="0088089B">
      <w:pPr>
        <w:rPr>
          <w:lang w:val="es-ES"/>
        </w:rPr>
      </w:pPr>
    </w:p>
    <w:p w14:paraId="4B21051E" w14:textId="77777777" w:rsidR="0088089B" w:rsidRPr="0088089B" w:rsidRDefault="0088089B" w:rsidP="0088089B">
      <w:pPr>
        <w:pStyle w:val="Heading1"/>
        <w:rPr>
          <w:lang w:val="es-ES"/>
        </w:rPr>
      </w:pPr>
      <w:r w:rsidRPr="0088089B">
        <w:rPr>
          <w:lang w:val="es-ES"/>
        </w:rPr>
        <w:t>La Secretaría del Fondo recomienda que el Comité Ejecutivo:</w:t>
      </w:r>
    </w:p>
    <w:p w14:paraId="4CCE1E7F" w14:textId="77777777" w:rsidR="0088089B" w:rsidRPr="0088089B" w:rsidRDefault="0088089B" w:rsidP="0088089B">
      <w:pPr>
        <w:pStyle w:val="Heading2"/>
        <w:widowControl/>
        <w:rPr>
          <w:lang w:val="es-ES"/>
        </w:rPr>
      </w:pPr>
      <w:r w:rsidRPr="0088089B">
        <w:rPr>
          <w:lang w:val="es-ES"/>
        </w:rPr>
        <w:t>Tome nota del informe sobre la marcha de las actividades relativo a la ejecución del segundo tramo de la etapa II del plan de gestión de eliminación de los HCFC para Viet Nam; y</w:t>
      </w:r>
    </w:p>
    <w:p w14:paraId="1A74DCBC" w14:textId="77777777" w:rsidR="0088089B" w:rsidRPr="0088089B" w:rsidRDefault="0088089B" w:rsidP="0088089B">
      <w:pPr>
        <w:pStyle w:val="Heading2"/>
        <w:widowControl/>
        <w:rPr>
          <w:lang w:val="es-ES"/>
        </w:rPr>
      </w:pPr>
      <w:r w:rsidRPr="0088089B">
        <w:rPr>
          <w:lang w:val="es-ES"/>
        </w:rPr>
        <w:t>Tome nota de la devolución a la 87ª reunión de 613 568 $EUA, más gastos de apoyo del organismo de 42 950 $EUA del Banco Mundial, relacionados con la empresa fabricante de espumas de poliestireno extruido Phu Vuong Corporation Industry, que se determinó que no era admisible para recibir financiación.</w:t>
      </w:r>
    </w:p>
    <w:p w14:paraId="1044CFAC" w14:textId="77777777" w:rsidR="0088089B" w:rsidRPr="0088089B" w:rsidRDefault="0088089B" w:rsidP="0088089B">
      <w:pPr>
        <w:pStyle w:val="Heading1"/>
        <w:rPr>
          <w:lang w:val="es-ES"/>
        </w:rPr>
      </w:pPr>
      <w:r w:rsidRPr="0088089B">
        <w:rPr>
          <w:lang w:val="es-ES"/>
        </w:rPr>
        <w:t xml:space="preserve">La Secretaría del Fondo recomienda además la aprobación general del tercer tramo de la etapa II del PGEH para Viet Nam y del plan de ejecución del tramo correspondiente para 2021-2022, con los niveles de financiación que se indican en el cuadro a continuación: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88089B" w:rsidRPr="0088089B" w14:paraId="4E30D69D" w14:textId="77777777" w:rsidTr="001E2274">
        <w:tc>
          <w:tcPr>
            <w:tcW w:w="540" w:type="dxa"/>
          </w:tcPr>
          <w:p w14:paraId="3ADFB5E1" w14:textId="77777777" w:rsidR="0088089B" w:rsidRPr="0088089B" w:rsidRDefault="0088089B" w:rsidP="0088089B">
            <w:pPr>
              <w:jc w:val="center"/>
              <w:rPr>
                <w:b/>
                <w:bCs/>
                <w:sz w:val="20"/>
                <w:szCs w:val="20"/>
                <w:lang w:val="es-ES"/>
              </w:rPr>
            </w:pPr>
          </w:p>
        </w:tc>
        <w:tc>
          <w:tcPr>
            <w:tcW w:w="4320" w:type="dxa"/>
          </w:tcPr>
          <w:p w14:paraId="33513BA6" w14:textId="77777777" w:rsidR="0088089B" w:rsidRPr="0088089B" w:rsidRDefault="0088089B" w:rsidP="0088089B">
            <w:pPr>
              <w:jc w:val="center"/>
              <w:rPr>
                <w:b/>
                <w:bCs/>
                <w:sz w:val="20"/>
                <w:szCs w:val="20"/>
                <w:lang w:val="es-ES"/>
              </w:rPr>
            </w:pPr>
            <w:r w:rsidRPr="0088089B">
              <w:rPr>
                <w:b/>
                <w:sz w:val="20"/>
                <w:lang w:val="es-ES"/>
              </w:rPr>
              <w:t>Título del proyecto</w:t>
            </w:r>
          </w:p>
        </w:tc>
        <w:tc>
          <w:tcPr>
            <w:tcW w:w="1461" w:type="dxa"/>
            <w:tcMar>
              <w:left w:w="29" w:type="dxa"/>
              <w:right w:w="29" w:type="dxa"/>
            </w:tcMar>
          </w:tcPr>
          <w:p w14:paraId="4E6A3103" w14:textId="77777777" w:rsidR="0088089B" w:rsidRPr="0088089B" w:rsidRDefault="0088089B" w:rsidP="0088089B">
            <w:pPr>
              <w:jc w:val="center"/>
              <w:rPr>
                <w:b/>
                <w:bCs/>
                <w:sz w:val="20"/>
                <w:szCs w:val="20"/>
                <w:lang w:val="es-ES"/>
              </w:rPr>
            </w:pPr>
            <w:r w:rsidRPr="0088089B">
              <w:rPr>
                <w:b/>
                <w:sz w:val="20"/>
                <w:lang w:val="es-ES"/>
              </w:rPr>
              <w:t>Financiación del proyecto ($EUA)</w:t>
            </w:r>
          </w:p>
        </w:tc>
        <w:tc>
          <w:tcPr>
            <w:tcW w:w="1461" w:type="dxa"/>
            <w:tcMar>
              <w:left w:w="29" w:type="dxa"/>
              <w:right w:w="29" w:type="dxa"/>
            </w:tcMar>
          </w:tcPr>
          <w:p w14:paraId="5AE71488" w14:textId="77777777" w:rsidR="0088089B" w:rsidRPr="0088089B" w:rsidRDefault="0088089B" w:rsidP="0088089B">
            <w:pPr>
              <w:jc w:val="center"/>
              <w:rPr>
                <w:b/>
                <w:bCs/>
                <w:sz w:val="20"/>
                <w:szCs w:val="20"/>
                <w:lang w:val="es-ES"/>
              </w:rPr>
            </w:pPr>
            <w:r w:rsidRPr="0088089B">
              <w:rPr>
                <w:b/>
                <w:sz w:val="20"/>
                <w:lang w:val="es-ES"/>
              </w:rPr>
              <w:t>Gastos de apoyo ($EUA)</w:t>
            </w:r>
          </w:p>
        </w:tc>
        <w:tc>
          <w:tcPr>
            <w:tcW w:w="1461" w:type="dxa"/>
            <w:tcMar>
              <w:left w:w="29" w:type="dxa"/>
              <w:right w:w="29" w:type="dxa"/>
            </w:tcMar>
          </w:tcPr>
          <w:p w14:paraId="6E0B9A71" w14:textId="77777777" w:rsidR="0088089B" w:rsidRPr="0088089B" w:rsidRDefault="0088089B" w:rsidP="0088089B">
            <w:pPr>
              <w:jc w:val="center"/>
              <w:rPr>
                <w:b/>
                <w:bCs/>
                <w:sz w:val="20"/>
                <w:szCs w:val="20"/>
                <w:lang w:val="es-ES"/>
              </w:rPr>
            </w:pPr>
            <w:r w:rsidRPr="0088089B">
              <w:rPr>
                <w:b/>
                <w:sz w:val="20"/>
                <w:lang w:val="es-ES"/>
              </w:rPr>
              <w:t>Organismo de ejecución</w:t>
            </w:r>
          </w:p>
        </w:tc>
      </w:tr>
      <w:tr w:rsidR="0088089B" w:rsidRPr="0088089B" w14:paraId="498CEE75" w14:textId="77777777" w:rsidTr="001E2274">
        <w:tc>
          <w:tcPr>
            <w:tcW w:w="540" w:type="dxa"/>
          </w:tcPr>
          <w:p w14:paraId="42A61EB9" w14:textId="77777777" w:rsidR="0088089B" w:rsidRPr="0088089B" w:rsidRDefault="0088089B" w:rsidP="0088089B">
            <w:pPr>
              <w:rPr>
                <w:sz w:val="20"/>
                <w:szCs w:val="20"/>
                <w:lang w:val="es-ES"/>
              </w:rPr>
            </w:pPr>
            <w:r w:rsidRPr="0088089B">
              <w:rPr>
                <w:sz w:val="20"/>
                <w:lang w:val="es-ES"/>
              </w:rPr>
              <w:t>a)</w:t>
            </w:r>
          </w:p>
        </w:tc>
        <w:tc>
          <w:tcPr>
            <w:tcW w:w="4320" w:type="dxa"/>
          </w:tcPr>
          <w:p w14:paraId="79F5894D" w14:textId="77777777" w:rsidR="0088089B" w:rsidRPr="0088089B" w:rsidRDefault="0088089B" w:rsidP="0088089B">
            <w:pPr>
              <w:rPr>
                <w:sz w:val="20"/>
                <w:szCs w:val="20"/>
                <w:lang w:val="es-ES"/>
              </w:rPr>
            </w:pPr>
            <w:r w:rsidRPr="0088089B">
              <w:rPr>
                <w:sz w:val="20"/>
                <w:lang w:val="es-ES"/>
              </w:rPr>
              <w:t>Plan de gestión de la eliminación de los HCFC (etapa II, tercer tramo)</w:t>
            </w:r>
          </w:p>
        </w:tc>
        <w:tc>
          <w:tcPr>
            <w:tcW w:w="1461" w:type="dxa"/>
          </w:tcPr>
          <w:p w14:paraId="5BA156F7" w14:textId="42C5E223" w:rsidR="0088089B" w:rsidRPr="0088089B" w:rsidRDefault="0088089B" w:rsidP="0088089B">
            <w:pPr>
              <w:jc w:val="right"/>
              <w:rPr>
                <w:sz w:val="20"/>
                <w:szCs w:val="20"/>
                <w:highlight w:val="cyan"/>
                <w:lang w:val="es-ES"/>
              </w:rPr>
            </w:pPr>
            <w:r w:rsidRPr="0088089B">
              <w:rPr>
                <w:sz w:val="20"/>
                <w:lang w:val="es-ES"/>
              </w:rPr>
              <w:t>3 781 257</w:t>
            </w:r>
          </w:p>
        </w:tc>
        <w:tc>
          <w:tcPr>
            <w:tcW w:w="1461" w:type="dxa"/>
          </w:tcPr>
          <w:p w14:paraId="579235A5" w14:textId="45EFE711" w:rsidR="0088089B" w:rsidRPr="0088089B" w:rsidRDefault="0088089B" w:rsidP="0088089B">
            <w:pPr>
              <w:jc w:val="right"/>
              <w:rPr>
                <w:lang w:val="es-ES"/>
              </w:rPr>
            </w:pPr>
            <w:r w:rsidRPr="0088089B">
              <w:rPr>
                <w:sz w:val="20"/>
                <w:lang w:val="es-ES"/>
              </w:rPr>
              <w:t>264 688</w:t>
            </w:r>
          </w:p>
        </w:tc>
        <w:tc>
          <w:tcPr>
            <w:tcW w:w="1461" w:type="dxa"/>
          </w:tcPr>
          <w:p w14:paraId="1F20D4B5" w14:textId="77777777" w:rsidR="0088089B" w:rsidRPr="0088089B" w:rsidRDefault="0088089B" w:rsidP="0088089B">
            <w:pPr>
              <w:jc w:val="center"/>
              <w:rPr>
                <w:sz w:val="20"/>
                <w:szCs w:val="20"/>
                <w:lang w:val="es-ES"/>
              </w:rPr>
            </w:pPr>
            <w:r w:rsidRPr="0088089B">
              <w:rPr>
                <w:sz w:val="20"/>
                <w:lang w:val="es-ES"/>
              </w:rPr>
              <w:t>Banco Mundial</w:t>
            </w:r>
          </w:p>
        </w:tc>
      </w:tr>
      <w:tr w:rsidR="0088089B" w:rsidRPr="0088089B" w14:paraId="2A3E8CC3" w14:textId="77777777" w:rsidTr="001E2274">
        <w:tc>
          <w:tcPr>
            <w:tcW w:w="540" w:type="dxa"/>
          </w:tcPr>
          <w:p w14:paraId="3EA4DC04" w14:textId="77777777" w:rsidR="0088089B" w:rsidRPr="0088089B" w:rsidRDefault="0088089B" w:rsidP="0088089B">
            <w:pPr>
              <w:rPr>
                <w:sz w:val="20"/>
                <w:szCs w:val="20"/>
                <w:lang w:val="es-ES"/>
              </w:rPr>
            </w:pPr>
            <w:r w:rsidRPr="0088089B">
              <w:rPr>
                <w:sz w:val="20"/>
                <w:lang w:val="es-ES"/>
              </w:rPr>
              <w:t>b)</w:t>
            </w:r>
          </w:p>
        </w:tc>
        <w:tc>
          <w:tcPr>
            <w:tcW w:w="4320" w:type="dxa"/>
          </w:tcPr>
          <w:p w14:paraId="5599534D" w14:textId="77777777" w:rsidR="0088089B" w:rsidRPr="0088089B" w:rsidRDefault="0088089B" w:rsidP="0088089B">
            <w:pPr>
              <w:rPr>
                <w:sz w:val="20"/>
                <w:szCs w:val="20"/>
                <w:lang w:val="es-ES"/>
              </w:rPr>
            </w:pPr>
            <w:r w:rsidRPr="0088089B">
              <w:rPr>
                <w:sz w:val="20"/>
                <w:lang w:val="es-ES"/>
              </w:rPr>
              <w:t>Plan de gestión de la eliminación de los HCFC (etapa II, tercer tramo)</w:t>
            </w:r>
          </w:p>
        </w:tc>
        <w:tc>
          <w:tcPr>
            <w:tcW w:w="1461" w:type="dxa"/>
          </w:tcPr>
          <w:p w14:paraId="761DA69B" w14:textId="16387494" w:rsidR="0088089B" w:rsidRPr="0088089B" w:rsidRDefault="0088089B" w:rsidP="0088089B">
            <w:pPr>
              <w:jc w:val="right"/>
              <w:rPr>
                <w:sz w:val="20"/>
                <w:szCs w:val="20"/>
                <w:highlight w:val="cyan"/>
                <w:lang w:val="es-ES"/>
              </w:rPr>
            </w:pPr>
            <w:r w:rsidRPr="0088089B">
              <w:rPr>
                <w:sz w:val="20"/>
                <w:lang w:val="es-ES"/>
              </w:rPr>
              <w:t>26 400</w:t>
            </w:r>
          </w:p>
        </w:tc>
        <w:tc>
          <w:tcPr>
            <w:tcW w:w="1461" w:type="dxa"/>
          </w:tcPr>
          <w:p w14:paraId="6A8D8F41" w14:textId="53B10412" w:rsidR="0088089B" w:rsidRPr="0088089B" w:rsidRDefault="0088089B" w:rsidP="0088089B">
            <w:pPr>
              <w:jc w:val="right"/>
              <w:rPr>
                <w:lang w:val="es-ES"/>
              </w:rPr>
            </w:pPr>
            <w:r w:rsidRPr="0088089B">
              <w:rPr>
                <w:sz w:val="20"/>
                <w:lang w:val="es-ES"/>
              </w:rPr>
              <w:t>3 432</w:t>
            </w:r>
          </w:p>
        </w:tc>
        <w:tc>
          <w:tcPr>
            <w:tcW w:w="1461" w:type="dxa"/>
          </w:tcPr>
          <w:p w14:paraId="53BD8FB2" w14:textId="77777777" w:rsidR="0088089B" w:rsidRPr="0088089B" w:rsidRDefault="0088089B" w:rsidP="0088089B">
            <w:pPr>
              <w:jc w:val="center"/>
              <w:rPr>
                <w:sz w:val="20"/>
                <w:szCs w:val="20"/>
                <w:lang w:val="es-ES"/>
              </w:rPr>
            </w:pPr>
            <w:r w:rsidRPr="0088089B">
              <w:rPr>
                <w:sz w:val="20"/>
                <w:lang w:val="es-ES"/>
              </w:rPr>
              <w:t>Japón</w:t>
            </w:r>
          </w:p>
        </w:tc>
      </w:tr>
    </w:tbl>
    <w:p w14:paraId="3CAADA4D" w14:textId="77777777" w:rsidR="0088089B" w:rsidRPr="0088089B" w:rsidRDefault="0088089B" w:rsidP="0088089B">
      <w:pPr>
        <w:rPr>
          <w:lang w:val="es-ES"/>
        </w:rPr>
      </w:pPr>
    </w:p>
    <w:p w14:paraId="01857E10" w14:textId="77777777" w:rsidR="0088089B" w:rsidRPr="0088089B" w:rsidRDefault="0088089B" w:rsidP="0088089B">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88089B" w:rsidRPr="0088089B" w14:paraId="722461B6" w14:textId="77777777" w:rsidTr="001E2274">
        <w:tc>
          <w:tcPr>
            <w:tcW w:w="1871" w:type="dxa"/>
          </w:tcPr>
          <w:p w14:paraId="7941E73A" w14:textId="77777777" w:rsidR="0088089B" w:rsidRPr="0088089B" w:rsidRDefault="0088089B" w:rsidP="0088089B">
            <w:pPr>
              <w:rPr>
                <w:lang w:val="es-ES"/>
              </w:rPr>
            </w:pPr>
          </w:p>
        </w:tc>
        <w:tc>
          <w:tcPr>
            <w:tcW w:w="1872" w:type="dxa"/>
          </w:tcPr>
          <w:p w14:paraId="70509DD8" w14:textId="77777777" w:rsidR="0088089B" w:rsidRPr="0088089B" w:rsidRDefault="0088089B" w:rsidP="0088089B">
            <w:pPr>
              <w:rPr>
                <w:lang w:val="es-ES"/>
              </w:rPr>
            </w:pPr>
          </w:p>
        </w:tc>
        <w:tc>
          <w:tcPr>
            <w:tcW w:w="1872" w:type="dxa"/>
            <w:tcBorders>
              <w:bottom w:val="single" w:sz="4" w:space="0" w:color="auto"/>
            </w:tcBorders>
          </w:tcPr>
          <w:p w14:paraId="5FC463EC" w14:textId="77777777" w:rsidR="0088089B" w:rsidRPr="0088089B" w:rsidRDefault="0088089B" w:rsidP="0088089B">
            <w:pPr>
              <w:rPr>
                <w:lang w:val="es-ES"/>
              </w:rPr>
            </w:pPr>
          </w:p>
        </w:tc>
        <w:tc>
          <w:tcPr>
            <w:tcW w:w="1872" w:type="dxa"/>
          </w:tcPr>
          <w:p w14:paraId="0C3A49B3" w14:textId="77777777" w:rsidR="0088089B" w:rsidRPr="0088089B" w:rsidRDefault="0088089B" w:rsidP="0088089B">
            <w:pPr>
              <w:rPr>
                <w:lang w:val="es-ES"/>
              </w:rPr>
            </w:pPr>
          </w:p>
        </w:tc>
        <w:tc>
          <w:tcPr>
            <w:tcW w:w="1873" w:type="dxa"/>
          </w:tcPr>
          <w:p w14:paraId="332A2042" w14:textId="77777777" w:rsidR="0088089B" w:rsidRPr="0088089B" w:rsidRDefault="0088089B" w:rsidP="0088089B">
            <w:pPr>
              <w:rPr>
                <w:lang w:val="es-ES"/>
              </w:rPr>
            </w:pPr>
          </w:p>
        </w:tc>
      </w:tr>
    </w:tbl>
    <w:p w14:paraId="78C565DF" w14:textId="77777777" w:rsidR="0088089B" w:rsidRPr="0088089B" w:rsidRDefault="0088089B" w:rsidP="0088089B">
      <w:pPr>
        <w:rPr>
          <w:lang w:val="es-ES"/>
        </w:rPr>
      </w:pPr>
    </w:p>
    <w:p w14:paraId="69E3A467" w14:textId="47E20570" w:rsidR="00E70EAE" w:rsidRPr="0088089B" w:rsidRDefault="00E70EAE" w:rsidP="0088089B">
      <w:pPr>
        <w:jc w:val="left"/>
        <w:rPr>
          <w:lang w:val="es-ES"/>
        </w:rPr>
      </w:pPr>
    </w:p>
    <w:p w14:paraId="0E4A25C6" w14:textId="39968749" w:rsidR="0087455A" w:rsidRPr="0088089B" w:rsidRDefault="0087455A" w:rsidP="0088089B">
      <w:pPr>
        <w:pStyle w:val="StyleHeader4Para4Left0Firstline0"/>
        <w:widowControl/>
        <w:numPr>
          <w:ilvl w:val="0"/>
          <w:numId w:val="0"/>
        </w:numPr>
        <w:rPr>
          <w:lang w:val="es-ES"/>
        </w:rPr>
      </w:pPr>
      <w:bookmarkStart w:id="1" w:name="_GoBack"/>
      <w:bookmarkEnd w:id="1"/>
    </w:p>
    <w:p w14:paraId="4D97CC35" w14:textId="77777777" w:rsidR="0087455A" w:rsidRPr="0088089B" w:rsidRDefault="0087455A" w:rsidP="0088089B">
      <w:pPr>
        <w:rPr>
          <w:lang w:val="es-ES"/>
        </w:rPr>
        <w:sectPr w:rsidR="0087455A" w:rsidRPr="0088089B">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14:paraId="695F3750" w14:textId="77777777" w:rsidR="001B230A" w:rsidRPr="0088089B" w:rsidRDefault="001B230A" w:rsidP="0088089B">
      <w:pPr>
        <w:jc w:val="center"/>
        <w:rPr>
          <w:b/>
          <w:sz w:val="18"/>
          <w:szCs w:val="18"/>
          <w:lang w:val="es-ES"/>
        </w:rPr>
      </w:pPr>
    </w:p>
    <w:sectPr w:rsidR="001B230A" w:rsidRPr="0088089B" w:rsidSect="007E35E9">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864" w:left="1440" w:header="720" w:footer="475"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0">
      <wne:acd wne:acdName="acd5"/>
    </wne:keymap>
    <wne:keymap wne:kcmPrimary="0431">
      <wne:acd wne:acdName="acd1"/>
    </wne:keymap>
    <wne:keymap wne:kcmPrimary="0432">
      <wne:acd wne:acdName="acd2"/>
    </wne:keymap>
    <wne:keymap wne:kcmPrimary="0433">
      <wne:acd wne:acdName="acd3"/>
    </wne:keymap>
    <wne:keymap wne:kcmPrimary="0434">
      <wne:acd wne:acdName="acd6"/>
    </wne:keymap>
    <wne:keymap wne:kcmPrimary="0435">
      <wne:acd wne:acdName="acd7"/>
    </wne:keymap>
    <wne:keymap wne:kcmPrimary="0442">
      <wne:macro wne:macroName="TEMPLATEPROJECT.HCFC141.MAIN"/>
    </wne:keymap>
    <wne:keymap wne:kcmPrimary="0443">
      <wne:macro wne:macroName="TEMPLATEPROJECT.HCFC22.MAIN"/>
    </wne:keymap>
    <wne:keymap wne:kcmPrimary="0444">
      <wne:macro wne:macroName="TEMPLATEPROJECT.DECESION.DECISION"/>
    </wne:keymap>
    <wne:keymap wne:kcmPrimary="0445">
      <wne:macro wne:macroName="TEMPLATEPROJECT.EC.MAIN"/>
    </wne:keymap>
    <wne:keymap wne:kcmPrimary="0446">
      <wne:macro wne:macroName="TEMPLATEPROJECT.FS.MAIN"/>
    </wne:keymap>
    <wne:keymap wne:kcmPrimary="0448">
      <wne:macro wne:macroName="TEMPLATEPROJECT.HPMP.MAIN"/>
    </wne:keymap>
    <wne:keymap wne:kcmPrimary="0449">
      <wne:macro wne:macroName="TEMPLATEPROJECT.IS1.MAIN"/>
    </wne:keymap>
    <wne:keymap wne:kcmPrimary="044C">
      <wne:fci wne:fciName="CssLinks" wne:swArg="0000"/>
    </wne:keymap>
    <wne:keymap wne:kcmPrimary="044D">
      <wne:macro wne:macroName="TEMPLATEPROJECT.MF.MAIN"/>
    </wne:keymap>
    <wne:keymap wne:kcmPrimary="044F">
      <wne:macro wne:macroName="TEMPLATEPROJECT.ODP.MAIN"/>
    </wne:keymap>
    <wne:keymap wne:kcmPrimary="0450">
      <wne:macro wne:macroName="TEMPLATEPROJECT.MP.MAIN"/>
    </wne:keymap>
    <wne:keymap wne:kcmPrimary="0453">
      <wne:macro wne:macroName="TEMPLATEPROJECT.US.MAIN"/>
    </wne:keymap>
    <wne:keymap wne:kcmPrimary="0454">
      <wne:macro wne:macroName="TEMPLATEPROJECT.MT.MAIN"/>
    </wne:keymap>
    <wne:keymap wne:kcmPrimary="0455">
      <wne:macro wne:macroName="TEMPLATEPROJECT.CODE.MAIN"/>
    </wne:keymap>
    <wne:keymap wne:kcmPrimary="0543">
      <wne:macro wne:macroName="TEMPLATEPROJECT.POLYOLS.MAIN"/>
    </wne:keymap>
    <wne:keymap wne:kcmPrimary="0544">
      <wne:macro wne:macroName="TEMPLATEPROJECT.DEC.MAIN"/>
    </wne:keymap>
    <wne:keymap wne:kcmPrimary="0548">
      <wne:macro wne:macroName="TEMPLATEPROJECT.HPMP1.MAIN"/>
    </wne:keymap>
    <wne:keymap wne:kcmPrimary="054D">
      <wne:macro wne:macroName="TEMPLATEPROJECT.MEETING.MAIN"/>
    </wne:keymap>
    <wne:keymap wne:kcmPrimary="0550">
      <wne:macro wne:macroName="TEMPLATEPROJECT.MOP.MAIN"/>
    </wne:keymap>
    <wne:keymap wne:kcmPrimary="0553">
      <wne:macro wne:macroName="TEMPLATEPROJECT.STAGE1.MAIN"/>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ZQBjAGwAbwBnAG8A" wne:acdName="acd0" wne:fciIndexBasedOn="0211"/>
    <wne:acd wne:argValue="AQAAAAEA" wne:acdName="acd1" wne:fciIndexBasedOn="0065"/>
    <wne:acd wne:argValue="AQAAAAIA" wne:acdName="acd2" wne:fciIndexBasedOn="0065"/>
    <wne:acd wne:argValue="AQAAAAMA" wne:acdName="acd3" wne:fciIndexBasedOn="0065"/>
    <wne:acd wne:acdName="acd4" wne:fciIndexBasedOn="0065"/>
    <wne:acd wne:argValue="AgAwACAASABlAGEAZABpAG4AZwAgADAA" wne:acdName="acd5" wne:fciIndexBasedOn="0065"/>
    <wne:acd wne:argValue="AgBIAGUAYQBkAGUAcgA0ACwAUABhAHIAYQAgADQA" wne:acdName="acd6" wne:fciIndexBasedOn="0065"/>
    <wne:acd wne:argValue="AQAAAAUA" wne:acdName="acd7"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C707D" w14:textId="77777777" w:rsidR="00F4075E" w:rsidRDefault="00F4075E">
      <w:r>
        <w:separator/>
      </w:r>
    </w:p>
  </w:endnote>
  <w:endnote w:type="continuationSeparator" w:id="0">
    <w:p w14:paraId="36F47F27" w14:textId="77777777" w:rsidR="00F4075E" w:rsidRDefault="00F4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A27D" w14:textId="708CDED4" w:rsidR="00F4075E" w:rsidRDefault="00F4075E">
    <w:pPr>
      <w:jc w:val="center"/>
    </w:pPr>
    <w:r>
      <w:fldChar w:fldCharType="begin"/>
    </w:r>
    <w:r>
      <w:instrText xml:space="preserve"> PAGE </w:instrText>
    </w:r>
    <w:r>
      <w:fldChar w:fldCharType="separate"/>
    </w:r>
    <w:r w:rsidR="004465E9">
      <w:rPr>
        <w:noProof/>
      </w:rPr>
      <w:t>10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DBD25" w14:textId="090EBB05" w:rsidR="00F4075E" w:rsidRDefault="00F4075E">
    <w:pPr>
      <w:jc w:val="center"/>
    </w:pPr>
    <w:r>
      <w:fldChar w:fldCharType="begin"/>
    </w:r>
    <w:r>
      <w:instrText xml:space="preserve"> PAGE </w:instrText>
    </w:r>
    <w:r>
      <w:fldChar w:fldCharType="separate"/>
    </w:r>
    <w:r w:rsidR="004465E9">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9CF28" w14:textId="77777777" w:rsidR="00F4075E" w:rsidRDefault="00F4075E">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C541" w14:textId="77777777" w:rsidR="00F4075E" w:rsidRPr="0033525D" w:rsidRDefault="00F4075E">
    <w:pP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FB177" w14:textId="77777777" w:rsidR="00F4075E" w:rsidRPr="0033525D" w:rsidRDefault="00F4075E">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2C24" w14:textId="51CC499A" w:rsidR="00F4075E" w:rsidRPr="0033525D" w:rsidRDefault="00F4075E" w:rsidP="007E35E9">
    <w:pPr>
      <w:jc w:val="center"/>
    </w:pPr>
    <w:r>
      <w:fldChar w:fldCharType="begin"/>
    </w:r>
    <w:r>
      <w:instrText xml:space="preserve"> PAGE </w:instrText>
    </w:r>
    <w:r>
      <w:fldChar w:fldCharType="separate"/>
    </w:r>
    <w:r w:rsidR="004465E9">
      <w:rPr>
        <w:noProof/>
      </w:rPr>
      <w:t>1</w:t>
    </w:r>
    <w:r>
      <w:rPr>
        <w:noProof/>
      </w:rPr>
      <w:fldChar w:fldCharType="end"/>
    </w:r>
  </w:p>
  <w:p w14:paraId="0689281D" w14:textId="77777777" w:rsidR="00F4075E" w:rsidRPr="00891F55" w:rsidRDefault="00F4075E" w:rsidP="007E35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3EBD4" w14:textId="77777777" w:rsidR="00F4075E" w:rsidRDefault="00F4075E">
      <w:r>
        <w:separator/>
      </w:r>
    </w:p>
  </w:footnote>
  <w:footnote w:type="continuationSeparator" w:id="0">
    <w:p w14:paraId="1E775A67" w14:textId="77777777" w:rsidR="00F4075E" w:rsidRDefault="00F4075E">
      <w:r>
        <w:continuationSeparator/>
      </w:r>
    </w:p>
  </w:footnote>
  <w:footnote w:id="1">
    <w:p w14:paraId="44F7630B" w14:textId="7CD6A5DE" w:rsidR="0088089B" w:rsidRDefault="0088089B" w:rsidP="004465E9">
      <w:pPr>
        <w:pStyle w:val="FootnoteText"/>
        <w:rPr>
          <w:lang w:val="es-MX"/>
        </w:rPr>
      </w:pPr>
      <w:r>
        <w:rPr>
          <w:rStyle w:val="FootnoteReference"/>
        </w:rPr>
        <w:footnoteRef/>
      </w:r>
      <w:r w:rsidRPr="00055977">
        <w:rPr>
          <w:lang w:val="es-419"/>
        </w:rPr>
        <w:t xml:space="preserve"> </w:t>
      </w:r>
      <w:r w:rsidR="004465E9" w:rsidRPr="008D6A1A">
        <w:rPr>
          <w:lang w:val="es-MX"/>
        </w:rPr>
        <w:t>En junio y julio de 2021 se celebrarán reunion</w:t>
      </w:r>
      <w:r w:rsidR="004465E9">
        <w:rPr>
          <w:lang w:val="es-MX"/>
        </w:rPr>
        <w:t>e</w:t>
      </w:r>
      <w:r w:rsidR="004465E9" w:rsidRPr="008D6A1A">
        <w:rPr>
          <w:lang w:val="es-MX"/>
        </w:rPr>
        <w:t xml:space="preserve">s en </w:t>
      </w:r>
      <w:r w:rsidR="004465E9">
        <w:rPr>
          <w:lang w:val="es-MX"/>
        </w:rPr>
        <w:t>líneas y se llevará a cabo el proceso de aprobación entre período de sesiones, debido al coronavirus (COVID-19).</w:t>
      </w:r>
    </w:p>
    <w:p w14:paraId="51A6285D" w14:textId="77777777" w:rsidR="004465E9" w:rsidRPr="004465E9" w:rsidRDefault="004465E9" w:rsidP="004465E9">
      <w:pPr>
        <w:pStyle w:val="FootnoteText"/>
        <w:rPr>
          <w:lang w:val="es-MX"/>
        </w:rPr>
      </w:pPr>
    </w:p>
  </w:footnote>
  <w:footnote w:id="2">
    <w:p w14:paraId="619F702A" w14:textId="77777777" w:rsidR="0088089B" w:rsidRPr="00055977" w:rsidRDefault="0088089B" w:rsidP="0088089B">
      <w:pPr>
        <w:pStyle w:val="FootnoteText"/>
        <w:rPr>
          <w:lang w:val="es-419"/>
        </w:rPr>
      </w:pPr>
      <w:r>
        <w:rPr>
          <w:rStyle w:val="FootnoteReference"/>
        </w:rPr>
        <w:footnoteRef/>
      </w:r>
      <w:r w:rsidRPr="00055977">
        <w:rPr>
          <w:lang w:val="es-419"/>
        </w:rPr>
        <w:t xml:space="preserve"> Según la carta de fecha 19 de abril de 2021 del Ministerio de Recursos Naturales y Medio Ambiente (MONRE) de Viet Nam al Banco Mundial.</w:t>
      </w:r>
    </w:p>
  </w:footnote>
  <w:footnote w:id="3">
    <w:p w14:paraId="3C9EECED" w14:textId="77777777" w:rsidR="0088089B" w:rsidRPr="00055977" w:rsidRDefault="0088089B" w:rsidP="0088089B">
      <w:pPr>
        <w:pStyle w:val="FootnoteText"/>
        <w:rPr>
          <w:lang w:val="es-419"/>
        </w:rPr>
      </w:pPr>
      <w:r>
        <w:rPr>
          <w:rStyle w:val="FootnoteReference"/>
        </w:rPr>
        <w:footnoteRef/>
      </w:r>
      <w:r w:rsidRPr="00055977">
        <w:rPr>
          <w:lang w:val="es-419"/>
        </w:rPr>
        <w:t xml:space="preserve"> Los desembolsos notificados abarcan los desembolsos realizados en el primer tramo. </w:t>
      </w:r>
    </w:p>
  </w:footnote>
  <w:footnote w:id="4">
    <w:p w14:paraId="37F408A1" w14:textId="77777777" w:rsidR="0088089B" w:rsidRPr="00055977" w:rsidRDefault="0088089B" w:rsidP="0088089B">
      <w:pPr>
        <w:pStyle w:val="FootnoteText"/>
        <w:rPr>
          <w:lang w:val="es-419"/>
        </w:rPr>
      </w:pPr>
      <w:r>
        <w:rPr>
          <w:rStyle w:val="FootnoteReference"/>
        </w:rPr>
        <w:footnoteRef/>
      </w:r>
      <w:r w:rsidRPr="00055977">
        <w:rPr>
          <w:lang w:val="es-419"/>
        </w:rPr>
        <w:t xml:space="preserve"> Los tramos no se tratan como proyectos en el sistema del Banco Mundial, ni se mantienen en subcuentas separadas. En consecuencia, el Banco Mundial no pudo asignar las actividades por tramos y utilizaría los saldos restantes del segundo tramo y la financiación del tercer tramo para ejecutar las actividades previstas para el período 2021-2022, cuyo valor es superior al del tercer tramo.  </w:t>
      </w:r>
    </w:p>
  </w:footnote>
  <w:footnote w:id="5">
    <w:p w14:paraId="27FBDBBC" w14:textId="77777777" w:rsidR="0088089B" w:rsidRPr="00055977" w:rsidRDefault="0088089B" w:rsidP="0088089B">
      <w:pPr>
        <w:pStyle w:val="FootnoteText"/>
        <w:rPr>
          <w:lang w:val="es-419"/>
        </w:rPr>
      </w:pPr>
      <w:r>
        <w:rPr>
          <w:rStyle w:val="FootnoteReference"/>
        </w:rPr>
        <w:footnoteRef/>
      </w:r>
      <w:r w:rsidRPr="00055977">
        <w:rPr>
          <w:lang w:val="es-419"/>
        </w:rPr>
        <w:t xml:space="preserve"> Una cámara de ensayo automatizada en la que un producto se somete al choque de cambios extremos de temperatura para probar su rendimiento. </w:t>
      </w:r>
      <w:r w:rsidRPr="00055977">
        <w:rPr>
          <w:rFonts w:ascii="Arial" w:hAnsi="Arial"/>
          <w:color w:val="000000"/>
          <w:sz w:val="21"/>
          <w:shd w:val="clear" w:color="auto" w:fill="FFFFFF"/>
          <w:lang w:val="es-419"/>
        </w:rPr>
        <w:t xml:space="preserve"> </w:t>
      </w:r>
    </w:p>
  </w:footnote>
  <w:footnote w:id="6">
    <w:p w14:paraId="04298D92" w14:textId="77777777" w:rsidR="0088089B" w:rsidRPr="00055977" w:rsidRDefault="0088089B" w:rsidP="0088089B">
      <w:pPr>
        <w:pStyle w:val="FootnoteText"/>
        <w:rPr>
          <w:lang w:val="es-419"/>
        </w:rPr>
      </w:pPr>
      <w:r>
        <w:rPr>
          <w:rStyle w:val="FootnoteReference"/>
        </w:rPr>
        <w:footnoteRef/>
      </w:r>
      <w:r w:rsidRPr="00055977">
        <w:rPr>
          <w:lang w:val="es-419"/>
        </w:rPr>
        <w:t xml:space="preserve"> En la decisión 84/92 d) se pidió a los organismos bilaterales y de ejecución que apliquen la política operacional sobre la incorporación de la perspectiva de género en el ciclo de proyecto completo.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4FB2" w14:textId="56E6F63B" w:rsidR="00F4075E" w:rsidRDefault="004465E9">
    <w:r>
      <w:fldChar w:fldCharType="begin"/>
    </w:r>
    <w:r>
      <w:instrText xml:space="preserve"> DOCPROPERTY "Document number"  \* MERGEFORMAT </w:instrText>
    </w:r>
    <w:r>
      <w:fldChar w:fldCharType="separate"/>
    </w:r>
    <w:r w:rsidR="00055977">
      <w:t>UNEP/OzL.Pro/ExCom/87/40</w:t>
    </w:r>
    <w:r>
      <w:fldChar w:fldCharType="end"/>
    </w:r>
  </w:p>
  <w:p w14:paraId="3AC22739" w14:textId="77777777" w:rsidR="00F4075E" w:rsidRDefault="00F4075E"/>
  <w:p w14:paraId="45677B17" w14:textId="77777777" w:rsidR="00F4075E" w:rsidRDefault="00F4075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BB1A6" w14:textId="0DF84321" w:rsidR="00F4075E" w:rsidRDefault="004465E9">
    <w:pPr>
      <w:jc w:val="right"/>
    </w:pPr>
    <w:r>
      <w:fldChar w:fldCharType="begin"/>
    </w:r>
    <w:r>
      <w:instrText xml:space="preserve"> DOCPROPERTY "Document number"  \* MERGEFORMAT </w:instrText>
    </w:r>
    <w:r>
      <w:fldChar w:fldCharType="separate"/>
    </w:r>
    <w:r w:rsidR="00055977">
      <w:t>UNEP/OzL.Pro/ExCom/87/40</w:t>
    </w:r>
    <w:r>
      <w:fldChar w:fldCharType="end"/>
    </w:r>
  </w:p>
  <w:p w14:paraId="755AE1FA" w14:textId="77777777" w:rsidR="00F4075E" w:rsidRDefault="00F4075E"/>
  <w:p w14:paraId="3A9C2842" w14:textId="77777777" w:rsidR="00F4075E" w:rsidRDefault="00F4075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1E17C" w14:textId="77777777" w:rsidR="00F4075E" w:rsidRPr="0033525D" w:rsidRDefault="004465E9">
    <w:r>
      <w:fldChar w:fldCharType="begin"/>
    </w:r>
    <w:r>
      <w:instrText xml:space="preserve"> DOCPROPERTY "Document number"  \* MERGEFORMAT </w:instrText>
    </w:r>
    <w:r>
      <w:fldChar w:fldCharType="separate"/>
    </w:r>
    <w:r w:rsidR="00F4075E">
      <w:t>UNEP/OzL.Pro/ExCom/87/6</w:t>
    </w:r>
    <w:r>
      <w:fldChar w:fldCharType="end"/>
    </w:r>
  </w:p>
  <w:p w14:paraId="64D422E5" w14:textId="016663EB" w:rsidR="00F4075E" w:rsidRPr="0033525D" w:rsidRDefault="00F4075E">
    <w:r>
      <w:t>Anexo III</w:t>
    </w:r>
  </w:p>
  <w:p w14:paraId="394B84A8" w14:textId="77777777" w:rsidR="00F4075E" w:rsidRPr="0033525D" w:rsidRDefault="00F4075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D6B3" w14:textId="77777777" w:rsidR="00F4075E" w:rsidRPr="0033525D" w:rsidRDefault="004465E9">
    <w:pPr>
      <w:jc w:val="right"/>
    </w:pPr>
    <w:r>
      <w:fldChar w:fldCharType="begin"/>
    </w:r>
    <w:r>
      <w:instrText xml:space="preserve"> DOCPROPERTY "Document numbe</w:instrText>
    </w:r>
    <w:r>
      <w:instrText xml:space="preserve">r"  \* MERGEFORMAT </w:instrText>
    </w:r>
    <w:r>
      <w:fldChar w:fldCharType="separate"/>
    </w:r>
    <w:r w:rsidR="00F4075E">
      <w:t>UNEP/OzL.Pro/ExCom/87/6</w:t>
    </w:r>
    <w:r>
      <w:fldChar w:fldCharType="end"/>
    </w:r>
  </w:p>
  <w:p w14:paraId="69AF83BE" w14:textId="277B401C" w:rsidR="00F4075E" w:rsidRPr="0033525D" w:rsidRDefault="00F4075E" w:rsidP="007E35E9">
    <w:pPr>
      <w:jc w:val="right"/>
    </w:pPr>
    <w:r>
      <w:t>Anexo III</w:t>
    </w:r>
  </w:p>
  <w:p w14:paraId="0D5DED63" w14:textId="77777777" w:rsidR="00F4075E" w:rsidRPr="0033525D" w:rsidRDefault="00F4075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EACE" w14:textId="77777777" w:rsidR="00F4075E" w:rsidRPr="0088089B" w:rsidRDefault="00F4075E" w:rsidP="008808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71113A7"/>
    <w:multiLevelType w:val="multilevel"/>
    <w:tmpl w:val="48241D10"/>
    <w:numStyleLink w:val="Normallist"/>
  </w:abstractNum>
  <w:abstractNum w:abstractNumId="12" w15:restartNumberingAfterBreak="0">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13" w15:restartNumberingAfterBreak="0">
    <w:nsid w:val="2B3F5D91"/>
    <w:multiLevelType w:val="multilevel"/>
    <w:tmpl w:val="2CE01966"/>
    <w:styleLink w:val="Normallist24"/>
    <w:lvl w:ilvl="0">
      <w:start w:val="1"/>
      <w:numFmt w:val="decimal"/>
      <w:lvlText w:val="%1."/>
      <w:lvlJc w:val="left"/>
      <w:pPr>
        <w:ind w:left="1080" w:hanging="360"/>
      </w:pPr>
      <w:rPr>
        <w:rFonts w:ascii="Times New Roman" w:hAnsi="Times New Roman" w:cs="Times New Roman" w:hint="default"/>
        <w:sz w:val="20"/>
      </w:rPr>
    </w:lvl>
    <w:lvl w:ilvl="1">
      <w:start w:val="1"/>
      <w:numFmt w:val="lowerLetter"/>
      <w:lvlText w:val="%2."/>
      <w:lvlJc w:val="left"/>
      <w:pPr>
        <w:ind w:left="1704" w:hanging="360"/>
      </w:pPr>
    </w:lvl>
    <w:lvl w:ilvl="2">
      <w:start w:val="1"/>
      <w:numFmt w:val="lowerLetter"/>
      <w:lvlText w:val="(%3)"/>
      <w:lvlJc w:val="right"/>
      <w:pPr>
        <w:ind w:left="2424" w:hanging="180"/>
      </w:pPr>
      <w:rPr>
        <w:rFonts w:ascii="Times New Roman" w:eastAsia="Times New Roman" w:hAnsi="Times New Roman" w:cs="Times New Roman"/>
      </w:r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upperLetter"/>
      <w:lvlText w:val="%6."/>
      <w:lvlJc w:val="left"/>
      <w:pPr>
        <w:ind w:left="4764" w:hanging="360"/>
      </w:pPr>
    </w:lvl>
    <w:lvl w:ilvl="6">
      <w:start w:val="1"/>
      <w:numFmt w:val="upperLetter"/>
      <w:lvlText w:val="%7."/>
      <w:lvlJc w:val="left"/>
      <w:pPr>
        <w:ind w:left="5304" w:hanging="360"/>
      </w:pPr>
    </w:lvl>
    <w:lvl w:ilvl="7">
      <w:start w:val="1"/>
      <w:numFmt w:val="upperLetter"/>
      <w:lvlText w:val="%8."/>
      <w:lvlJc w:val="left"/>
      <w:pPr>
        <w:ind w:left="6024" w:hanging="360"/>
      </w:pPr>
    </w:lvl>
    <w:lvl w:ilvl="8">
      <w:start w:val="1"/>
      <w:numFmt w:val="lowerRoman"/>
      <w:lvlText w:val="%9."/>
      <w:lvlJc w:val="right"/>
      <w:pPr>
        <w:ind w:left="6744"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1833B7"/>
    <w:multiLevelType w:val="hybridMultilevel"/>
    <w:tmpl w:val="654A473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D74926"/>
    <w:multiLevelType w:val="hybridMultilevel"/>
    <w:tmpl w:val="B694D53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2"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20"/>
  </w:num>
  <w:num w:numId="19">
    <w:abstractNumId w:val="23"/>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num>
  <w:num w:numId="27">
    <w:abstractNumId w:val="12"/>
  </w:num>
  <w:num w:numId="28">
    <w:abstractNumId w:val="17"/>
  </w:num>
  <w:num w:numId="29">
    <w:abstractNumId w:val="11"/>
  </w:num>
  <w:num w:numId="30">
    <w:abstractNumId w:val="11"/>
    <w:lvlOverride w:ilvl="0">
      <w:lvl w:ilvl="0">
        <w:start w:val="1"/>
        <w:numFmt w:val="decimal"/>
        <w:lvlText w:val="%1."/>
        <w:lvlJc w:val="left"/>
        <w:pPr>
          <w:tabs>
            <w:tab w:val="num" w:pos="567"/>
          </w:tabs>
          <w:ind w:left="1247" w:firstLine="0"/>
        </w:pPr>
        <w:rPr>
          <w:rFonts w:hint="default"/>
        </w:rPr>
      </w:lvl>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5"/>
  </w:num>
  <w:num w:numId="3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5A"/>
    <w:rsid w:val="00055977"/>
    <w:rsid w:val="00064429"/>
    <w:rsid w:val="000C4DD3"/>
    <w:rsid w:val="00106F6E"/>
    <w:rsid w:val="00114CAA"/>
    <w:rsid w:val="001550CD"/>
    <w:rsid w:val="00164BFE"/>
    <w:rsid w:val="001B230A"/>
    <w:rsid w:val="001C2D22"/>
    <w:rsid w:val="001F4047"/>
    <w:rsid w:val="00235D4C"/>
    <w:rsid w:val="0024162E"/>
    <w:rsid w:val="002425B4"/>
    <w:rsid w:val="00244477"/>
    <w:rsid w:val="002959B4"/>
    <w:rsid w:val="003863A4"/>
    <w:rsid w:val="003B7115"/>
    <w:rsid w:val="003C179C"/>
    <w:rsid w:val="004465E9"/>
    <w:rsid w:val="00455352"/>
    <w:rsid w:val="00476E28"/>
    <w:rsid w:val="004C3D13"/>
    <w:rsid w:val="004E2331"/>
    <w:rsid w:val="007E35E9"/>
    <w:rsid w:val="00831BC5"/>
    <w:rsid w:val="0087455A"/>
    <w:rsid w:val="0088089B"/>
    <w:rsid w:val="008869D0"/>
    <w:rsid w:val="008C7DAD"/>
    <w:rsid w:val="00AB56E5"/>
    <w:rsid w:val="00AC7A52"/>
    <w:rsid w:val="00AD7C6E"/>
    <w:rsid w:val="00B60EEC"/>
    <w:rsid w:val="00B61D86"/>
    <w:rsid w:val="00C14E67"/>
    <w:rsid w:val="00D84B6F"/>
    <w:rsid w:val="00DB795B"/>
    <w:rsid w:val="00E17F97"/>
    <w:rsid w:val="00E70EAE"/>
    <w:rsid w:val="00F10CD9"/>
    <w:rsid w:val="00F25F7C"/>
    <w:rsid w:val="00F407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B18EB"/>
  <w15:docId w15:val="{C0DE08A7-E25E-4B7C-8B00-DAD2CD35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qFormat/>
    <w:pPr>
      <w:keepNext/>
      <w:numPr>
        <w:ilvl w:val="3"/>
        <w:numId w:val="1"/>
      </w:numPr>
      <w:spacing w:before="240" w:after="60"/>
      <w:outlineLvl w:val="3"/>
    </w:pPr>
  </w:style>
  <w:style w:type="paragraph" w:styleId="Heading5">
    <w:name w:val="heading 5"/>
    <w:basedOn w:val="Normal"/>
    <w:next w:val="Normal"/>
    <w:link w:val="Heading5Char"/>
    <w:qFormat/>
    <w:pPr>
      <w:keepNext/>
      <w:numPr>
        <w:numId w:val="20"/>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link w:val="0Heading0Char2"/>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GB"/>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Fußnotentextf,Char1,Char1 Char Char, Char1, Char1 Char Char,FOOTNOTES,fn,single space,Footnote,Footnote Text Char1 Char,Footnote Text Char Char Char,Footnote Text Char1 Char Char Char,Footnote Text Char Char Char Char Char"/>
    <w:basedOn w:val="Normal"/>
    <w:link w:val="FootnoteTextChar"/>
    <w:uiPriority w:val="99"/>
    <w:unhideWhenUsed/>
    <w:qFormat/>
    <w:rsid w:val="002959B4"/>
    <w:rPr>
      <w:sz w:val="20"/>
      <w:szCs w:val="20"/>
    </w:rPr>
  </w:style>
  <w:style w:type="character" w:customStyle="1" w:styleId="FootnoteTextChar">
    <w:name w:val="Footnote Text Char"/>
    <w:aliases w:val="Fußnotentextf Char,Char1 Char,Char1 Char Char Char, Char1 Char, Char1 Char Char Char,FOOTNOTES Char,fn Char,single space Char,Footnote Char,Footnote Text Char1 Char Char,Footnote Text Char Char Char Char"/>
    <w:basedOn w:val="DefaultParagraphFont"/>
    <w:link w:val="FootnoteText"/>
    <w:uiPriority w:val="99"/>
    <w:rsid w:val="002959B4"/>
    <w:rPr>
      <w:lang w:val="en-GB"/>
    </w:rPr>
  </w:style>
  <w:style w:type="character" w:styleId="FootnoteReference">
    <w:name w:val="footnote reference"/>
    <w:aliases w:val="16 Point,Superscript 6 Point,Footnote text,Footnote Text1,Footnote Text2,ftref"/>
    <w:basedOn w:val="DefaultParagraphFont"/>
    <w:uiPriority w:val="99"/>
    <w:unhideWhenUsed/>
    <w:rsid w:val="002959B4"/>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E70EAE"/>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rsid w:val="00E70EAE"/>
    <w:rPr>
      <w:sz w:val="22"/>
      <w:szCs w:val="22"/>
      <w:lang w:val="en-GB"/>
    </w:rPr>
  </w:style>
  <w:style w:type="character" w:customStyle="1" w:styleId="Heading4Char">
    <w:name w:val="Heading 4 Char"/>
    <w:aliases w:val="Heading 11 Char,para 4 Char,Título 41 Char,heading 4 Char,Heading 41 Char,标题 41 Char"/>
    <w:basedOn w:val="DefaultParagraphFont"/>
    <w:link w:val="Heading4"/>
    <w:uiPriority w:val="9"/>
    <w:rsid w:val="00E70EAE"/>
    <w:rPr>
      <w:sz w:val="22"/>
      <w:szCs w:val="22"/>
      <w:lang w:val="en-GB"/>
    </w:rPr>
  </w:style>
  <w:style w:type="character" w:customStyle="1" w:styleId="Heading5Char">
    <w:name w:val="Heading 5 Char"/>
    <w:basedOn w:val="DefaultParagraphFont"/>
    <w:link w:val="Heading5"/>
    <w:rsid w:val="00E70EAE"/>
    <w:rPr>
      <w:sz w:val="22"/>
      <w:szCs w:val="22"/>
      <w:lang w:val="en-GB"/>
    </w:rPr>
  </w:style>
  <w:style w:type="character" w:customStyle="1" w:styleId="Heading6Char">
    <w:name w:val="Heading 6 Char"/>
    <w:basedOn w:val="DefaultParagraphFont"/>
    <w:link w:val="Heading6"/>
    <w:uiPriority w:val="9"/>
    <w:rsid w:val="00E70EAE"/>
    <w:rPr>
      <w:rFonts w:ascii="Arial" w:hAnsi="Arial"/>
      <w:i/>
      <w:sz w:val="22"/>
      <w:szCs w:val="22"/>
      <w:lang w:val="en-GB"/>
    </w:rPr>
  </w:style>
  <w:style w:type="character" w:customStyle="1" w:styleId="Heading7Char">
    <w:name w:val="Heading 7 Char"/>
    <w:basedOn w:val="DefaultParagraphFont"/>
    <w:link w:val="Heading7"/>
    <w:uiPriority w:val="9"/>
    <w:rsid w:val="00E70EAE"/>
    <w:rPr>
      <w:rFonts w:ascii="Arial" w:hAnsi="Arial"/>
      <w:sz w:val="22"/>
      <w:szCs w:val="22"/>
      <w:lang w:val="en-GB"/>
    </w:rPr>
  </w:style>
  <w:style w:type="character" w:customStyle="1" w:styleId="Heading8Char">
    <w:name w:val="Heading 8 Char"/>
    <w:basedOn w:val="DefaultParagraphFont"/>
    <w:link w:val="Heading8"/>
    <w:rsid w:val="00E70EAE"/>
    <w:rPr>
      <w:b/>
      <w:sz w:val="22"/>
      <w:szCs w:val="22"/>
      <w:lang w:val="en-GB"/>
    </w:rPr>
  </w:style>
  <w:style w:type="character" w:customStyle="1" w:styleId="Heading9Char">
    <w:name w:val="Heading 9 Char"/>
    <w:basedOn w:val="DefaultParagraphFont"/>
    <w:link w:val="Heading9"/>
    <w:uiPriority w:val="9"/>
    <w:rsid w:val="00E70EAE"/>
    <w:rPr>
      <w:rFonts w:ascii="Arial" w:hAnsi="Arial"/>
      <w:i/>
      <w:sz w:val="18"/>
      <w:szCs w:val="22"/>
      <w:lang w:val="en-GB"/>
    </w:rPr>
  </w:style>
  <w:style w:type="character" w:styleId="Hyperlink">
    <w:name w:val="Hyperlink"/>
    <w:basedOn w:val="DefaultParagraphFont"/>
    <w:uiPriority w:val="99"/>
    <w:unhideWhenUsed/>
    <w:rsid w:val="00E70EAE"/>
    <w:rPr>
      <w:rFonts w:ascii="Times New Roman" w:hAnsi="Times New Roman" w:cs="Times New Roman" w:hint="default"/>
      <w:strike w:val="0"/>
      <w:dstrike w:val="0"/>
      <w:color w:val="auto"/>
      <w:sz w:val="20"/>
      <w:szCs w:val="20"/>
      <w:u w:val="none"/>
      <w:effect w:val="none"/>
      <w:lang w:val="es-ES"/>
    </w:rPr>
  </w:style>
  <w:style w:type="character" w:styleId="FollowedHyperlink">
    <w:name w:val="FollowedHyperlink"/>
    <w:basedOn w:val="DefaultParagraphFont"/>
    <w:uiPriority w:val="99"/>
    <w:semiHidden/>
    <w:unhideWhenUsed/>
    <w:rsid w:val="00E70EAE"/>
    <w:rPr>
      <w:color w:val="800080"/>
      <w:u w:val="single"/>
    </w:rPr>
  </w:style>
  <w:style w:type="character" w:customStyle="1" w:styleId="Ttulo1Car1">
    <w:name w:val="Título 1 Car1"/>
    <w:aliases w:val="Para (1) Car1,Heading 1 Char Car1,Heading 1 Char3 Char Car1,Heading 1 Char Char1 Char Car1,Heading 1 Char1 Char Char1 Char Car1,Heading 1 Char Char Char Char1 Char1 Car1,Para (1) Char Char Char Char1 Char Car1,Heading 1 Char3 Car1"/>
    <w:basedOn w:val="DefaultParagraphFont"/>
    <w:rsid w:val="00E70EAE"/>
    <w:rPr>
      <w:rFonts w:asciiTheme="majorHAnsi" w:eastAsiaTheme="majorEastAsia" w:hAnsiTheme="majorHAnsi" w:cstheme="majorBidi"/>
      <w:color w:val="365F91" w:themeColor="accent1" w:themeShade="BF"/>
      <w:sz w:val="32"/>
      <w:szCs w:val="32"/>
    </w:rPr>
  </w:style>
  <w:style w:type="character" w:customStyle="1" w:styleId="Ttulo2Car1">
    <w:name w:val="Título 2 Car1"/>
    <w:aliases w:val="SubPara (a) Car1,Heading 2 Char3 Car1,Heading 2 Char Char2 Car1,Heading 2 Char1 Char Char1 Car1,SubPara (a) Char Char Char1 Car1,Heading 2 Char Char Char Char1 Car1,Heading 2 Char1 Char Char Char Char1 Car1,Heading 2 Char2 Car1"/>
    <w:basedOn w:val="DefaultParagraphFont"/>
    <w:semiHidden/>
    <w:rsid w:val="00E70EAE"/>
    <w:rPr>
      <w:rFonts w:asciiTheme="majorHAnsi" w:eastAsiaTheme="majorEastAsia" w:hAnsiTheme="majorHAnsi" w:cstheme="majorBidi"/>
      <w:color w:val="365F91" w:themeColor="accent1" w:themeShade="BF"/>
      <w:sz w:val="26"/>
      <w:szCs w:val="26"/>
    </w:rPr>
  </w:style>
  <w:style w:type="character" w:customStyle="1" w:styleId="Ttulo3Car1">
    <w:name w:val="Título 3 Car1"/>
    <w:aliases w:val="Char Car1,Char Char Car1,Heading 3 Char1 Car1,Heading 3 Char Char Car1,Char Char Char Car1,Char Char1 Car1,Heading 3 Char1 Char Car1,Heading 3 Char Char Char Car1,Char Char Char Char Car1,Char Char1 Char Car1,Heading 3 Char2 Car1"/>
    <w:basedOn w:val="DefaultParagraphFont"/>
    <w:semiHidden/>
    <w:rsid w:val="00E70EAE"/>
    <w:rPr>
      <w:rFonts w:asciiTheme="majorHAnsi" w:eastAsiaTheme="majorEastAsia" w:hAnsiTheme="majorHAnsi" w:cstheme="majorBidi"/>
      <w:color w:val="243F60" w:themeColor="accent1" w:themeShade="7F"/>
      <w:sz w:val="24"/>
      <w:szCs w:val="24"/>
    </w:rPr>
  </w:style>
  <w:style w:type="character" w:customStyle="1" w:styleId="Ttulo4Car1">
    <w:name w:val="Título 4 Car1"/>
    <w:aliases w:val="Heading 11 Car1,para 4 Car1,Título 41 Car1,heading 4 Car1,Heading 41 Car1,标题 41 Car1"/>
    <w:basedOn w:val="DefaultParagraphFont"/>
    <w:semiHidden/>
    <w:rsid w:val="00E70EAE"/>
    <w:rPr>
      <w:rFonts w:asciiTheme="majorHAnsi" w:eastAsiaTheme="majorEastAsia" w:hAnsiTheme="majorHAnsi" w:cstheme="majorBidi"/>
      <w:i/>
      <w:iCs/>
      <w:color w:val="365F91" w:themeColor="accent1" w:themeShade="BF"/>
      <w:sz w:val="22"/>
      <w:szCs w:val="22"/>
    </w:rPr>
  </w:style>
  <w:style w:type="paragraph" w:customStyle="1" w:styleId="msonormal0">
    <w:name w:val="msonormal"/>
    <w:basedOn w:val="Normal"/>
    <w:rsid w:val="00E70EAE"/>
    <w:pPr>
      <w:spacing w:before="100" w:beforeAutospacing="1" w:after="100" w:afterAutospacing="1"/>
      <w:jc w:val="left"/>
    </w:pPr>
    <w:rPr>
      <w:sz w:val="24"/>
      <w:szCs w:val="24"/>
      <w:lang w:val="es-ES" w:eastAsia="en-CA"/>
    </w:rPr>
  </w:style>
  <w:style w:type="paragraph" w:styleId="TOC1">
    <w:name w:val="toc 1"/>
    <w:basedOn w:val="Normal"/>
    <w:next w:val="Normal"/>
    <w:autoRedefine/>
    <w:unhideWhenUsed/>
    <w:rsid w:val="00E70EAE"/>
    <w:pPr>
      <w:tabs>
        <w:tab w:val="left" w:pos="1247"/>
        <w:tab w:val="left" w:pos="1814"/>
        <w:tab w:val="right" w:leader="dot" w:pos="9486"/>
      </w:tabs>
      <w:spacing w:before="120" w:after="120"/>
      <w:ind w:left="1814" w:hanging="567"/>
      <w:jc w:val="left"/>
    </w:pPr>
    <w:rPr>
      <w:bCs/>
      <w:sz w:val="20"/>
      <w:szCs w:val="20"/>
      <w:lang w:val="es-ES"/>
    </w:rPr>
  </w:style>
  <w:style w:type="paragraph" w:styleId="TOC2">
    <w:name w:val="toc 2"/>
    <w:basedOn w:val="Normal"/>
    <w:next w:val="Normal"/>
    <w:autoRedefine/>
    <w:unhideWhenUsed/>
    <w:rsid w:val="00E70EAE"/>
    <w:pPr>
      <w:tabs>
        <w:tab w:val="left" w:pos="1247"/>
        <w:tab w:val="left" w:pos="2381"/>
        <w:tab w:val="right" w:leader="dot" w:pos="9486"/>
      </w:tabs>
      <w:ind w:left="2381" w:hanging="567"/>
      <w:jc w:val="left"/>
    </w:pPr>
    <w:rPr>
      <w:sz w:val="20"/>
      <w:szCs w:val="20"/>
      <w:lang w:val="es-ES"/>
    </w:rPr>
  </w:style>
  <w:style w:type="paragraph" w:styleId="TOC3">
    <w:name w:val="toc 3"/>
    <w:basedOn w:val="Normal"/>
    <w:next w:val="Normal"/>
    <w:autoRedefine/>
    <w:unhideWhenUsed/>
    <w:rsid w:val="00E70EAE"/>
    <w:pPr>
      <w:tabs>
        <w:tab w:val="left" w:pos="1247"/>
        <w:tab w:val="right" w:leader="dot" w:pos="9486"/>
      </w:tabs>
      <w:ind w:left="2948" w:hanging="567"/>
      <w:jc w:val="left"/>
    </w:pPr>
    <w:rPr>
      <w:iCs/>
      <w:sz w:val="20"/>
      <w:szCs w:val="20"/>
      <w:lang w:val="es-ES"/>
    </w:rPr>
  </w:style>
  <w:style w:type="paragraph" w:styleId="TOC4">
    <w:name w:val="toc 4"/>
    <w:basedOn w:val="Normal"/>
    <w:next w:val="Normal"/>
    <w:autoRedefine/>
    <w:unhideWhenUsed/>
    <w:rsid w:val="00E70EAE"/>
    <w:pPr>
      <w:tabs>
        <w:tab w:val="left" w:pos="1000"/>
        <w:tab w:val="left" w:pos="1247"/>
        <w:tab w:val="right" w:leader="dot" w:pos="9486"/>
      </w:tabs>
      <w:ind w:left="3515" w:hanging="567"/>
      <w:jc w:val="left"/>
    </w:pPr>
    <w:rPr>
      <w:sz w:val="20"/>
      <w:szCs w:val="18"/>
      <w:lang w:val="es-ES"/>
    </w:rPr>
  </w:style>
  <w:style w:type="paragraph" w:styleId="TOC5">
    <w:name w:val="toc 5"/>
    <w:basedOn w:val="Normal"/>
    <w:next w:val="Normal"/>
    <w:autoRedefine/>
    <w:semiHidden/>
    <w:unhideWhenUsed/>
    <w:rsid w:val="00E70EAE"/>
    <w:pPr>
      <w:tabs>
        <w:tab w:val="left" w:pos="1247"/>
      </w:tabs>
      <w:ind w:left="800"/>
      <w:jc w:val="left"/>
    </w:pPr>
    <w:rPr>
      <w:sz w:val="18"/>
      <w:szCs w:val="18"/>
      <w:lang w:val="es-ES"/>
    </w:rPr>
  </w:style>
  <w:style w:type="paragraph" w:styleId="TOC6">
    <w:name w:val="toc 6"/>
    <w:basedOn w:val="Normal"/>
    <w:next w:val="Normal"/>
    <w:autoRedefine/>
    <w:semiHidden/>
    <w:unhideWhenUsed/>
    <w:rsid w:val="00E70EAE"/>
    <w:pPr>
      <w:tabs>
        <w:tab w:val="left" w:pos="1247"/>
      </w:tabs>
      <w:ind w:left="1000"/>
      <w:jc w:val="left"/>
    </w:pPr>
    <w:rPr>
      <w:sz w:val="18"/>
      <w:szCs w:val="18"/>
      <w:lang w:val="es-ES"/>
    </w:rPr>
  </w:style>
  <w:style w:type="paragraph" w:styleId="TOC7">
    <w:name w:val="toc 7"/>
    <w:basedOn w:val="Normal"/>
    <w:next w:val="Normal"/>
    <w:autoRedefine/>
    <w:semiHidden/>
    <w:unhideWhenUsed/>
    <w:rsid w:val="00E70EAE"/>
    <w:pPr>
      <w:tabs>
        <w:tab w:val="left" w:pos="1247"/>
      </w:tabs>
      <w:ind w:left="1200"/>
      <w:jc w:val="left"/>
    </w:pPr>
    <w:rPr>
      <w:sz w:val="18"/>
      <w:szCs w:val="18"/>
      <w:lang w:val="es-ES"/>
    </w:rPr>
  </w:style>
  <w:style w:type="paragraph" w:styleId="TOC8">
    <w:name w:val="toc 8"/>
    <w:basedOn w:val="Normal"/>
    <w:next w:val="Normal"/>
    <w:autoRedefine/>
    <w:semiHidden/>
    <w:unhideWhenUsed/>
    <w:rsid w:val="00E70EAE"/>
    <w:pPr>
      <w:tabs>
        <w:tab w:val="left" w:pos="1247"/>
      </w:tabs>
      <w:ind w:left="1400"/>
      <w:jc w:val="left"/>
    </w:pPr>
    <w:rPr>
      <w:sz w:val="18"/>
      <w:szCs w:val="18"/>
      <w:lang w:val="es-ES"/>
    </w:rPr>
  </w:style>
  <w:style w:type="paragraph" w:styleId="TOC9">
    <w:name w:val="toc 9"/>
    <w:basedOn w:val="Normal"/>
    <w:next w:val="Normal"/>
    <w:autoRedefine/>
    <w:semiHidden/>
    <w:unhideWhenUsed/>
    <w:rsid w:val="00E70EAE"/>
    <w:pPr>
      <w:tabs>
        <w:tab w:val="left" w:pos="1247"/>
      </w:tabs>
      <w:ind w:left="1600"/>
      <w:jc w:val="left"/>
    </w:pPr>
    <w:rPr>
      <w:sz w:val="18"/>
      <w:szCs w:val="18"/>
      <w:lang w:val="es-ES"/>
    </w:rPr>
  </w:style>
  <w:style w:type="character" w:customStyle="1" w:styleId="TextonotapieCar1">
    <w:name w:val="Texto nota pie Car1"/>
    <w:aliases w:val="Fußnotentextf Car1,Char1 Car1,Char1 Char Char Car1"/>
    <w:basedOn w:val="DefaultParagraphFont"/>
    <w:uiPriority w:val="99"/>
    <w:semiHidden/>
    <w:rsid w:val="00E70EAE"/>
    <w:rPr>
      <w:lang w:val="es-ES"/>
    </w:rPr>
  </w:style>
  <w:style w:type="character" w:customStyle="1" w:styleId="HeaderChar">
    <w:name w:val="Header Char"/>
    <w:basedOn w:val="DefaultParagraphFont"/>
    <w:link w:val="Header"/>
    <w:rsid w:val="00E70EAE"/>
    <w:rPr>
      <w:sz w:val="22"/>
      <w:szCs w:val="22"/>
      <w:lang w:val="en-GB"/>
    </w:rPr>
  </w:style>
  <w:style w:type="paragraph" w:styleId="TableofFigures">
    <w:name w:val="table of figures"/>
    <w:basedOn w:val="Normal"/>
    <w:next w:val="Normal"/>
    <w:autoRedefine/>
    <w:semiHidden/>
    <w:unhideWhenUsed/>
    <w:rsid w:val="00E70EAE"/>
    <w:pPr>
      <w:tabs>
        <w:tab w:val="left" w:pos="1247"/>
      </w:tabs>
      <w:ind w:left="1814" w:hanging="567"/>
      <w:jc w:val="left"/>
    </w:pPr>
    <w:rPr>
      <w:sz w:val="20"/>
      <w:szCs w:val="20"/>
      <w:lang w:val="es-ES"/>
    </w:rPr>
  </w:style>
  <w:style w:type="paragraph" w:styleId="EndnoteText">
    <w:name w:val="endnote text"/>
    <w:basedOn w:val="Normal"/>
    <w:link w:val="EndnoteTextChar"/>
    <w:uiPriority w:val="99"/>
    <w:semiHidden/>
    <w:unhideWhenUsed/>
    <w:rsid w:val="00E70EAE"/>
    <w:rPr>
      <w:sz w:val="20"/>
      <w:szCs w:val="20"/>
      <w:lang w:val="es-ES"/>
    </w:rPr>
  </w:style>
  <w:style w:type="character" w:customStyle="1" w:styleId="EndnoteTextChar">
    <w:name w:val="Endnote Text Char"/>
    <w:basedOn w:val="DefaultParagraphFont"/>
    <w:link w:val="EndnoteText"/>
    <w:uiPriority w:val="99"/>
    <w:semiHidden/>
    <w:rsid w:val="00E70EAE"/>
    <w:rPr>
      <w:lang w:val="es-ES"/>
    </w:rPr>
  </w:style>
  <w:style w:type="character" w:customStyle="1" w:styleId="TitleChar">
    <w:name w:val="Title Char"/>
    <w:basedOn w:val="DefaultParagraphFont"/>
    <w:link w:val="Title"/>
    <w:rsid w:val="00E70EAE"/>
    <w:rPr>
      <w:rFonts w:ascii="Arial" w:hAnsi="Arial" w:cs="Arial"/>
      <w:b/>
      <w:bCs/>
      <w:kern w:val="28"/>
      <w:sz w:val="22"/>
      <w:szCs w:val="22"/>
      <w:lang w:val="en-GB"/>
    </w:rPr>
  </w:style>
  <w:style w:type="character" w:customStyle="1" w:styleId="SubtitleChar">
    <w:name w:val="Subtitle Char"/>
    <w:basedOn w:val="DefaultParagraphFont"/>
    <w:link w:val="Subtitle"/>
    <w:rsid w:val="00E70EAE"/>
    <w:rPr>
      <w:rFonts w:ascii="Arial" w:hAnsi="Arial" w:cs="Arial"/>
      <w:sz w:val="22"/>
      <w:szCs w:val="22"/>
      <w:lang w:val="en-GB"/>
    </w:rPr>
  </w:style>
  <w:style w:type="character" w:customStyle="1" w:styleId="DateChar">
    <w:name w:val="Date Char"/>
    <w:basedOn w:val="DefaultParagraphFont"/>
    <w:link w:val="Date"/>
    <w:rsid w:val="00E70EAE"/>
    <w:rPr>
      <w:sz w:val="22"/>
      <w:szCs w:val="22"/>
      <w:lang w:val="en-GB"/>
    </w:rPr>
  </w:style>
  <w:style w:type="character" w:customStyle="1" w:styleId="BodyText3Char">
    <w:name w:val="Body Text 3 Char"/>
    <w:basedOn w:val="DefaultParagraphFont"/>
    <w:link w:val="BodyText3"/>
    <w:semiHidden/>
    <w:rsid w:val="00E70EAE"/>
    <w:rPr>
      <w:sz w:val="16"/>
      <w:szCs w:val="16"/>
      <w:lang w:val="en-GB"/>
    </w:rPr>
  </w:style>
  <w:style w:type="character" w:customStyle="1" w:styleId="BodyTextIndent3Char">
    <w:name w:val="Body Text Indent 3 Char"/>
    <w:basedOn w:val="DefaultParagraphFont"/>
    <w:link w:val="BodyTextIndent3"/>
    <w:semiHidden/>
    <w:rsid w:val="00E70EAE"/>
    <w:rPr>
      <w:sz w:val="16"/>
      <w:szCs w:val="16"/>
      <w:lang w:val="en-GB"/>
    </w:rPr>
  </w:style>
  <w:style w:type="paragraph" w:styleId="DocumentMap">
    <w:name w:val="Document Map"/>
    <w:basedOn w:val="Normal"/>
    <w:link w:val="DocumentMapChar"/>
    <w:uiPriority w:val="99"/>
    <w:semiHidden/>
    <w:unhideWhenUsed/>
    <w:rsid w:val="00E70EAE"/>
    <w:rPr>
      <w:rFonts w:ascii="Lucida Grande" w:hAnsi="Lucida Grande" w:cs="Lucida Grande"/>
      <w:sz w:val="24"/>
      <w:szCs w:val="24"/>
      <w:lang w:val="es-ES"/>
    </w:rPr>
  </w:style>
  <w:style w:type="character" w:customStyle="1" w:styleId="DocumentMapChar">
    <w:name w:val="Document Map Char"/>
    <w:basedOn w:val="DefaultParagraphFont"/>
    <w:link w:val="DocumentMap"/>
    <w:uiPriority w:val="99"/>
    <w:semiHidden/>
    <w:rsid w:val="00E70EAE"/>
    <w:rPr>
      <w:rFonts w:ascii="Lucida Grande" w:hAnsi="Lucida Grande" w:cs="Lucida Grande"/>
      <w:sz w:val="24"/>
      <w:szCs w:val="24"/>
      <w:lang w:val="es-ES"/>
    </w:rPr>
  </w:style>
  <w:style w:type="character" w:customStyle="1" w:styleId="PlainTextChar">
    <w:name w:val="Plain Text Char"/>
    <w:basedOn w:val="DefaultParagraphFont"/>
    <w:link w:val="PlainText"/>
    <w:semiHidden/>
    <w:rsid w:val="00E70EAE"/>
    <w:rPr>
      <w:rFonts w:ascii="Courier New" w:hAnsi="Courier New" w:cs="Courier New"/>
      <w:szCs w:val="22"/>
      <w:lang w:val="en-GB"/>
    </w:rPr>
  </w:style>
  <w:style w:type="paragraph" w:styleId="Revision">
    <w:name w:val="Revision"/>
    <w:uiPriority w:val="99"/>
    <w:semiHidden/>
    <w:rsid w:val="00E70EAE"/>
    <w:rPr>
      <w:lang w:val="es-ES"/>
    </w:rPr>
  </w:style>
  <w:style w:type="paragraph" w:styleId="ListParagraph">
    <w:name w:val="List Paragraph"/>
    <w:basedOn w:val="Normal"/>
    <w:uiPriority w:val="34"/>
    <w:qFormat/>
    <w:rsid w:val="00E70EAE"/>
    <w:pPr>
      <w:tabs>
        <w:tab w:val="left" w:pos="1247"/>
        <w:tab w:val="left" w:pos="1814"/>
        <w:tab w:val="left" w:pos="2381"/>
        <w:tab w:val="left" w:pos="2948"/>
        <w:tab w:val="left" w:pos="3515"/>
      </w:tabs>
      <w:ind w:left="720"/>
      <w:contextualSpacing/>
      <w:jc w:val="left"/>
    </w:pPr>
    <w:rPr>
      <w:sz w:val="20"/>
      <w:szCs w:val="20"/>
      <w:lang w:val="es-ES"/>
    </w:rPr>
  </w:style>
  <w:style w:type="character" w:customStyle="1" w:styleId="0Heading0Char2">
    <w:name w:val="0 Heading 0 Char2"/>
    <w:link w:val="0Heading0"/>
    <w:locked/>
    <w:rsid w:val="00E70EAE"/>
    <w:rPr>
      <w:sz w:val="22"/>
      <w:szCs w:val="22"/>
      <w:lang w:val="en-GB"/>
    </w:rPr>
  </w:style>
  <w:style w:type="paragraph" w:customStyle="1" w:styleId="CH1">
    <w:name w:val="CH1"/>
    <w:basedOn w:val="Normal"/>
    <w:next w:val="Normal"/>
    <w:rsid w:val="00E70EAE"/>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lang w:val="es-ES"/>
    </w:rPr>
  </w:style>
  <w:style w:type="paragraph" w:customStyle="1" w:styleId="CH2">
    <w:name w:val="CH2"/>
    <w:basedOn w:val="Normal"/>
    <w:next w:val="Normal"/>
    <w:rsid w:val="00E70EAE"/>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4"/>
      <w:szCs w:val="24"/>
      <w:lang w:val="es-ES"/>
    </w:rPr>
  </w:style>
  <w:style w:type="paragraph" w:customStyle="1" w:styleId="CH3">
    <w:name w:val="CH3"/>
    <w:basedOn w:val="Normal"/>
    <w:next w:val="Normal"/>
    <w:rsid w:val="00E70EAE"/>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0"/>
      <w:szCs w:val="20"/>
      <w:lang w:val="es-ES"/>
    </w:rPr>
  </w:style>
  <w:style w:type="paragraph" w:customStyle="1" w:styleId="CH4">
    <w:name w:val="CH4"/>
    <w:basedOn w:val="Normal"/>
    <w:next w:val="Normal"/>
    <w:rsid w:val="00E70EAE"/>
    <w:pPr>
      <w:keepNext/>
      <w:keepLines/>
      <w:tabs>
        <w:tab w:val="right" w:pos="851"/>
        <w:tab w:val="left" w:pos="1247"/>
        <w:tab w:val="left" w:pos="1814"/>
        <w:tab w:val="left" w:pos="2381"/>
        <w:tab w:val="left" w:pos="2948"/>
        <w:tab w:val="left" w:pos="3515"/>
      </w:tabs>
      <w:suppressAutoHyphens/>
      <w:spacing w:after="120"/>
      <w:ind w:left="1247" w:right="284" w:hanging="1247"/>
      <w:jc w:val="left"/>
    </w:pPr>
    <w:rPr>
      <w:b/>
      <w:sz w:val="20"/>
      <w:szCs w:val="20"/>
      <w:lang w:val="es-ES"/>
    </w:rPr>
  </w:style>
  <w:style w:type="paragraph" w:customStyle="1" w:styleId="CH5">
    <w:name w:val="CH5"/>
    <w:basedOn w:val="Normal"/>
    <w:next w:val="Normal"/>
    <w:rsid w:val="00E70EAE"/>
    <w:pPr>
      <w:keepNext/>
      <w:keepLines/>
      <w:tabs>
        <w:tab w:val="right" w:pos="851"/>
        <w:tab w:val="left" w:pos="1247"/>
        <w:tab w:val="left" w:pos="1814"/>
        <w:tab w:val="left" w:pos="2381"/>
        <w:tab w:val="left" w:pos="2948"/>
        <w:tab w:val="left" w:pos="3515"/>
      </w:tabs>
      <w:suppressAutoHyphens/>
      <w:spacing w:after="120"/>
      <w:ind w:left="1247" w:right="284" w:hanging="1247"/>
      <w:jc w:val="left"/>
    </w:pPr>
    <w:rPr>
      <w:b/>
      <w:sz w:val="20"/>
      <w:szCs w:val="20"/>
      <w:lang w:val="es-ES"/>
    </w:rPr>
  </w:style>
  <w:style w:type="paragraph" w:customStyle="1" w:styleId="Footerpool">
    <w:name w:val="Footer_pool"/>
    <w:basedOn w:val="Normal"/>
    <w:next w:val="Normal"/>
    <w:semiHidden/>
    <w:rsid w:val="00E70EAE"/>
    <w:pPr>
      <w:tabs>
        <w:tab w:val="left" w:pos="1247"/>
        <w:tab w:val="left" w:pos="1814"/>
        <w:tab w:val="left" w:pos="2381"/>
        <w:tab w:val="left" w:pos="2948"/>
        <w:tab w:val="left" w:pos="3515"/>
        <w:tab w:val="left" w:pos="4321"/>
        <w:tab w:val="right" w:pos="8641"/>
      </w:tabs>
      <w:spacing w:before="60" w:after="120"/>
      <w:jc w:val="left"/>
    </w:pPr>
    <w:rPr>
      <w:b/>
      <w:sz w:val="18"/>
      <w:szCs w:val="20"/>
      <w:lang w:val="es-ES"/>
    </w:rPr>
  </w:style>
  <w:style w:type="paragraph" w:customStyle="1" w:styleId="Headerpool">
    <w:name w:val="Header_pool"/>
    <w:basedOn w:val="Normal"/>
    <w:next w:val="Normal"/>
    <w:semiHidden/>
    <w:rsid w:val="00E70EAE"/>
    <w:pPr>
      <w:pBdr>
        <w:bottom w:val="single" w:sz="4" w:space="1" w:color="auto"/>
      </w:pBdr>
      <w:tabs>
        <w:tab w:val="left" w:pos="1247"/>
        <w:tab w:val="center" w:pos="4536"/>
        <w:tab w:val="right" w:pos="9072"/>
      </w:tabs>
      <w:spacing w:after="120"/>
      <w:jc w:val="left"/>
    </w:pPr>
    <w:rPr>
      <w:b/>
      <w:sz w:val="18"/>
      <w:szCs w:val="20"/>
      <w:lang w:val="es-ES"/>
    </w:rPr>
  </w:style>
  <w:style w:type="character" w:customStyle="1" w:styleId="Normal-poolChar">
    <w:name w:val="Normal-pool Char"/>
    <w:link w:val="Normal-pool"/>
    <w:locked/>
    <w:rsid w:val="00E70EAE"/>
  </w:style>
  <w:style w:type="paragraph" w:customStyle="1" w:styleId="Normal-pool">
    <w:name w:val="Normal-pool"/>
    <w:link w:val="Normal-poolChar"/>
    <w:rsid w:val="00E70EAE"/>
    <w:pPr>
      <w:tabs>
        <w:tab w:val="left" w:pos="1247"/>
        <w:tab w:val="left" w:pos="1814"/>
        <w:tab w:val="left" w:pos="2381"/>
        <w:tab w:val="left" w:pos="2948"/>
        <w:tab w:val="left" w:pos="3515"/>
        <w:tab w:val="left" w:pos="4082"/>
      </w:tabs>
    </w:pPr>
  </w:style>
  <w:style w:type="paragraph" w:customStyle="1" w:styleId="AATitle">
    <w:name w:val="AA_Title"/>
    <w:basedOn w:val="Normal"/>
    <w:rsid w:val="00E70EAE"/>
    <w:pPr>
      <w:keepNext/>
      <w:keepLines/>
      <w:tabs>
        <w:tab w:val="left" w:pos="1247"/>
        <w:tab w:val="left" w:pos="1814"/>
        <w:tab w:val="left" w:pos="2381"/>
        <w:tab w:val="left" w:pos="2948"/>
        <w:tab w:val="left" w:pos="3515"/>
      </w:tabs>
      <w:suppressAutoHyphens/>
      <w:ind w:right="3402"/>
      <w:jc w:val="left"/>
    </w:pPr>
    <w:rPr>
      <w:b/>
      <w:sz w:val="20"/>
      <w:szCs w:val="20"/>
      <w:lang w:val="es-ES"/>
    </w:rPr>
  </w:style>
  <w:style w:type="paragraph" w:customStyle="1" w:styleId="AATitle2">
    <w:name w:val="AA_Title2"/>
    <w:basedOn w:val="AATitle"/>
    <w:rsid w:val="00E70EAE"/>
    <w:pPr>
      <w:tabs>
        <w:tab w:val="clear" w:pos="1247"/>
        <w:tab w:val="clear" w:pos="1814"/>
        <w:tab w:val="clear" w:pos="2381"/>
        <w:tab w:val="clear" w:pos="2948"/>
        <w:tab w:val="clear" w:pos="3515"/>
        <w:tab w:val="left" w:pos="624"/>
      </w:tabs>
      <w:spacing w:before="60"/>
      <w:ind w:right="1701"/>
    </w:pPr>
  </w:style>
  <w:style w:type="paragraph" w:customStyle="1" w:styleId="BBTitle">
    <w:name w:val="BB_Title"/>
    <w:basedOn w:val="Normal"/>
    <w:rsid w:val="00E70EAE"/>
    <w:pPr>
      <w:keepNext/>
      <w:keepLines/>
      <w:tabs>
        <w:tab w:val="left" w:pos="1247"/>
        <w:tab w:val="left" w:pos="1814"/>
        <w:tab w:val="left" w:pos="2381"/>
        <w:tab w:val="left" w:pos="2948"/>
        <w:tab w:val="left" w:pos="3515"/>
      </w:tabs>
      <w:suppressAutoHyphens/>
      <w:spacing w:before="320" w:after="240"/>
      <w:ind w:left="1247" w:right="567"/>
      <w:jc w:val="left"/>
    </w:pPr>
    <w:rPr>
      <w:b/>
      <w:sz w:val="28"/>
      <w:szCs w:val="28"/>
      <w:lang w:val="es-ES"/>
    </w:rPr>
  </w:style>
  <w:style w:type="paragraph" w:customStyle="1" w:styleId="NormalNonumber">
    <w:name w:val="Normal_No_number"/>
    <w:basedOn w:val="Normal"/>
    <w:rsid w:val="00E70EAE"/>
    <w:pPr>
      <w:tabs>
        <w:tab w:val="left" w:pos="1247"/>
        <w:tab w:val="left" w:pos="1814"/>
        <w:tab w:val="left" w:pos="2381"/>
        <w:tab w:val="left" w:pos="2948"/>
        <w:tab w:val="left" w:pos="3515"/>
      </w:tabs>
      <w:spacing w:after="120"/>
      <w:ind w:left="1247"/>
      <w:jc w:val="left"/>
    </w:pPr>
    <w:rPr>
      <w:sz w:val="20"/>
      <w:szCs w:val="20"/>
      <w:lang w:val="es-ES"/>
    </w:rPr>
  </w:style>
  <w:style w:type="character" w:customStyle="1" w:styleId="NormalnumberChar">
    <w:name w:val="Normal_number Char"/>
    <w:link w:val="Normalnumber"/>
    <w:locked/>
    <w:rsid w:val="00E70EAE"/>
  </w:style>
  <w:style w:type="paragraph" w:customStyle="1" w:styleId="Normalnumber">
    <w:name w:val="Normal_number"/>
    <w:basedOn w:val="Normal"/>
    <w:link w:val="NormalnumberChar"/>
    <w:rsid w:val="00E70EAE"/>
    <w:pPr>
      <w:numPr>
        <w:numId w:val="26"/>
      </w:numPr>
      <w:tabs>
        <w:tab w:val="clear" w:pos="567"/>
        <w:tab w:val="left" w:pos="624"/>
      </w:tabs>
      <w:spacing w:after="120"/>
      <w:jc w:val="left"/>
    </w:pPr>
    <w:rPr>
      <w:sz w:val="20"/>
      <w:szCs w:val="20"/>
      <w:lang w:val="en-US"/>
    </w:rPr>
  </w:style>
  <w:style w:type="paragraph" w:customStyle="1" w:styleId="Titletable">
    <w:name w:val="Title_table"/>
    <w:basedOn w:val="Normal"/>
    <w:rsid w:val="00E70EAE"/>
    <w:pPr>
      <w:keepNext/>
      <w:keepLines/>
      <w:tabs>
        <w:tab w:val="left" w:pos="1247"/>
        <w:tab w:val="left" w:pos="1814"/>
        <w:tab w:val="left" w:pos="2381"/>
        <w:tab w:val="left" w:pos="2948"/>
        <w:tab w:val="left" w:pos="3515"/>
      </w:tabs>
      <w:suppressAutoHyphens/>
      <w:spacing w:after="60"/>
      <w:ind w:left="1247"/>
      <w:jc w:val="left"/>
    </w:pPr>
    <w:rPr>
      <w:b/>
      <w:bCs/>
      <w:sz w:val="20"/>
      <w:szCs w:val="20"/>
      <w:lang w:val="es-ES"/>
    </w:rPr>
  </w:style>
  <w:style w:type="paragraph" w:customStyle="1" w:styleId="ZZAnxheader">
    <w:name w:val="ZZ_Anx_header"/>
    <w:basedOn w:val="Normal"/>
    <w:rsid w:val="00E70EAE"/>
    <w:pPr>
      <w:tabs>
        <w:tab w:val="left" w:pos="1247"/>
        <w:tab w:val="left" w:pos="1814"/>
        <w:tab w:val="left" w:pos="2381"/>
        <w:tab w:val="left" w:pos="2948"/>
        <w:tab w:val="left" w:pos="3515"/>
      </w:tabs>
      <w:jc w:val="left"/>
    </w:pPr>
    <w:rPr>
      <w:b/>
      <w:bCs/>
      <w:sz w:val="28"/>
      <w:lang w:val="es-ES"/>
    </w:rPr>
  </w:style>
  <w:style w:type="paragraph" w:customStyle="1" w:styleId="ZZAnxtitle">
    <w:name w:val="ZZ_Anx_title"/>
    <w:basedOn w:val="Normal"/>
    <w:rsid w:val="00E70EAE"/>
    <w:pPr>
      <w:tabs>
        <w:tab w:val="left" w:pos="1247"/>
        <w:tab w:val="left" w:pos="1814"/>
        <w:tab w:val="left" w:pos="2381"/>
        <w:tab w:val="left" w:pos="2948"/>
        <w:tab w:val="left" w:pos="3515"/>
      </w:tabs>
      <w:spacing w:before="360" w:after="120"/>
      <w:ind w:left="1247"/>
      <w:jc w:val="left"/>
    </w:pPr>
    <w:rPr>
      <w:b/>
      <w:bCs/>
      <w:sz w:val="28"/>
      <w:szCs w:val="26"/>
      <w:lang w:val="es-ES"/>
    </w:rPr>
  </w:style>
  <w:style w:type="paragraph" w:customStyle="1" w:styleId="Title2">
    <w:name w:val="Title2"/>
    <w:rsid w:val="00E70EAE"/>
    <w:pPr>
      <w:jc w:val="center"/>
      <w:outlineLvl w:val="0"/>
    </w:pPr>
    <w:rPr>
      <w:b/>
      <w:caps/>
      <w:sz w:val="22"/>
      <w:szCs w:val="22"/>
      <w:lang w:val="es-ES"/>
    </w:rPr>
  </w:style>
  <w:style w:type="paragraph" w:customStyle="1" w:styleId="xl65">
    <w:name w:val="xl65"/>
    <w:basedOn w:val="Normal"/>
    <w:rsid w:val="00E70EAE"/>
    <w:pPr>
      <w:spacing w:before="100" w:beforeAutospacing="1" w:after="100" w:afterAutospacing="1"/>
      <w:jc w:val="left"/>
    </w:pPr>
    <w:rPr>
      <w:sz w:val="16"/>
      <w:szCs w:val="16"/>
      <w:lang w:val="es-ES" w:eastAsia="en-CA"/>
    </w:rPr>
  </w:style>
  <w:style w:type="paragraph" w:customStyle="1" w:styleId="xl66">
    <w:name w:val="xl66"/>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eastAsia="en-CA"/>
    </w:rPr>
  </w:style>
  <w:style w:type="paragraph" w:customStyle="1" w:styleId="xl67">
    <w:name w:val="xl67"/>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eastAsia="en-CA"/>
    </w:rPr>
  </w:style>
  <w:style w:type="paragraph" w:customStyle="1" w:styleId="xl68">
    <w:name w:val="xl68"/>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eastAsia="en-CA"/>
    </w:rPr>
  </w:style>
  <w:style w:type="paragraph" w:customStyle="1" w:styleId="xl69">
    <w:name w:val="xl69"/>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eastAsia="en-CA"/>
    </w:rPr>
  </w:style>
  <w:style w:type="paragraph" w:customStyle="1" w:styleId="xl70">
    <w:name w:val="xl70"/>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71">
    <w:name w:val="xl71"/>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ES" w:eastAsia="en-CA"/>
    </w:rPr>
  </w:style>
  <w:style w:type="paragraph" w:customStyle="1" w:styleId="xl72">
    <w:name w:val="xl72"/>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ES" w:eastAsia="en-CA"/>
    </w:rPr>
  </w:style>
  <w:style w:type="paragraph" w:customStyle="1" w:styleId="xl73">
    <w:name w:val="xl73"/>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ES" w:eastAsia="en-CA"/>
    </w:rPr>
  </w:style>
  <w:style w:type="paragraph" w:customStyle="1" w:styleId="xl74">
    <w:name w:val="xl74"/>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75">
    <w:name w:val="xl75"/>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76">
    <w:name w:val="xl76"/>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ES" w:eastAsia="en-CA"/>
    </w:rPr>
  </w:style>
  <w:style w:type="paragraph" w:customStyle="1" w:styleId="xl77">
    <w:name w:val="xl77"/>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78">
    <w:name w:val="xl78"/>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eastAsia="en-CA"/>
    </w:rPr>
  </w:style>
  <w:style w:type="paragraph" w:customStyle="1" w:styleId="xl79">
    <w:name w:val="xl79"/>
    <w:basedOn w:val="Normal"/>
    <w:rsid w:val="00E70EAE"/>
    <w:pPr>
      <w:spacing w:before="100" w:beforeAutospacing="1" w:after="100" w:afterAutospacing="1"/>
      <w:jc w:val="left"/>
    </w:pPr>
    <w:rPr>
      <w:sz w:val="16"/>
      <w:szCs w:val="16"/>
      <w:lang w:val="es-ES" w:eastAsia="en-CA"/>
    </w:rPr>
  </w:style>
  <w:style w:type="paragraph" w:customStyle="1" w:styleId="xl80">
    <w:name w:val="xl80"/>
    <w:basedOn w:val="Normal"/>
    <w:rsid w:val="00E70EAE"/>
    <w:pPr>
      <w:spacing w:before="100" w:beforeAutospacing="1" w:after="100" w:afterAutospacing="1"/>
      <w:jc w:val="left"/>
    </w:pPr>
    <w:rPr>
      <w:sz w:val="16"/>
      <w:szCs w:val="16"/>
      <w:lang w:val="es-ES" w:eastAsia="en-CA"/>
    </w:rPr>
  </w:style>
  <w:style w:type="paragraph" w:customStyle="1" w:styleId="xl81">
    <w:name w:val="xl81"/>
    <w:basedOn w:val="Normal"/>
    <w:rsid w:val="00E70EAE"/>
    <w:pPr>
      <w:spacing w:before="100" w:beforeAutospacing="1" w:after="100" w:afterAutospacing="1"/>
      <w:jc w:val="left"/>
    </w:pPr>
    <w:rPr>
      <w:sz w:val="16"/>
      <w:szCs w:val="16"/>
      <w:lang w:val="es-ES" w:eastAsia="en-CA"/>
    </w:rPr>
  </w:style>
  <w:style w:type="paragraph" w:customStyle="1" w:styleId="xl82">
    <w:name w:val="xl82"/>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eastAsia="en-CA"/>
    </w:rPr>
  </w:style>
  <w:style w:type="paragraph" w:customStyle="1" w:styleId="xl83">
    <w:name w:val="xl83"/>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ES" w:eastAsia="en-CA"/>
    </w:rPr>
  </w:style>
  <w:style w:type="paragraph" w:customStyle="1" w:styleId="xl84">
    <w:name w:val="xl84"/>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85">
    <w:name w:val="xl85"/>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86">
    <w:name w:val="xl86"/>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6"/>
      <w:szCs w:val="16"/>
      <w:lang w:val="es-ES" w:eastAsia="en-CA"/>
    </w:rPr>
  </w:style>
  <w:style w:type="paragraph" w:customStyle="1" w:styleId="xl87">
    <w:name w:val="xl87"/>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88">
    <w:name w:val="xl88"/>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ES" w:eastAsia="en-CA"/>
    </w:rPr>
  </w:style>
  <w:style w:type="paragraph" w:customStyle="1" w:styleId="xl89">
    <w:name w:val="xl89"/>
    <w:basedOn w:val="Normal"/>
    <w:rsid w:val="00E70EA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6"/>
      <w:szCs w:val="16"/>
      <w:lang w:val="es-ES" w:eastAsia="en-CA"/>
    </w:rPr>
  </w:style>
  <w:style w:type="paragraph" w:customStyle="1" w:styleId="xl63">
    <w:name w:val="xl63"/>
    <w:basedOn w:val="Normal"/>
    <w:rsid w:val="00E70EAE"/>
    <w:pPr>
      <w:spacing w:before="100" w:beforeAutospacing="1" w:after="100" w:afterAutospacing="1"/>
      <w:jc w:val="left"/>
    </w:pPr>
    <w:rPr>
      <w:sz w:val="16"/>
      <w:szCs w:val="16"/>
      <w:lang w:val="es-ES" w:eastAsia="en-CA"/>
    </w:rPr>
  </w:style>
  <w:style w:type="paragraph" w:customStyle="1" w:styleId="xl64">
    <w:name w:val="xl64"/>
    <w:basedOn w:val="Normal"/>
    <w:rsid w:val="00E70EAE"/>
    <w:pPr>
      <w:spacing w:before="100" w:beforeAutospacing="1" w:after="100" w:afterAutospacing="1"/>
      <w:jc w:val="left"/>
    </w:pPr>
    <w:rPr>
      <w:sz w:val="16"/>
      <w:szCs w:val="16"/>
      <w:lang w:val="es-ES" w:eastAsia="en-CA"/>
    </w:rPr>
  </w:style>
  <w:style w:type="paragraph" w:customStyle="1" w:styleId="xl90">
    <w:name w:val="xl90"/>
    <w:basedOn w:val="Normal"/>
    <w:rsid w:val="00E70EAE"/>
    <w:pPr>
      <w:spacing w:before="100" w:beforeAutospacing="1" w:after="100" w:afterAutospacing="1"/>
      <w:jc w:val="right"/>
    </w:pPr>
    <w:rPr>
      <w:color w:val="000000"/>
      <w:sz w:val="24"/>
      <w:szCs w:val="24"/>
      <w:lang w:val="es-ES"/>
    </w:rPr>
  </w:style>
  <w:style w:type="paragraph" w:customStyle="1" w:styleId="xl91">
    <w:name w:val="xl91"/>
    <w:basedOn w:val="Normal"/>
    <w:rsid w:val="00E70EAE"/>
    <w:pPr>
      <w:spacing w:before="100" w:beforeAutospacing="1" w:after="100" w:afterAutospacing="1"/>
      <w:jc w:val="right"/>
    </w:pPr>
    <w:rPr>
      <w:color w:val="000000"/>
      <w:sz w:val="24"/>
      <w:szCs w:val="24"/>
      <w:lang w:val="es-ES"/>
    </w:rPr>
  </w:style>
  <w:style w:type="paragraph" w:customStyle="1" w:styleId="xl92">
    <w:name w:val="xl92"/>
    <w:basedOn w:val="Normal"/>
    <w:rsid w:val="00E70EAE"/>
    <w:pPr>
      <w:spacing w:before="100" w:beforeAutospacing="1" w:after="100" w:afterAutospacing="1"/>
      <w:jc w:val="right"/>
    </w:pPr>
    <w:rPr>
      <w:sz w:val="24"/>
      <w:szCs w:val="24"/>
      <w:lang w:val="es-ES"/>
    </w:rPr>
  </w:style>
  <w:style w:type="paragraph" w:customStyle="1" w:styleId="xl93">
    <w:name w:val="xl93"/>
    <w:basedOn w:val="Normal"/>
    <w:rsid w:val="00E70EAE"/>
    <w:pPr>
      <w:spacing w:before="100" w:beforeAutospacing="1" w:after="100" w:afterAutospacing="1"/>
      <w:jc w:val="right"/>
    </w:pPr>
    <w:rPr>
      <w:sz w:val="24"/>
      <w:szCs w:val="24"/>
      <w:lang w:val="es-ES"/>
    </w:rPr>
  </w:style>
  <w:style w:type="paragraph" w:customStyle="1" w:styleId="xl94">
    <w:name w:val="xl94"/>
    <w:basedOn w:val="Normal"/>
    <w:rsid w:val="00E70EAE"/>
    <w:pPr>
      <w:spacing w:before="100" w:beforeAutospacing="1" w:after="100" w:afterAutospacing="1"/>
      <w:jc w:val="left"/>
    </w:pPr>
    <w:rPr>
      <w:color w:val="FF0000"/>
      <w:sz w:val="24"/>
      <w:szCs w:val="24"/>
      <w:lang w:val="es-ES"/>
    </w:rPr>
  </w:style>
  <w:style w:type="character" w:customStyle="1" w:styleId="NormalpoolChar">
    <w:name w:val="Normal_pool Char"/>
    <w:link w:val="Normalpool"/>
    <w:locked/>
    <w:rsid w:val="00E70EAE"/>
  </w:style>
  <w:style w:type="paragraph" w:customStyle="1" w:styleId="Normalpool">
    <w:name w:val="Normal_pool"/>
    <w:link w:val="NormalpoolChar"/>
    <w:rsid w:val="00E70EAE"/>
    <w:pPr>
      <w:tabs>
        <w:tab w:val="left" w:pos="1253"/>
        <w:tab w:val="left" w:pos="1814"/>
        <w:tab w:val="left" w:pos="2376"/>
        <w:tab w:val="left" w:pos="2952"/>
        <w:tab w:val="left" w:pos="3514"/>
      </w:tabs>
    </w:pPr>
  </w:style>
  <w:style w:type="paragraph" w:customStyle="1" w:styleId="Indent1">
    <w:name w:val="Indent 1"/>
    <w:basedOn w:val="Normal"/>
    <w:qFormat/>
    <w:rsid w:val="00E70EAE"/>
    <w:pPr>
      <w:spacing w:after="240" w:line="360" w:lineRule="auto"/>
      <w:ind w:left="1440" w:hanging="720"/>
      <w:jc w:val="left"/>
    </w:pPr>
    <w:rPr>
      <w:sz w:val="24"/>
      <w:szCs w:val="24"/>
      <w:lang w:val="es-ES"/>
    </w:rPr>
  </w:style>
  <w:style w:type="paragraph" w:customStyle="1" w:styleId="Default">
    <w:name w:val="Default"/>
    <w:rsid w:val="00E70EAE"/>
    <w:pPr>
      <w:autoSpaceDE w:val="0"/>
      <w:autoSpaceDN w:val="0"/>
      <w:adjustRightInd w:val="0"/>
    </w:pPr>
    <w:rPr>
      <w:color w:val="000000"/>
      <w:sz w:val="24"/>
      <w:szCs w:val="24"/>
      <w:lang w:val="es-ES"/>
    </w:rPr>
  </w:style>
  <w:style w:type="character" w:styleId="PageNumber">
    <w:name w:val="page number"/>
    <w:basedOn w:val="DefaultParagraphFont"/>
    <w:semiHidden/>
    <w:unhideWhenUsed/>
    <w:rsid w:val="00E70EAE"/>
    <w:rPr>
      <w:rFonts w:ascii="Times New Roman" w:hAnsi="Times New Roman" w:cs="Times New Roman" w:hint="default"/>
      <w:b/>
      <w:bCs w:val="0"/>
      <w:sz w:val="18"/>
    </w:rPr>
  </w:style>
  <w:style w:type="character" w:styleId="EndnoteReference">
    <w:name w:val="endnote reference"/>
    <w:basedOn w:val="DefaultParagraphFont"/>
    <w:uiPriority w:val="99"/>
    <w:semiHidden/>
    <w:unhideWhenUsed/>
    <w:rsid w:val="00E70EAE"/>
    <w:rPr>
      <w:vertAlign w:val="superscript"/>
    </w:rPr>
  </w:style>
  <w:style w:type="character" w:customStyle="1" w:styleId="UnresolvedMention1">
    <w:name w:val="Unresolved Mention1"/>
    <w:basedOn w:val="DefaultParagraphFont"/>
    <w:uiPriority w:val="99"/>
    <w:semiHidden/>
    <w:rsid w:val="00E70EAE"/>
    <w:rPr>
      <w:color w:val="605E5C"/>
      <w:shd w:val="clear" w:color="auto" w:fill="E1DFDD"/>
    </w:rPr>
  </w:style>
  <w:style w:type="character" w:customStyle="1" w:styleId="Heading3Char">
    <w:name w:val="Heading 3 Char"/>
    <w:basedOn w:val="DefaultParagraphFont"/>
    <w:semiHidden/>
    <w:rsid w:val="00E70EAE"/>
    <w:rPr>
      <w:rFonts w:asciiTheme="majorHAnsi" w:eastAsiaTheme="majorEastAsia" w:hAnsiTheme="majorHAnsi" w:cstheme="majorBidi" w:hint="default"/>
      <w:b/>
      <w:bCs/>
      <w:color w:val="4F81BD" w:themeColor="accent1"/>
      <w:sz w:val="22"/>
      <w:szCs w:val="22"/>
      <w:lang w:val="es-ES"/>
    </w:rPr>
  </w:style>
  <w:style w:type="table" w:customStyle="1" w:styleId="Tabledocright">
    <w:name w:val="Table_doc_right"/>
    <w:basedOn w:val="TableNormal"/>
    <w:rsid w:val="00E70EAE"/>
    <w:pPr>
      <w:spacing w:before="40" w:after="40"/>
    </w:pPr>
    <w:rPr>
      <w:sz w:val="18"/>
      <w:szCs w:val="18"/>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AATable">
    <w:name w:val="AA_Table"/>
    <w:basedOn w:val="TableNormal"/>
    <w:rsid w:val="00E70EAE"/>
    <w:rPr>
      <w:lang w:val="es-ES"/>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paragraph" w:customStyle="1" w:styleId="Titlefigure">
    <w:name w:val="Title_figure"/>
    <w:basedOn w:val="Titletable"/>
    <w:next w:val="NormalNonumber"/>
    <w:rsid w:val="00E70EAE"/>
    <w:rPr>
      <w:bCs w:val="0"/>
    </w:rPr>
  </w:style>
  <w:style w:type="paragraph" w:customStyle="1" w:styleId="Footer-pool">
    <w:name w:val="Footer-pool"/>
    <w:basedOn w:val="Normal-pool"/>
    <w:next w:val="Normal-pool"/>
    <w:rsid w:val="00E70EAE"/>
    <w:pPr>
      <w:tabs>
        <w:tab w:val="left" w:pos="4321"/>
        <w:tab w:val="right" w:pos="8641"/>
      </w:tabs>
      <w:spacing w:before="60" w:after="120"/>
    </w:pPr>
    <w:rPr>
      <w:b/>
      <w:sz w:val="18"/>
    </w:rPr>
  </w:style>
  <w:style w:type="paragraph" w:customStyle="1" w:styleId="Header-pool">
    <w:name w:val="Header-pool"/>
    <w:basedOn w:val="Normal-pool"/>
    <w:next w:val="Normal-pool"/>
    <w:rsid w:val="00E70EAE"/>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numbering" w:customStyle="1" w:styleId="Normallist24">
    <w:name w:val="Normal_list24"/>
    <w:rsid w:val="00E70EAE"/>
    <w:pPr>
      <w:numPr>
        <w:numId w:val="25"/>
      </w:numPr>
    </w:pPr>
  </w:style>
  <w:style w:type="numbering" w:customStyle="1" w:styleId="Normallist">
    <w:name w:val="Normal_list"/>
    <w:rsid w:val="00E70EAE"/>
    <w:pPr>
      <w:numPr>
        <w:numId w:val="26"/>
      </w:numPr>
    </w:pPr>
  </w:style>
  <w:style w:type="character" w:styleId="SubtleReference">
    <w:name w:val="Subtle Reference"/>
    <w:basedOn w:val="DefaultParagraphFont"/>
    <w:uiPriority w:val="31"/>
    <w:qFormat/>
    <w:rsid w:val="008C7DAD"/>
    <w:rPr>
      <w:smallCaps/>
      <w:color w:val="5A5A5A" w:themeColor="text1" w:themeTint="A5"/>
    </w:rPr>
  </w:style>
  <w:style w:type="table" w:customStyle="1" w:styleId="Footertable">
    <w:name w:val="Footer_table"/>
    <w:basedOn w:val="TableNormal"/>
    <w:semiHidden/>
    <w:rsid w:val="001B230A"/>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7536">
      <w:bodyDiv w:val="1"/>
      <w:marLeft w:val="0"/>
      <w:marRight w:val="0"/>
      <w:marTop w:val="0"/>
      <w:marBottom w:val="0"/>
      <w:divBdr>
        <w:top w:val="none" w:sz="0" w:space="0" w:color="auto"/>
        <w:left w:val="none" w:sz="0" w:space="0" w:color="auto"/>
        <w:bottom w:val="none" w:sz="0" w:space="0" w:color="auto"/>
        <w:right w:val="none" w:sz="0" w:space="0" w:color="auto"/>
      </w:divBdr>
    </w:div>
    <w:div w:id="1538810588">
      <w:bodyDiv w:val="1"/>
      <w:marLeft w:val="0"/>
      <w:marRight w:val="0"/>
      <w:marTop w:val="0"/>
      <w:marBottom w:val="0"/>
      <w:divBdr>
        <w:top w:val="none" w:sz="0" w:space="0" w:color="auto"/>
        <w:left w:val="none" w:sz="0" w:space="0" w:color="auto"/>
        <w:bottom w:val="none" w:sz="0" w:space="0" w:color="auto"/>
        <w:right w:val="none" w:sz="0" w:space="0" w:color="auto"/>
      </w:divBdr>
    </w:div>
    <w:div w:id="163205581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1473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D79882E53CBD488ABE60AC614F6D01" ma:contentTypeVersion="1" ma:contentTypeDescription="Create a new document." ma:contentTypeScope="" ma:versionID="98ed2a409447dbf8ef36c7ad1bd53aeb">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UNEP/OzL.Pro/ExCom/87/40</Document_x0020_Number>
  </documentManagement>
</p:properties>
</file>

<file path=customXml/itemProps1.xml><?xml version="1.0" encoding="utf-8"?>
<ds:datastoreItem xmlns:ds="http://schemas.openxmlformats.org/officeDocument/2006/customXml" ds:itemID="{63C40B82-04D7-4856-BB65-5D94CA4BD521}"/>
</file>

<file path=customXml/itemProps2.xml><?xml version="1.0" encoding="utf-8"?>
<ds:datastoreItem xmlns:ds="http://schemas.openxmlformats.org/officeDocument/2006/customXml" ds:itemID="{12058991-CE62-4580-A93C-DF583182E078}"/>
</file>

<file path=customXml/itemProps3.xml><?xml version="1.0" encoding="utf-8"?>
<ds:datastoreItem xmlns:ds="http://schemas.openxmlformats.org/officeDocument/2006/customXml" ds:itemID="{E12DB180-3F1A-41AF-B086-A367AA441C1C}"/>
</file>

<file path=customXml/itemProps4.xml><?xml version="1.0" encoding="utf-8"?>
<ds:datastoreItem xmlns:ds="http://schemas.openxmlformats.org/officeDocument/2006/customXml" ds:itemID="{C9092665-3B0D-474B-83FF-CAA63673981D}"/>
</file>

<file path=docProps/app.xml><?xml version="1.0" encoding="utf-8"?>
<Properties xmlns="http://schemas.openxmlformats.org/officeDocument/2006/extended-properties" xmlns:vt="http://schemas.openxmlformats.org/officeDocument/2006/docPropsVTypes">
  <Template>Normal</Template>
  <TotalTime>25</TotalTime>
  <Pages>11</Pages>
  <Words>4843</Words>
  <Characters>24851</Characters>
  <Application>Microsoft Office Word</Application>
  <DocSecurity>0</DocSecurity>
  <Lines>207</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proyecto: Viet Nam</vt:lpstr>
      <vt:lpstr/>
    </vt:vector>
  </TitlesOfParts>
  <Company>UNMFS</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Viet Nam</dc:title>
  <dc:creator>Mulu Alem</dc:creator>
  <cp:lastModifiedBy>HB</cp:lastModifiedBy>
  <cp:revision>7</cp:revision>
  <cp:lastPrinted>2001-05-26T16:40:00Z</cp:lastPrinted>
  <dcterms:created xsi:type="dcterms:W3CDTF">2021-06-18T14:21:00Z</dcterms:created>
  <dcterms:modified xsi:type="dcterms:W3CDTF">2021-06-22T02:34:00Z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UNEP/OzL.Pro/ExCom/87/40</vt:lpwstr>
  </property>
  <property fmtid="{D5CDD505-2E9C-101B-9397-08002B2CF9AE}" pid="3" name="Revision date">
    <vt:lpwstr>6/11/2021</vt:lpwstr>
  </property>
  <property fmtid="{D5CDD505-2E9C-101B-9397-08002B2CF9AE}" pid="4" name="ContentTypeId">
    <vt:lpwstr>0x010100ACD79882E53CBD488ABE60AC614F6D01</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